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777777" w:rsidR="00F52BE8" w:rsidRDefault="00FC655B" w:rsidP="00F52BE8">
      <w:pPr>
        <w:jc w:val="right"/>
        <w:rPr>
          <w:rFonts w:ascii="Verdana" w:hAnsi="Verdana"/>
          <w:color w:val="2C2C2C"/>
          <w:sz w:val="17"/>
          <w:szCs w:val="17"/>
          <w:lang w:val="en"/>
        </w:rPr>
      </w:pPr>
      <w:r>
        <w:rPr>
          <w:noProof/>
          <w:lang w:val="en-US"/>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13896C2D" w:rsidR="00F52BE8" w:rsidRPr="00796395" w:rsidRDefault="00A643D9" w:rsidP="00A643D9">
      <w:pPr>
        <w:ind w:right="-193"/>
        <w:jc w:val="center"/>
        <w:rPr>
          <w:rFonts w:cs="Arial"/>
          <w:b/>
          <w:u w:val="single"/>
        </w:rPr>
      </w:pPr>
      <w:r w:rsidRPr="00796395">
        <w:rPr>
          <w:rFonts w:cs="Arial"/>
          <w:b/>
          <w:u w:val="single"/>
        </w:rPr>
        <w:t>Development and</w:t>
      </w:r>
      <w:r w:rsidR="008F2C76" w:rsidRPr="00796395">
        <w:rPr>
          <w:rFonts w:cs="Arial"/>
          <w:b/>
          <w:u w:val="single"/>
        </w:rPr>
        <w:t xml:space="preserve"> document</w:t>
      </w:r>
      <w:r w:rsidRPr="00796395">
        <w:rPr>
          <w:rFonts w:cs="Arial"/>
          <w:b/>
          <w:u w:val="single"/>
        </w:rPr>
        <w:t>ation of the</w:t>
      </w:r>
      <w:r w:rsidR="008F2C76" w:rsidRPr="00796395">
        <w:rPr>
          <w:rFonts w:cs="Arial"/>
          <w:b/>
          <w:u w:val="single"/>
        </w:rPr>
        <w:t xml:space="preserve"> r</w:t>
      </w:r>
      <w:r w:rsidRPr="00796395">
        <w:rPr>
          <w:rFonts w:cs="Arial"/>
          <w:b/>
          <w:u w:val="single"/>
        </w:rPr>
        <w:t>isk profiling lifecycle in the ORR Railway Safety Directorate</w:t>
      </w:r>
      <w:r w:rsidR="003E29FA" w:rsidRPr="00796395">
        <w:rPr>
          <w:rFonts w:cs="Arial"/>
          <w:b/>
          <w:u w:val="single"/>
        </w:rPr>
        <w:t>’s</w:t>
      </w:r>
      <w:r w:rsidR="008F2C76" w:rsidRPr="00796395">
        <w:rPr>
          <w:rFonts w:cs="Arial"/>
          <w:b/>
          <w:u w:val="single"/>
        </w:rPr>
        <w:t xml:space="preserve"> Quality Management System</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36B8D755" w:rsidR="00F52BE8" w:rsidRPr="00C263C2" w:rsidRDefault="00F52BE8" w:rsidP="00F52BE8">
      <w:pPr>
        <w:spacing w:after="0" w:line="360" w:lineRule="auto"/>
        <w:rPr>
          <w:rFonts w:cs="Arial"/>
          <w:b/>
          <w:color w:val="FF0000"/>
          <w:u w:val="single"/>
        </w:rPr>
      </w:pPr>
      <w:r w:rsidRPr="00034159">
        <w:rPr>
          <w:rFonts w:cs="Arial"/>
          <w:b/>
          <w:u w:val="single"/>
        </w:rPr>
        <w:t>CPV Code:</w:t>
      </w:r>
      <w:r w:rsidR="00796395">
        <w:rPr>
          <w:rFonts w:cs="Arial"/>
          <w:b/>
          <w:u w:val="single"/>
        </w:rPr>
        <w:t xml:space="preserve"> 72221000</w:t>
      </w:r>
    </w:p>
    <w:p w14:paraId="610DAFD3" w14:textId="0229359C" w:rsidR="00F52BE8" w:rsidRPr="00034159" w:rsidRDefault="00F52BE8" w:rsidP="00F52BE8">
      <w:pPr>
        <w:spacing w:after="0" w:line="360" w:lineRule="auto"/>
        <w:rPr>
          <w:rFonts w:cs="Arial"/>
          <w:b/>
        </w:rPr>
      </w:pPr>
      <w:r>
        <w:rPr>
          <w:rFonts w:cs="Arial"/>
          <w:b/>
          <w:u w:val="single"/>
        </w:rPr>
        <w:t>Tender Reference:</w:t>
      </w:r>
      <w:r w:rsidR="00796395">
        <w:rPr>
          <w:rFonts w:cs="Arial"/>
          <w:b/>
          <w:u w:val="single"/>
        </w:rPr>
        <w:t xml:space="preserve"> ORR/CT/21-51</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5DCA1735"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8F2C76">
        <w:rPr>
          <w:rFonts w:cs="Arial"/>
          <w:color w:val="000000"/>
        </w:rPr>
        <w:t>developing and documenting the risk profiling lifecycle in the R</w:t>
      </w:r>
      <w:r w:rsidR="00FD1F8D">
        <w:rPr>
          <w:rFonts w:cs="Arial"/>
          <w:color w:val="000000"/>
        </w:rPr>
        <w:t>ailway Safety Directorate</w:t>
      </w:r>
      <w:r w:rsidR="00D95B4E">
        <w:rPr>
          <w:rFonts w:cs="Arial"/>
          <w:color w:val="000000"/>
        </w:rPr>
        <w:t>’s</w:t>
      </w:r>
      <w:r w:rsidR="00FD1F8D">
        <w:rPr>
          <w:rFonts w:cs="Arial"/>
          <w:color w:val="000000"/>
        </w:rPr>
        <w:t xml:space="preserve"> (RSD) Quality Management System (</w:t>
      </w:r>
      <w:r w:rsidR="008F2C76">
        <w:rPr>
          <w:rFonts w:cs="Arial"/>
          <w:color w:val="000000"/>
        </w:rPr>
        <w:t>QMS</w:t>
      </w:r>
      <w:r w:rsidR="00FD1F8D">
        <w:rPr>
          <w:rFonts w:cs="Arial"/>
          <w:color w:val="000000"/>
        </w:rPr>
        <w:t>)</w:t>
      </w:r>
      <w:r w:rsidR="008F2C76">
        <w:rPr>
          <w:rFonts w:cs="Arial"/>
          <w:color w:val="000000"/>
        </w:rPr>
        <w:t xml:space="preserve">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68AE66C3"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1B328B84"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05A93CDB"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E8123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delivered;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to ensure that procurement is undertaken with regard to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6D798C">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6D798C">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6D798C">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6D798C">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6D798C">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6D798C">
            <w:pPr>
              <w:jc w:val="center"/>
              <w:rPr>
                <w:rFonts w:cs="Arial"/>
                <w:b/>
                <w:bCs/>
              </w:rPr>
            </w:pPr>
            <w:r w:rsidRPr="00362F5D">
              <w:rPr>
                <w:rFonts w:cs="Arial"/>
                <w:b/>
                <w:bCs/>
              </w:rPr>
              <w:t>Balance Sheet Total</w:t>
            </w:r>
          </w:p>
        </w:tc>
      </w:tr>
      <w:tr w:rsidR="00F52BE8" w:rsidRPr="00362F5D" w14:paraId="3DD1D934" w14:textId="77777777" w:rsidTr="006D798C">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6D798C">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6D798C">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6D798C">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6D798C">
            <w:pPr>
              <w:jc w:val="center"/>
              <w:rPr>
                <w:rFonts w:cs="Arial"/>
                <w:b/>
                <w:bCs/>
              </w:rPr>
            </w:pPr>
            <w:r w:rsidRPr="00362F5D">
              <w:rPr>
                <w:rFonts w:cs="Arial"/>
                <w:b/>
                <w:bCs/>
              </w:rPr>
              <w:t>≤ € 2 million</w:t>
            </w:r>
          </w:p>
        </w:tc>
      </w:tr>
      <w:tr w:rsidR="00F52BE8" w:rsidRPr="00362F5D" w14:paraId="37954759" w14:textId="77777777" w:rsidTr="006D798C">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6D798C">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6D798C">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6D798C">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6D798C">
            <w:pPr>
              <w:rPr>
                <w:rFonts w:cs="Arial"/>
                <w:b/>
                <w:bCs/>
              </w:rPr>
            </w:pPr>
          </w:p>
        </w:tc>
      </w:tr>
      <w:tr w:rsidR="00F52BE8" w:rsidRPr="00362F5D" w14:paraId="0BD2A39B" w14:textId="77777777" w:rsidTr="006D798C">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6D798C">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6D798C">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6D798C">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6D798C">
            <w:pPr>
              <w:jc w:val="center"/>
              <w:rPr>
                <w:rFonts w:cs="Arial"/>
                <w:b/>
                <w:bCs/>
              </w:rPr>
            </w:pPr>
            <w:r w:rsidRPr="00362F5D">
              <w:rPr>
                <w:rFonts w:cs="Arial"/>
                <w:b/>
                <w:bCs/>
              </w:rPr>
              <w:t>≤ € 10 million</w:t>
            </w:r>
          </w:p>
        </w:tc>
      </w:tr>
      <w:tr w:rsidR="00F52BE8" w:rsidRPr="00362F5D" w14:paraId="2E6CB3ED" w14:textId="77777777" w:rsidTr="006D798C">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6D798C">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6D798C">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6D798C">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6D798C">
            <w:pPr>
              <w:rPr>
                <w:rFonts w:cs="Arial"/>
                <w:b/>
                <w:bCs/>
              </w:rPr>
            </w:pPr>
          </w:p>
        </w:tc>
      </w:tr>
      <w:tr w:rsidR="00F52BE8" w:rsidRPr="00362F5D" w14:paraId="638D624F" w14:textId="77777777" w:rsidTr="006D798C">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6D798C">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6D798C">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6D798C">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6D798C">
            <w:pPr>
              <w:jc w:val="center"/>
              <w:rPr>
                <w:rFonts w:cs="Arial"/>
                <w:b/>
                <w:bCs/>
              </w:rPr>
            </w:pPr>
            <w:r w:rsidRPr="00362F5D">
              <w:rPr>
                <w:rFonts w:cs="Arial"/>
                <w:b/>
                <w:bCs/>
              </w:rPr>
              <w:t>≤ € 43 million</w:t>
            </w:r>
          </w:p>
        </w:tc>
      </w:tr>
      <w:tr w:rsidR="00F52BE8" w:rsidRPr="00362F5D" w14:paraId="260890AF" w14:textId="77777777" w:rsidTr="006D798C">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6D798C">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6D798C">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6D798C">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6D798C">
            <w:pPr>
              <w:rPr>
                <w:rFonts w:cs="Arial"/>
                <w:b/>
                <w:bCs/>
              </w:rPr>
            </w:pPr>
          </w:p>
        </w:tc>
      </w:tr>
      <w:tr w:rsidR="00F52BE8" w:rsidRPr="00362F5D" w14:paraId="6C65AC39" w14:textId="77777777" w:rsidTr="006D798C">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6D798C">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6D798C">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6D798C">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6D798C">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75FAB3DF">
        <w:trPr>
          <w:trHeight w:val="454"/>
        </w:trPr>
        <w:tc>
          <w:tcPr>
            <w:tcW w:w="8528" w:type="dxa"/>
            <w:shd w:val="clear" w:color="auto" w:fill="99CCFF"/>
          </w:tcPr>
          <w:p w14:paraId="51A338C8" w14:textId="77777777" w:rsidR="00F52BE8" w:rsidRPr="0036077E" w:rsidRDefault="00F52BE8" w:rsidP="006D798C">
            <w:pPr>
              <w:rPr>
                <w:rFonts w:cs="Arial"/>
                <w:b/>
                <w:sz w:val="28"/>
                <w:szCs w:val="28"/>
              </w:rPr>
            </w:pPr>
            <w:r w:rsidRPr="0036077E">
              <w:rPr>
                <w:rFonts w:cs="Arial"/>
                <w:b/>
                <w:sz w:val="28"/>
                <w:szCs w:val="28"/>
              </w:rPr>
              <w:t>2.1 Background to the project</w:t>
            </w:r>
          </w:p>
        </w:tc>
      </w:tr>
      <w:tr w:rsidR="00F52BE8" w:rsidRPr="0036077E" w14:paraId="503C3C58" w14:textId="77777777" w:rsidTr="75FAB3DF">
        <w:trPr>
          <w:trHeight w:val="760"/>
        </w:trPr>
        <w:tc>
          <w:tcPr>
            <w:tcW w:w="8528" w:type="dxa"/>
            <w:tcBorders>
              <w:bottom w:val="single" w:sz="4" w:space="0" w:color="auto"/>
            </w:tcBorders>
            <w:shd w:val="clear" w:color="auto" w:fill="auto"/>
          </w:tcPr>
          <w:p w14:paraId="0ECD0A9A" w14:textId="05EDD0A9" w:rsidR="007E2475" w:rsidRPr="007A02EE" w:rsidRDefault="007A02EE" w:rsidP="00A275C6">
            <w:pPr>
              <w:spacing w:before="120"/>
              <w:ind w:left="23"/>
              <w:rPr>
                <w:rFonts w:cs="Arial"/>
                <w:b/>
                <w:sz w:val="22"/>
                <w:szCs w:val="22"/>
              </w:rPr>
            </w:pPr>
            <w:r>
              <w:rPr>
                <w:rFonts w:cs="Arial"/>
                <w:b/>
                <w:sz w:val="22"/>
                <w:szCs w:val="22"/>
              </w:rPr>
              <w:t xml:space="preserve">ORR and its </w:t>
            </w:r>
            <w:r w:rsidR="007E2475" w:rsidRPr="007A02EE">
              <w:rPr>
                <w:rFonts w:cs="Arial"/>
                <w:b/>
                <w:sz w:val="22"/>
                <w:szCs w:val="22"/>
              </w:rPr>
              <w:t>Railway Safety Directorate</w:t>
            </w:r>
          </w:p>
          <w:p w14:paraId="7FC04BAE" w14:textId="135EC631" w:rsidR="002937E9" w:rsidRDefault="75FAB3DF" w:rsidP="002937E9">
            <w:pPr>
              <w:rPr>
                <w:rFonts w:cs="Arial"/>
                <w:sz w:val="22"/>
                <w:szCs w:val="22"/>
              </w:rPr>
            </w:pPr>
            <w:r w:rsidRPr="75FAB3DF">
              <w:rPr>
                <w:rFonts w:cs="Arial"/>
                <w:sz w:val="22"/>
                <w:szCs w:val="22"/>
              </w:rPr>
              <w:t>ORR is the health and safety regulator for Great Britain’s Railways (</w:t>
            </w:r>
            <w:hyperlink r:id="rId10">
              <w:r w:rsidRPr="75FAB3DF">
                <w:rPr>
                  <w:rStyle w:val="Hyperlink"/>
                  <w:rFonts w:cs="Arial"/>
                  <w:sz w:val="22"/>
                  <w:szCs w:val="22"/>
                </w:rPr>
                <w:t>link</w:t>
              </w:r>
            </w:hyperlink>
            <w:r w:rsidRPr="75FAB3DF">
              <w:rPr>
                <w:rFonts w:cs="Arial"/>
                <w:sz w:val="22"/>
                <w:szCs w:val="22"/>
              </w:rPr>
              <w:t xml:space="preserve"> to details about who we are and what we do). Whilst ORR does not own or manage health and safety risk on Britain’s Railways, it is critical that ORR understands the risk profile of the industry to focus our resources to priority areas, in a proportionate approach to target non-compliance with legal obligations (which also reduces risk).</w:t>
            </w:r>
          </w:p>
          <w:p w14:paraId="487758E5" w14:textId="5CE6A9EC" w:rsidR="00EA0F84" w:rsidRDefault="75FAB3DF" w:rsidP="75FAB3DF">
            <w:pPr>
              <w:rPr>
                <w:rFonts w:cs="Arial"/>
                <w:color w:val="FF0000"/>
                <w:sz w:val="22"/>
                <w:szCs w:val="22"/>
              </w:rPr>
            </w:pPr>
            <w:r w:rsidRPr="00A65CA7">
              <w:rPr>
                <w:rFonts w:eastAsia="Arial" w:cs="Arial"/>
                <w:color w:val="000000" w:themeColor="text1"/>
                <w:sz w:val="22"/>
                <w:szCs w:val="22"/>
              </w:rPr>
              <w:t xml:space="preserve">The Rail Safety Directorate of ORR is the health and safety regulator for the rail industry as a whole – including mainline, metro, tramways and heritage railways across Britain. RSD comprises Her Majesty’s Rail Inspectorate, who regulate health and safety on the railways through a programme of proactive inspections and reactive investigations, and Strategy and Policy division, </w:t>
            </w:r>
            <w:r w:rsidR="00CD3AB1">
              <w:rPr>
                <w:rFonts w:eastAsia="Arial" w:cs="Arial"/>
                <w:color w:val="000000" w:themeColor="text1"/>
                <w:sz w:val="22"/>
                <w:szCs w:val="22"/>
              </w:rPr>
              <w:t>which</w:t>
            </w:r>
            <w:r w:rsidRPr="00A65CA7">
              <w:rPr>
                <w:rFonts w:eastAsia="Arial" w:cs="Arial"/>
                <w:color w:val="000000" w:themeColor="text1"/>
                <w:sz w:val="22"/>
                <w:szCs w:val="22"/>
              </w:rPr>
              <w:t xml:space="preserve"> provide</w:t>
            </w:r>
            <w:r w:rsidR="00CD3AB1">
              <w:rPr>
                <w:rFonts w:eastAsia="Arial" w:cs="Arial"/>
                <w:color w:val="000000" w:themeColor="text1"/>
                <w:sz w:val="22"/>
                <w:szCs w:val="22"/>
              </w:rPr>
              <w:t>s</w:t>
            </w:r>
            <w:r w:rsidRPr="00A65CA7">
              <w:rPr>
                <w:rFonts w:eastAsia="Arial" w:cs="Arial"/>
                <w:color w:val="000000" w:themeColor="text1"/>
                <w:sz w:val="22"/>
                <w:szCs w:val="22"/>
              </w:rPr>
              <w:t xml:space="preserve"> the strategic direction, operational guidance and support to the Rail Inspectorate to plan their regulatory interventions with the industry. </w:t>
            </w:r>
            <w:r w:rsidRPr="75FAB3DF">
              <w:rPr>
                <w:rFonts w:cs="Arial"/>
                <w:color w:val="000000" w:themeColor="text1"/>
                <w:sz w:val="22"/>
                <w:szCs w:val="22"/>
              </w:rPr>
              <w:t>Ownership of the risk profiling process sits within Strategy and Policy division. RSD’s vision, strategy and purpose for Health and Safety is described on our website (</w:t>
            </w:r>
            <w:hyperlink r:id="rId11">
              <w:r w:rsidRPr="75FAB3DF">
                <w:rPr>
                  <w:rStyle w:val="Hyperlink"/>
                </w:rPr>
                <w:t>link</w:t>
              </w:r>
            </w:hyperlink>
            <w:r w:rsidRPr="75FAB3DF">
              <w:rPr>
                <w:rFonts w:cs="Arial"/>
                <w:color w:val="000000" w:themeColor="text1"/>
                <w:sz w:val="22"/>
                <w:szCs w:val="22"/>
              </w:rPr>
              <w:t xml:space="preserve"> and </w:t>
            </w:r>
            <w:hyperlink r:id="rId12">
              <w:r w:rsidRPr="75FAB3DF">
                <w:rPr>
                  <w:rStyle w:val="Hyperlink"/>
                  <w:sz w:val="22"/>
                  <w:szCs w:val="22"/>
                </w:rPr>
                <w:t>link</w:t>
              </w:r>
            </w:hyperlink>
            <w:r w:rsidRPr="75FAB3DF">
              <w:rPr>
                <w:rFonts w:cs="Arial"/>
                <w:color w:val="000000" w:themeColor="text1"/>
                <w:sz w:val="22"/>
                <w:szCs w:val="22"/>
              </w:rPr>
              <w:t xml:space="preserve">). </w:t>
            </w:r>
            <w:r w:rsidRPr="75FAB3DF">
              <w:rPr>
                <w:rFonts w:cs="Arial"/>
                <w:color w:val="FF0000"/>
                <w:sz w:val="22"/>
                <w:szCs w:val="22"/>
                <w:highlight w:val="yellow"/>
              </w:rPr>
              <w:t xml:space="preserve"> </w:t>
            </w:r>
          </w:p>
          <w:p w14:paraId="60DD9367" w14:textId="67EAA5D6" w:rsidR="00586F43" w:rsidRDefault="75FAB3DF" w:rsidP="00586F43">
            <w:pPr>
              <w:rPr>
                <w:rFonts w:cs="Arial"/>
                <w:sz w:val="22"/>
                <w:szCs w:val="22"/>
              </w:rPr>
            </w:pPr>
            <w:r w:rsidRPr="75FAB3DF">
              <w:rPr>
                <w:rFonts w:cs="Arial"/>
                <w:color w:val="000000" w:themeColor="text1"/>
                <w:sz w:val="22"/>
                <w:szCs w:val="22"/>
              </w:rPr>
              <w:t xml:space="preserve">The Strategy and Policy division of RSD is sponsoring </w:t>
            </w:r>
            <w:r w:rsidR="00CD3AB1">
              <w:rPr>
                <w:rFonts w:cs="Arial"/>
                <w:color w:val="000000" w:themeColor="text1"/>
                <w:sz w:val="22"/>
                <w:szCs w:val="22"/>
              </w:rPr>
              <w:t xml:space="preserve">the </w:t>
            </w:r>
            <w:r w:rsidRPr="75FAB3DF">
              <w:rPr>
                <w:rFonts w:cs="Arial"/>
                <w:color w:val="000000" w:themeColor="text1"/>
                <w:sz w:val="22"/>
                <w:szCs w:val="22"/>
              </w:rPr>
              <w:t>development and documentation of</w:t>
            </w:r>
            <w:r w:rsidRPr="75FAB3DF">
              <w:rPr>
                <w:rFonts w:cs="Arial"/>
                <w:sz w:val="22"/>
                <w:szCs w:val="22"/>
              </w:rPr>
              <w:t xml:space="preserve"> the risk profiling lifecycle in the “Strategic Processes” section of the RSD Quality Management System that will inform other processes. </w:t>
            </w:r>
            <w:r w:rsidRPr="75FAB3DF">
              <w:rPr>
                <w:rFonts w:cs="Arial"/>
                <w:color w:val="000000" w:themeColor="text1"/>
                <w:sz w:val="22"/>
                <w:szCs w:val="22"/>
              </w:rPr>
              <w:t xml:space="preserve">We are therefore </w:t>
            </w:r>
            <w:r w:rsidRPr="75FAB3DF">
              <w:rPr>
                <w:rFonts w:cs="Arial"/>
                <w:sz w:val="22"/>
                <w:szCs w:val="22"/>
              </w:rPr>
              <w:t xml:space="preserve">seeking assistance through this invitation to tender from consultants to undertake this. </w:t>
            </w:r>
          </w:p>
          <w:p w14:paraId="5B9F638B" w14:textId="5AD6B828" w:rsidR="6DF41A57" w:rsidRDefault="71E3548C" w:rsidP="6DF41A57">
            <w:r w:rsidRPr="00EF45EC">
              <w:rPr>
                <w:rFonts w:cs="Arial"/>
                <w:sz w:val="22"/>
                <w:szCs w:val="22"/>
              </w:rPr>
              <w:t>We use a risk profiling process to help us assimilate various factors that inform our understanding of the risk profile/landscape of the rail industry and which risks are most important. The</w:t>
            </w:r>
            <w:r w:rsidR="004055C8" w:rsidRPr="00EF45EC">
              <w:rPr>
                <w:rFonts w:cs="Arial"/>
                <w:sz w:val="22"/>
                <w:szCs w:val="22"/>
              </w:rPr>
              <w:t xml:space="preserve"> </w:t>
            </w:r>
            <w:r w:rsidRPr="00EF45EC">
              <w:rPr>
                <w:rFonts w:cs="Arial"/>
                <w:sz w:val="22"/>
                <w:szCs w:val="22"/>
              </w:rPr>
              <w:t>process is fed by data and intelligence collected throughout the year. This data and intelligence supports an annual series of facilitated workshops to help RSD understand the risks, how industry performance is changing and how much RSD can influence the risk. The outputs of the process feed in to our business planning and strategic prioritisation processes and ultimately support and underpin our regulatory decisions</w:t>
            </w:r>
            <w:r w:rsidR="002067E4">
              <w:rPr>
                <w:rFonts w:cs="Arial"/>
                <w:sz w:val="22"/>
                <w:szCs w:val="22"/>
              </w:rPr>
              <w:t>.</w:t>
            </w:r>
            <w:r w:rsidR="002067E4">
              <w:rPr>
                <w:rFonts w:cs="Arial"/>
                <w:sz w:val="22"/>
                <w:szCs w:val="22"/>
              </w:rPr>
              <w:br/>
            </w:r>
            <w:r w:rsidR="00EA0F84">
              <w:rPr>
                <w:rFonts w:cs="Arial"/>
                <w:sz w:val="22"/>
                <w:szCs w:val="22"/>
              </w:rPr>
              <w:t xml:space="preserve"> </w:t>
            </w:r>
            <w:r w:rsidR="004055C8">
              <w:rPr>
                <w:rFonts w:cs="Arial"/>
                <w:sz w:val="22"/>
                <w:szCs w:val="22"/>
              </w:rPr>
              <w:br/>
            </w:r>
            <w:r w:rsidR="00EA0F84">
              <w:rPr>
                <w:rFonts w:cs="Arial"/>
                <w:sz w:val="22"/>
                <w:szCs w:val="22"/>
              </w:rPr>
              <w:t>For illustration, we have mapped the key elements of the risk profiling lifecycle below</w:t>
            </w:r>
            <w:r w:rsidR="004055C8">
              <w:rPr>
                <w:rFonts w:cs="Arial"/>
                <w:sz w:val="22"/>
                <w:szCs w:val="22"/>
              </w:rPr>
              <w:t xml:space="preserve"> in </w:t>
            </w:r>
            <w:r w:rsidR="004055C8" w:rsidRPr="00EF45EC">
              <w:rPr>
                <w:rFonts w:cs="Arial"/>
                <w:b/>
                <w:sz w:val="22"/>
                <w:szCs w:val="22"/>
              </w:rPr>
              <w:t>Figure 1</w:t>
            </w:r>
            <w:r w:rsidR="00EA0F84">
              <w:rPr>
                <w:rFonts w:cs="Arial"/>
                <w:sz w:val="22"/>
                <w:szCs w:val="22"/>
              </w:rPr>
              <w:t>. However, contractors should feel free to develop further options/consider alternatives as part of their proposal to ORR</w:t>
            </w:r>
            <w:r w:rsidR="00CD3AB1">
              <w:rPr>
                <w:rFonts w:cs="Arial"/>
                <w:sz w:val="22"/>
                <w:szCs w:val="22"/>
              </w:rPr>
              <w:t xml:space="preserve"> in response to this tender invitation</w:t>
            </w:r>
            <w:r w:rsidR="00EA0F84">
              <w:rPr>
                <w:rFonts w:cs="Arial"/>
                <w:sz w:val="22"/>
                <w:szCs w:val="22"/>
              </w:rPr>
              <w:t>.</w:t>
            </w:r>
          </w:p>
          <w:p w14:paraId="50677F83" w14:textId="4BA782CA" w:rsidR="6DF41A57" w:rsidRDefault="6DF41A57" w:rsidP="6DF41A57">
            <w:r>
              <w:lastRenderedPageBreak/>
              <w:br/>
            </w:r>
            <w:r w:rsidR="004055C8" w:rsidRPr="004055C8">
              <w:rPr>
                <w:noProof/>
                <w:lang w:val="en-US"/>
              </w:rPr>
              <w:drawing>
                <wp:inline distT="0" distB="0" distL="0" distR="0" wp14:anchorId="0D4C07A7" wp14:editId="70D1A57A">
                  <wp:extent cx="5133340" cy="3248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155" b="6948"/>
                          <a:stretch/>
                        </pic:blipFill>
                        <pic:spPr bwMode="auto">
                          <a:xfrm>
                            <a:off x="0" y="0"/>
                            <a:ext cx="5134692" cy="3248880"/>
                          </a:xfrm>
                          <a:prstGeom prst="rect">
                            <a:avLst/>
                          </a:prstGeom>
                          <a:ln>
                            <a:noFill/>
                          </a:ln>
                          <a:extLst>
                            <a:ext uri="{53640926-AAD7-44D8-BBD7-CCE9431645EC}">
                              <a14:shadowObscured xmlns:a14="http://schemas.microsoft.com/office/drawing/2010/main"/>
                            </a:ext>
                          </a:extLst>
                        </pic:spPr>
                      </pic:pic>
                    </a:graphicData>
                  </a:graphic>
                </wp:inline>
              </w:drawing>
            </w:r>
          </w:p>
          <w:p w14:paraId="3CADC21F" w14:textId="5E27319E" w:rsidR="001071D7" w:rsidRPr="00EF45EC" w:rsidRDefault="00F84C6E" w:rsidP="001071D7">
            <w:pPr>
              <w:rPr>
                <w:rFonts w:cs="Arial"/>
                <w:color w:val="FF0000"/>
                <w:sz w:val="22"/>
                <w:szCs w:val="22"/>
              </w:rPr>
            </w:pPr>
            <w:r w:rsidRPr="00EF45EC">
              <w:rPr>
                <w:rFonts w:cs="Arial"/>
                <w:b/>
                <w:sz w:val="22"/>
                <w:szCs w:val="22"/>
              </w:rPr>
              <w:t xml:space="preserve">QMS and our </w:t>
            </w:r>
            <w:r w:rsidR="001071D7" w:rsidRPr="00EF45EC">
              <w:rPr>
                <w:rFonts w:cs="Arial"/>
                <w:b/>
                <w:sz w:val="22"/>
                <w:szCs w:val="22"/>
              </w:rPr>
              <w:t xml:space="preserve">current </w:t>
            </w:r>
            <w:r w:rsidR="00590EC9" w:rsidRPr="00EF45EC">
              <w:rPr>
                <w:rFonts w:cs="Arial"/>
                <w:b/>
                <w:sz w:val="22"/>
                <w:szCs w:val="22"/>
              </w:rPr>
              <w:t>“Strategic P</w:t>
            </w:r>
            <w:r w:rsidR="001071D7" w:rsidRPr="00EF45EC">
              <w:rPr>
                <w:rFonts w:cs="Arial"/>
                <w:b/>
                <w:sz w:val="22"/>
                <w:szCs w:val="22"/>
              </w:rPr>
              <w:t>rocesses</w:t>
            </w:r>
            <w:r w:rsidR="00590EC9" w:rsidRPr="00EF45EC">
              <w:rPr>
                <w:rFonts w:cs="Arial"/>
                <w:b/>
                <w:sz w:val="22"/>
                <w:szCs w:val="22"/>
              </w:rPr>
              <w:t>”</w:t>
            </w:r>
            <w:r w:rsidR="001071D7" w:rsidRPr="00EF45EC">
              <w:rPr>
                <w:rFonts w:cs="Arial"/>
                <w:b/>
                <w:sz w:val="22"/>
                <w:szCs w:val="22"/>
              </w:rPr>
              <w:t xml:space="preserve"> </w:t>
            </w:r>
            <w:r w:rsidR="00EA6897" w:rsidRPr="00EF45EC">
              <w:rPr>
                <w:rFonts w:cs="Arial"/>
                <w:b/>
                <w:sz w:val="22"/>
                <w:szCs w:val="22"/>
              </w:rPr>
              <w:t>in QMS</w:t>
            </w:r>
            <w:r w:rsidR="00F6076C" w:rsidRPr="00EF45EC">
              <w:rPr>
                <w:rFonts w:cs="Arial"/>
                <w:b/>
                <w:sz w:val="22"/>
                <w:szCs w:val="22"/>
              </w:rPr>
              <w:t xml:space="preserve"> </w:t>
            </w:r>
          </w:p>
          <w:p w14:paraId="22C4660A" w14:textId="2CDA5A36" w:rsidR="00E56F0E" w:rsidRPr="00C276C4" w:rsidRDefault="00E56F0E" w:rsidP="00E56F0E">
            <w:pPr>
              <w:rPr>
                <w:rFonts w:cs="Arial"/>
                <w:sz w:val="22"/>
                <w:szCs w:val="22"/>
              </w:rPr>
            </w:pPr>
            <w:r w:rsidRPr="00EF45EC">
              <w:rPr>
                <w:rFonts w:cs="Arial"/>
                <w:sz w:val="22"/>
                <w:szCs w:val="22"/>
              </w:rPr>
              <w:t xml:space="preserve">The purpose of the QMS is to </w:t>
            </w:r>
            <w:r w:rsidRPr="00EF45EC">
              <w:rPr>
                <w:rFonts w:cs="Arial"/>
                <w:color w:val="000000"/>
                <w:sz w:val="22"/>
                <w:szCs w:val="22"/>
              </w:rPr>
              <w:t xml:space="preserve">clearly define our </w:t>
            </w:r>
            <w:r w:rsidR="00312189" w:rsidRPr="00EF45EC">
              <w:rPr>
                <w:rFonts w:cs="Arial"/>
                <w:color w:val="000000"/>
                <w:sz w:val="22"/>
                <w:szCs w:val="22"/>
              </w:rPr>
              <w:t xml:space="preserve">RSD </w:t>
            </w:r>
            <w:r w:rsidRPr="00EF45EC">
              <w:rPr>
                <w:rFonts w:cs="Arial"/>
                <w:color w:val="000000"/>
                <w:sz w:val="22"/>
                <w:szCs w:val="22"/>
              </w:rPr>
              <w:t>processes and improve user accessibility and confidence in the currency and robustness of process information and documentation. </w:t>
            </w:r>
          </w:p>
          <w:p w14:paraId="0ED6F845" w14:textId="77777777" w:rsidR="00E56F0E" w:rsidRPr="00CA776C" w:rsidRDefault="00E56F0E" w:rsidP="00E56F0E">
            <w:pPr>
              <w:pStyle w:val="NormalWeb"/>
              <w:shd w:val="clear" w:color="auto" w:fill="FFFFFF"/>
              <w:rPr>
                <w:rFonts w:ascii="Arial" w:hAnsi="Arial" w:cs="Arial"/>
                <w:color w:val="000000"/>
                <w:sz w:val="22"/>
                <w:szCs w:val="22"/>
                <w:lang w:val="en-GB"/>
              </w:rPr>
            </w:pPr>
            <w:r w:rsidRPr="00CA776C">
              <w:rPr>
                <w:rFonts w:ascii="Arial" w:hAnsi="Arial" w:cs="Arial"/>
                <w:color w:val="000000"/>
                <w:sz w:val="22"/>
                <w:szCs w:val="22"/>
                <w:lang w:val="en-GB"/>
              </w:rPr>
              <w:t>Our QMS provides greater visibility and transparency enabling us to demonstrate clearly to ourselves and our stakeholders how we work and discharge our regulatory duties. We aim to ensure continuous improvement of our QMS and key processes so that we deliver our regulatory activities both in line with the regulatory framework and best practice.</w:t>
            </w:r>
            <w:r w:rsidRPr="00CA776C">
              <w:rPr>
                <w:rFonts w:ascii="Arial" w:hAnsi="Arial" w:cs="Arial"/>
                <w:color w:val="000000"/>
                <w:sz w:val="22"/>
                <w:szCs w:val="22"/>
                <w:lang w:val="en-GB"/>
              </w:rPr>
              <w:br/>
            </w:r>
            <w:r w:rsidRPr="00CA776C">
              <w:rPr>
                <w:rFonts w:ascii="Arial" w:hAnsi="Arial" w:cs="Arial"/>
                <w:color w:val="000000"/>
                <w:sz w:val="22"/>
                <w:szCs w:val="22"/>
                <w:lang w:val="en-GB"/>
              </w:rPr>
              <w:br/>
              <w:t>There are a number of components to RSD's QMS:</w:t>
            </w:r>
          </w:p>
          <w:p w14:paraId="1630D696" w14:textId="41F177DC" w:rsidR="00E56F0E" w:rsidRPr="00EF45EC" w:rsidRDefault="00E56F0E" w:rsidP="00E56F0E">
            <w:pPr>
              <w:pStyle w:val="NormalWhite"/>
              <w:rPr>
                <w:color w:val="000000" w:themeColor="text1"/>
                <w:sz w:val="22"/>
                <w:szCs w:val="22"/>
              </w:rPr>
            </w:pPr>
            <w:r w:rsidRPr="00EF45EC">
              <w:rPr>
                <w:sz w:val="22"/>
                <w:szCs w:val="22"/>
              </w:rPr>
              <w:t>A </w:t>
            </w:r>
            <w:r w:rsidRPr="00EF45EC">
              <w:rPr>
                <w:rStyle w:val="Strong"/>
                <w:rFonts w:cs="Arial"/>
                <w:color w:val="000000"/>
                <w:sz w:val="22"/>
                <w:szCs w:val="22"/>
              </w:rPr>
              <w:t>Quality Policy</w:t>
            </w:r>
            <w:r w:rsidRPr="00EF45EC">
              <w:rPr>
                <w:sz w:val="22"/>
                <w:szCs w:val="22"/>
              </w:rPr>
              <w:t> for RSD: </w:t>
            </w:r>
            <w:hyperlink r:id="rId14" w:tgtFrame="_blank" w:history="1">
              <w:r w:rsidRPr="00EF45EC">
                <w:rPr>
                  <w:rStyle w:val="Hyperlink"/>
                  <w:rFonts w:cs="Arial"/>
                  <w:color w:val="702472"/>
                  <w:spacing w:val="5"/>
                  <w:sz w:val="22"/>
                  <w:szCs w:val="22"/>
                </w:rPr>
                <w:t>confirming senior RSD commitment to quality</w:t>
              </w:r>
            </w:hyperlink>
            <w:r w:rsidR="00CE59EE" w:rsidRPr="00EF45EC">
              <w:rPr>
                <w:rStyle w:val="Hyperlink"/>
                <w:rFonts w:cs="Arial"/>
                <w:color w:val="000000" w:themeColor="text1"/>
                <w:spacing w:val="5"/>
                <w:sz w:val="22"/>
                <w:szCs w:val="22"/>
                <w:u w:val="none"/>
              </w:rPr>
              <w:t xml:space="preserve"> (</w:t>
            </w:r>
            <w:r w:rsidR="00F6076C" w:rsidRPr="00EF45EC">
              <w:rPr>
                <w:rStyle w:val="Hyperlink"/>
                <w:rFonts w:cs="Arial"/>
                <w:color w:val="000000" w:themeColor="text1"/>
                <w:spacing w:val="5"/>
                <w:sz w:val="22"/>
                <w:szCs w:val="22"/>
                <w:u w:val="none"/>
              </w:rPr>
              <w:t>this is a link to ORR internal document</w:t>
            </w:r>
            <w:r w:rsidR="003F7720">
              <w:rPr>
                <w:rStyle w:val="Hyperlink"/>
                <w:rFonts w:cs="Arial"/>
                <w:color w:val="000000" w:themeColor="text1"/>
                <w:spacing w:val="5"/>
                <w:sz w:val="22"/>
                <w:szCs w:val="22"/>
                <w:u w:val="none"/>
              </w:rPr>
              <w:t xml:space="preserve"> which can be made available </w:t>
            </w:r>
            <w:r w:rsidR="00982D17">
              <w:rPr>
                <w:rStyle w:val="Hyperlink"/>
                <w:rFonts w:cs="Arial"/>
                <w:color w:val="000000" w:themeColor="text1"/>
                <w:spacing w:val="5"/>
                <w:sz w:val="22"/>
                <w:szCs w:val="22"/>
                <w:u w:val="none"/>
              </w:rPr>
              <w:t xml:space="preserve">from ORR </w:t>
            </w:r>
            <w:r w:rsidR="003F7720">
              <w:rPr>
                <w:rStyle w:val="Hyperlink"/>
                <w:rFonts w:cs="Arial"/>
                <w:color w:val="000000" w:themeColor="text1"/>
                <w:spacing w:val="5"/>
                <w:sz w:val="22"/>
                <w:szCs w:val="22"/>
                <w:u w:val="none"/>
              </w:rPr>
              <w:t>upon request</w:t>
            </w:r>
            <w:r w:rsidR="00CE59EE" w:rsidRPr="00EF45EC">
              <w:rPr>
                <w:rStyle w:val="Hyperlink"/>
                <w:rFonts w:cs="Arial"/>
                <w:color w:val="000000" w:themeColor="text1"/>
                <w:spacing w:val="5"/>
                <w:sz w:val="22"/>
                <w:szCs w:val="22"/>
                <w:u w:val="none"/>
              </w:rPr>
              <w:t>)</w:t>
            </w:r>
            <w:r w:rsidR="004244F2">
              <w:rPr>
                <w:rStyle w:val="Hyperlink"/>
                <w:rFonts w:cs="Arial"/>
                <w:color w:val="000000" w:themeColor="text1"/>
                <w:spacing w:val="5"/>
                <w:sz w:val="22"/>
                <w:szCs w:val="22"/>
                <w:u w:val="none"/>
              </w:rPr>
              <w:t>.</w:t>
            </w:r>
          </w:p>
          <w:p w14:paraId="2A2142DB" w14:textId="202EE41A" w:rsidR="00E56F0E" w:rsidRPr="00EF45EC" w:rsidRDefault="00E56F0E" w:rsidP="00E56F0E">
            <w:pPr>
              <w:pStyle w:val="NormalWhite"/>
              <w:rPr>
                <w:sz w:val="22"/>
                <w:szCs w:val="22"/>
              </w:rPr>
            </w:pPr>
            <w:r w:rsidRPr="00EF45EC">
              <w:rPr>
                <w:sz w:val="22"/>
                <w:szCs w:val="22"/>
              </w:rPr>
              <w:t>A </w:t>
            </w:r>
            <w:r w:rsidRPr="00EF45EC">
              <w:rPr>
                <w:rStyle w:val="Strong"/>
                <w:rFonts w:cs="Arial"/>
                <w:color w:val="000000"/>
                <w:sz w:val="22"/>
                <w:szCs w:val="22"/>
              </w:rPr>
              <w:t>Quality Manual</w:t>
            </w:r>
            <w:r w:rsidRPr="00EF45EC">
              <w:rPr>
                <w:sz w:val="22"/>
                <w:szCs w:val="22"/>
              </w:rPr>
              <w:t> for RSD: </w:t>
            </w:r>
            <w:hyperlink r:id="rId15" w:tgtFrame="_blank" w:history="1">
              <w:r w:rsidRPr="00EF45EC">
                <w:rPr>
                  <w:rStyle w:val="Hyperlink"/>
                  <w:rFonts w:cs="Arial"/>
                  <w:color w:val="702472"/>
                  <w:spacing w:val="5"/>
                  <w:sz w:val="22"/>
                  <w:szCs w:val="22"/>
                </w:rPr>
                <w:t>a detailed manual explaining the whole QMS</w:t>
              </w:r>
              <w:r w:rsidRPr="00EF45EC">
                <w:rPr>
                  <w:rStyle w:val="Hyperlink"/>
                  <w:rFonts w:cs="Arial"/>
                  <w:color w:val="702472"/>
                  <w:spacing w:val="5"/>
                  <w:sz w:val="22"/>
                  <w:szCs w:val="22"/>
                  <w:u w:val="none"/>
                </w:rPr>
                <w:t> </w:t>
              </w:r>
            </w:hyperlink>
            <w:r w:rsidR="00CE59EE" w:rsidRPr="00EF45EC">
              <w:rPr>
                <w:rStyle w:val="Hyperlink"/>
                <w:rFonts w:cs="Arial"/>
                <w:color w:val="000000" w:themeColor="text1"/>
                <w:spacing w:val="5"/>
                <w:sz w:val="22"/>
                <w:szCs w:val="22"/>
                <w:u w:val="none"/>
              </w:rPr>
              <w:t>(this is a link to ORR internal document</w:t>
            </w:r>
            <w:r w:rsidR="003F7720">
              <w:rPr>
                <w:rStyle w:val="Hyperlink"/>
                <w:rFonts w:cs="Arial"/>
                <w:color w:val="000000" w:themeColor="text1"/>
                <w:spacing w:val="5"/>
                <w:sz w:val="22"/>
                <w:szCs w:val="22"/>
                <w:u w:val="none"/>
              </w:rPr>
              <w:t xml:space="preserve"> which can be made available from</w:t>
            </w:r>
            <w:r w:rsidR="00982D17">
              <w:rPr>
                <w:rStyle w:val="Hyperlink"/>
                <w:rFonts w:cs="Arial"/>
                <w:color w:val="000000" w:themeColor="text1"/>
                <w:spacing w:val="5"/>
                <w:sz w:val="22"/>
                <w:szCs w:val="22"/>
                <w:u w:val="none"/>
              </w:rPr>
              <w:t xml:space="preserve"> ORR upon request</w:t>
            </w:r>
            <w:r w:rsidR="00CE59EE" w:rsidRPr="00EF45EC">
              <w:rPr>
                <w:rStyle w:val="Hyperlink"/>
                <w:rFonts w:cs="Arial"/>
                <w:color w:val="000000" w:themeColor="text1"/>
                <w:spacing w:val="5"/>
                <w:sz w:val="22"/>
                <w:szCs w:val="22"/>
                <w:u w:val="none"/>
              </w:rPr>
              <w:t>)</w:t>
            </w:r>
            <w:r w:rsidR="004244F2">
              <w:rPr>
                <w:rStyle w:val="Hyperlink"/>
                <w:rFonts w:cs="Arial"/>
                <w:color w:val="000000" w:themeColor="text1"/>
                <w:spacing w:val="5"/>
                <w:sz w:val="22"/>
                <w:szCs w:val="22"/>
                <w:u w:val="none"/>
              </w:rPr>
              <w:t>.</w:t>
            </w:r>
          </w:p>
          <w:p w14:paraId="22C764BF" w14:textId="3D37C936" w:rsidR="00E56F0E" w:rsidRPr="00EF45EC" w:rsidRDefault="00E56F0E" w:rsidP="00E56F0E">
            <w:pPr>
              <w:pStyle w:val="NormalWhite"/>
              <w:rPr>
                <w:sz w:val="22"/>
                <w:szCs w:val="22"/>
              </w:rPr>
            </w:pPr>
            <w:r w:rsidRPr="00EF45EC">
              <w:rPr>
                <w:rFonts w:cs="Arial"/>
                <w:color w:val="000000"/>
                <w:sz w:val="22"/>
                <w:szCs w:val="22"/>
              </w:rPr>
              <w:t>An </w:t>
            </w:r>
            <w:r w:rsidRPr="00EF45EC">
              <w:rPr>
                <w:rStyle w:val="Strong"/>
                <w:rFonts w:cs="Arial"/>
                <w:color w:val="000000"/>
                <w:sz w:val="22"/>
                <w:szCs w:val="22"/>
              </w:rPr>
              <w:t>RSD Process Map</w:t>
            </w:r>
            <w:r w:rsidRPr="00EF45EC">
              <w:rPr>
                <w:rFonts w:cs="Arial"/>
                <w:color w:val="000000"/>
                <w:sz w:val="22"/>
                <w:szCs w:val="22"/>
              </w:rPr>
              <w:t> including all of RSD's processes broken down into "strategic", "core" and "supporting" (see below)</w:t>
            </w:r>
            <w:r w:rsidR="004244F2">
              <w:rPr>
                <w:rFonts w:cs="Arial"/>
                <w:color w:val="000000"/>
                <w:sz w:val="22"/>
                <w:szCs w:val="22"/>
              </w:rPr>
              <w:t>.</w:t>
            </w:r>
          </w:p>
          <w:p w14:paraId="07F81D91" w14:textId="5169E87E" w:rsidR="00E56F0E" w:rsidRPr="00EF45EC" w:rsidRDefault="00E56F0E" w:rsidP="00E56F0E">
            <w:pPr>
              <w:pStyle w:val="NormalWhite"/>
              <w:rPr>
                <w:sz w:val="22"/>
                <w:szCs w:val="22"/>
              </w:rPr>
            </w:pPr>
            <w:r w:rsidRPr="00EF45EC">
              <w:rPr>
                <w:rFonts w:cs="Arial"/>
                <w:color w:val="000000"/>
                <w:sz w:val="22"/>
                <w:szCs w:val="22"/>
              </w:rPr>
              <w:t>Core principles for managing documents within the QMS to ensure a consistent approach – these are outlined in the Quality Manual and provided through a link on the RSD Process Map.</w:t>
            </w:r>
          </w:p>
          <w:p w14:paraId="1F268ADD" w14:textId="77777777" w:rsidR="00F84C6E" w:rsidRPr="00EF45EC" w:rsidRDefault="00F84C6E" w:rsidP="00F84C6E">
            <w:pPr>
              <w:pStyle w:val="Heading2"/>
              <w:shd w:val="clear" w:color="auto" w:fill="FFFFFF"/>
              <w:rPr>
                <w:rFonts w:cs="Arial"/>
                <w:color w:val="000000"/>
                <w:spacing w:val="5"/>
                <w:sz w:val="22"/>
                <w:szCs w:val="22"/>
                <w:lang w:val="en-US"/>
              </w:rPr>
            </w:pPr>
            <w:r w:rsidRPr="00EF45EC">
              <w:rPr>
                <w:rFonts w:cs="Arial"/>
                <w:color w:val="000000"/>
                <w:spacing w:val="5"/>
                <w:sz w:val="22"/>
                <w:szCs w:val="22"/>
              </w:rPr>
              <w:lastRenderedPageBreak/>
              <w:t>RSD Process Map</w:t>
            </w:r>
          </w:p>
          <w:p w14:paraId="24AA06CB" w14:textId="393BA27A" w:rsidR="00F84C6E" w:rsidRPr="00EF45EC" w:rsidRDefault="00F84C6E" w:rsidP="00F84C6E">
            <w:pPr>
              <w:pStyle w:val="NormalWeb"/>
              <w:shd w:val="clear" w:color="auto" w:fill="FFFFFF"/>
              <w:rPr>
                <w:rFonts w:ascii="Arial" w:hAnsi="Arial" w:cs="Arial"/>
                <w:color w:val="000000"/>
                <w:sz w:val="22"/>
                <w:szCs w:val="22"/>
              </w:rPr>
            </w:pPr>
            <w:r w:rsidRPr="00EF45EC">
              <w:rPr>
                <w:rFonts w:ascii="Arial" w:hAnsi="Arial" w:cs="Arial"/>
                <w:color w:val="000000"/>
                <w:sz w:val="22"/>
                <w:szCs w:val="22"/>
              </w:rPr>
              <w:t>We have mapped RSD's processes to show how they link together and to enable users to click through to the process/es they need. Our QMS ensures that when</w:t>
            </w:r>
            <w:r w:rsidRPr="00F84C6E">
              <w:rPr>
                <w:rFonts w:ascii="Arial" w:hAnsi="Arial" w:cs="Arial"/>
                <w:color w:val="000000"/>
                <w:sz w:val="22"/>
                <w:szCs w:val="22"/>
              </w:rPr>
              <w:t xml:space="preserve"> </w:t>
            </w:r>
            <w:r w:rsidR="00312189" w:rsidRPr="00EF45EC">
              <w:rPr>
                <w:rFonts w:ascii="Arial" w:hAnsi="Arial" w:cs="Arial"/>
                <w:color w:val="000000"/>
                <w:sz w:val="22"/>
                <w:szCs w:val="22"/>
              </w:rPr>
              <w:t xml:space="preserve">the user </w:t>
            </w:r>
            <w:r w:rsidRPr="00EF45EC">
              <w:rPr>
                <w:rFonts w:ascii="Arial" w:hAnsi="Arial" w:cs="Arial"/>
                <w:color w:val="000000"/>
                <w:sz w:val="22"/>
                <w:szCs w:val="22"/>
              </w:rPr>
              <w:t>click</w:t>
            </w:r>
            <w:r w:rsidR="00312189" w:rsidRPr="00EF45EC">
              <w:rPr>
                <w:rFonts w:ascii="Arial" w:hAnsi="Arial" w:cs="Arial"/>
                <w:color w:val="000000"/>
                <w:sz w:val="22"/>
                <w:szCs w:val="22"/>
              </w:rPr>
              <w:t>s</w:t>
            </w:r>
            <w:r w:rsidRPr="00EF45EC">
              <w:rPr>
                <w:rFonts w:ascii="Arial" w:hAnsi="Arial" w:cs="Arial"/>
                <w:color w:val="000000"/>
                <w:sz w:val="22"/>
                <w:szCs w:val="22"/>
              </w:rPr>
              <w:t xml:space="preserve"> through from the Process Map </w:t>
            </w:r>
            <w:r w:rsidR="0059498A" w:rsidRPr="00EF45EC">
              <w:rPr>
                <w:rFonts w:ascii="Arial" w:hAnsi="Arial" w:cs="Arial"/>
                <w:color w:val="000000"/>
                <w:sz w:val="22"/>
                <w:szCs w:val="22"/>
              </w:rPr>
              <w:t xml:space="preserve">(as shown in </w:t>
            </w:r>
            <w:r w:rsidR="0059498A" w:rsidRPr="00EF45EC">
              <w:rPr>
                <w:rFonts w:ascii="Arial" w:hAnsi="Arial" w:cs="Arial"/>
                <w:b/>
                <w:color w:val="000000"/>
                <w:sz w:val="22"/>
                <w:szCs w:val="22"/>
              </w:rPr>
              <w:t>Figure 2</w:t>
            </w:r>
            <w:r w:rsidR="0059498A" w:rsidRPr="00EF45EC">
              <w:rPr>
                <w:rFonts w:ascii="Arial" w:hAnsi="Arial" w:cs="Arial"/>
                <w:color w:val="000000"/>
                <w:sz w:val="22"/>
                <w:szCs w:val="22"/>
              </w:rPr>
              <w:t xml:space="preserve"> below) </w:t>
            </w:r>
            <w:r w:rsidR="00312189" w:rsidRPr="00EF45EC">
              <w:rPr>
                <w:rFonts w:ascii="Arial" w:hAnsi="Arial" w:cs="Arial"/>
                <w:color w:val="000000"/>
                <w:sz w:val="22"/>
                <w:szCs w:val="22"/>
              </w:rPr>
              <w:t>the user</w:t>
            </w:r>
            <w:r w:rsidRPr="00EF45EC">
              <w:rPr>
                <w:rFonts w:ascii="Arial" w:hAnsi="Arial" w:cs="Arial"/>
                <w:color w:val="000000"/>
                <w:sz w:val="22"/>
                <w:szCs w:val="22"/>
              </w:rPr>
              <w:t xml:space="preserve"> will always be taken to the most up to date version of that process.  </w:t>
            </w:r>
          </w:p>
          <w:p w14:paraId="29D370AA" w14:textId="77777777" w:rsidR="00F84C6E" w:rsidRPr="00C276C4" w:rsidRDefault="00F84C6E" w:rsidP="00F84C6E">
            <w:pPr>
              <w:pStyle w:val="NormalWeb"/>
              <w:shd w:val="clear" w:color="auto" w:fill="FFFFFF"/>
              <w:rPr>
                <w:rFonts w:ascii="Arial" w:hAnsi="Arial" w:cs="Arial"/>
                <w:color w:val="000000"/>
                <w:sz w:val="22"/>
                <w:szCs w:val="22"/>
              </w:rPr>
            </w:pPr>
            <w:r w:rsidRPr="00C276C4">
              <w:rPr>
                <w:rFonts w:ascii="Arial" w:hAnsi="Arial" w:cs="Arial"/>
                <w:color w:val="000000"/>
                <w:sz w:val="22"/>
                <w:szCs w:val="22"/>
              </w:rPr>
              <w:t>Wherever possible, supporting documentation to that process is included in the process document itself or is accessible via a link within the document creating a "one stop shop" approach to finding and using RSD processes.  </w:t>
            </w:r>
          </w:p>
          <w:p w14:paraId="2F95F836" w14:textId="77777777" w:rsidR="00F84C6E" w:rsidRPr="00CA776C" w:rsidRDefault="00F84C6E" w:rsidP="00F84C6E">
            <w:pPr>
              <w:pStyle w:val="NormalWeb"/>
              <w:shd w:val="clear" w:color="auto" w:fill="FFFFFF"/>
              <w:rPr>
                <w:rFonts w:ascii="Arial" w:hAnsi="Arial" w:cs="Arial"/>
                <w:color w:val="000000"/>
                <w:sz w:val="22"/>
                <w:szCs w:val="22"/>
              </w:rPr>
            </w:pPr>
            <w:r w:rsidRPr="00CA776C">
              <w:rPr>
                <w:rFonts w:ascii="Arial" w:hAnsi="Arial" w:cs="Arial"/>
                <w:color w:val="000000"/>
                <w:sz w:val="22"/>
                <w:szCs w:val="22"/>
              </w:rPr>
              <w:t>RSD's Process Map covers all processes specific to RSD; it does not cover corporate processes.</w:t>
            </w:r>
          </w:p>
          <w:p w14:paraId="275FE9EA" w14:textId="430401AB" w:rsidR="00F84C6E" w:rsidRPr="00EF45EC" w:rsidRDefault="00F84C6E" w:rsidP="00F84C6E">
            <w:pPr>
              <w:pStyle w:val="NormalWeb"/>
              <w:shd w:val="clear" w:color="auto" w:fill="FFFFFF"/>
              <w:rPr>
                <w:rFonts w:ascii="Arial" w:hAnsi="Arial" w:cs="Arial"/>
                <w:color w:val="000000"/>
                <w:sz w:val="22"/>
                <w:szCs w:val="22"/>
              </w:rPr>
            </w:pPr>
            <w:r w:rsidRPr="00CA776C">
              <w:rPr>
                <w:rFonts w:ascii="Arial" w:hAnsi="Arial" w:cs="Arial"/>
                <w:color w:val="000000"/>
                <w:sz w:val="22"/>
                <w:szCs w:val="22"/>
              </w:rPr>
              <w:t>RSD's processes have been brigaded into three categories:</w:t>
            </w:r>
            <w:r w:rsidRPr="00EF45EC">
              <w:rPr>
                <w:rFonts w:ascii="Arial" w:hAnsi="Arial" w:cs="Arial"/>
                <w:color w:val="000000"/>
                <w:sz w:val="22"/>
                <w:szCs w:val="22"/>
              </w:rPr>
              <w:t> </w:t>
            </w:r>
          </w:p>
          <w:p w14:paraId="259D75A0" w14:textId="77777777" w:rsidR="00F84C6E" w:rsidRPr="00EF45EC" w:rsidRDefault="00F84C6E" w:rsidP="00F84C6E">
            <w:pPr>
              <w:pStyle w:val="NormalWhite"/>
              <w:numPr>
                <w:ilvl w:val="0"/>
                <w:numId w:val="36"/>
              </w:numPr>
              <w:shd w:val="clear" w:color="auto" w:fill="FFFFFF"/>
              <w:spacing w:before="120" w:after="120"/>
              <w:ind w:left="714" w:hanging="357"/>
              <w:rPr>
                <w:rFonts w:cs="Arial"/>
                <w:color w:val="000000"/>
                <w:spacing w:val="5"/>
                <w:sz w:val="22"/>
                <w:szCs w:val="22"/>
              </w:rPr>
            </w:pPr>
            <w:r w:rsidRPr="00EF45EC">
              <w:rPr>
                <w:rFonts w:cs="Arial"/>
                <w:b/>
                <w:color w:val="000000"/>
                <w:spacing w:val="5"/>
                <w:sz w:val="22"/>
                <w:szCs w:val="22"/>
              </w:rPr>
              <w:t>Strategic Processes</w:t>
            </w:r>
            <w:r w:rsidRPr="00EF45EC">
              <w:rPr>
                <w:rFonts w:cs="Arial"/>
                <w:color w:val="000000"/>
                <w:spacing w:val="5"/>
                <w:sz w:val="22"/>
                <w:szCs w:val="22"/>
              </w:rPr>
              <w:t xml:space="preserve"> (shown in the light blue boxes), t</w:t>
            </w:r>
            <w:r w:rsidRPr="00EF45EC">
              <w:rPr>
                <w:rStyle w:val="Strong"/>
                <w:rFonts w:cs="Arial"/>
                <w:b w:val="0"/>
                <w:bCs w:val="0"/>
                <w:color w:val="000000"/>
                <w:spacing w:val="5"/>
                <w:sz w:val="22"/>
                <w:szCs w:val="22"/>
              </w:rPr>
              <w:t>hese processes guide RSD's work providing strategic direction to the supervision and planning of our activities. </w:t>
            </w:r>
          </w:p>
          <w:p w14:paraId="24B636C5" w14:textId="77777777" w:rsidR="00F84C6E" w:rsidRPr="00CA776C" w:rsidRDefault="00F84C6E" w:rsidP="00F84C6E">
            <w:pPr>
              <w:pStyle w:val="NormalWhite"/>
              <w:rPr>
                <w:sz w:val="22"/>
                <w:szCs w:val="22"/>
              </w:rPr>
            </w:pPr>
            <w:r w:rsidRPr="00C276C4">
              <w:rPr>
                <w:b/>
                <w:sz w:val="22"/>
                <w:szCs w:val="22"/>
              </w:rPr>
              <w:t>Core Processes</w:t>
            </w:r>
            <w:r w:rsidRPr="00C276C4">
              <w:rPr>
                <w:sz w:val="22"/>
                <w:szCs w:val="22"/>
              </w:rPr>
              <w:t xml:space="preserve"> (shown in the dark blue boxes), these processes enable RSD to undertake its core day to day operational activities, including delivering our statutory </w:t>
            </w:r>
            <w:r w:rsidRPr="00CA776C">
              <w:rPr>
                <w:sz w:val="22"/>
                <w:szCs w:val="22"/>
              </w:rPr>
              <w:t>functions</w:t>
            </w:r>
          </w:p>
          <w:p w14:paraId="670909C1" w14:textId="05849453" w:rsidR="00F84C6E" w:rsidRPr="00CA776C" w:rsidRDefault="00F84C6E" w:rsidP="00F84C6E">
            <w:pPr>
              <w:pStyle w:val="NormalWhite"/>
              <w:rPr>
                <w:sz w:val="22"/>
                <w:szCs w:val="22"/>
              </w:rPr>
            </w:pPr>
            <w:r w:rsidRPr="00CA776C">
              <w:rPr>
                <w:b/>
                <w:sz w:val="22"/>
                <w:szCs w:val="22"/>
              </w:rPr>
              <w:t>Supporting Processes</w:t>
            </w:r>
            <w:r w:rsidRPr="00CA776C">
              <w:rPr>
                <w:sz w:val="22"/>
                <w:szCs w:val="22"/>
              </w:rPr>
              <w:t xml:space="preserve"> (shown in the yellow boxes</w:t>
            </w:r>
            <w:r w:rsidR="00312189" w:rsidRPr="00CA776C">
              <w:rPr>
                <w:sz w:val="22"/>
                <w:szCs w:val="22"/>
              </w:rPr>
              <w:t xml:space="preserve"> on the process map</w:t>
            </w:r>
            <w:r w:rsidRPr="00CA776C">
              <w:rPr>
                <w:sz w:val="22"/>
                <w:szCs w:val="22"/>
              </w:rPr>
              <w:t>), these processes provide the practical support that RSD teams need to go about their work.</w:t>
            </w:r>
          </w:p>
          <w:p w14:paraId="5652E4EA" w14:textId="512BD93E" w:rsidR="00046DD9" w:rsidRDefault="00046DD9" w:rsidP="001071D7">
            <w:pPr>
              <w:rPr>
                <w:rFonts w:cs="Arial"/>
                <w:sz w:val="22"/>
                <w:szCs w:val="22"/>
              </w:rPr>
            </w:pPr>
            <w:r w:rsidRPr="00CA776C">
              <w:rPr>
                <w:rFonts w:cs="Arial"/>
                <w:b/>
                <w:bCs/>
                <w:iCs/>
                <w:color w:val="000000"/>
                <w:spacing w:val="5"/>
                <w:sz w:val="22"/>
                <w:szCs w:val="22"/>
              </w:rPr>
              <w:t>Figure 2: RSD Process Map</w:t>
            </w:r>
            <w:r w:rsidR="0059498A" w:rsidRPr="00CA776C">
              <w:rPr>
                <w:rFonts w:cs="Arial"/>
                <w:b/>
                <w:bCs/>
                <w:iCs/>
                <w:color w:val="000000"/>
                <w:spacing w:val="5"/>
                <w:sz w:val="22"/>
                <w:szCs w:val="22"/>
              </w:rPr>
              <w:t xml:space="preserve"> in QMS</w:t>
            </w:r>
          </w:p>
          <w:p w14:paraId="29513168" w14:textId="0EB5A89C" w:rsidR="00046DD9" w:rsidRDefault="00046DD9" w:rsidP="001071D7">
            <w:pPr>
              <w:rPr>
                <w:rFonts w:cs="Arial"/>
                <w:sz w:val="22"/>
                <w:szCs w:val="22"/>
              </w:rPr>
            </w:pPr>
            <w:r w:rsidRPr="00E123E3">
              <w:rPr>
                <w:rFonts w:cs="Arial"/>
                <w:noProof/>
                <w:sz w:val="22"/>
                <w:szCs w:val="22"/>
                <w:lang w:val="en-US"/>
              </w:rPr>
              <w:drawing>
                <wp:inline distT="0" distB="0" distL="0" distR="0" wp14:anchorId="6A1220CA" wp14:editId="5480E775">
                  <wp:extent cx="5134456" cy="354064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4263" cy="3547404"/>
                          </a:xfrm>
                          <a:prstGeom prst="rect">
                            <a:avLst/>
                          </a:prstGeom>
                          <a:noFill/>
                          <a:ln>
                            <a:noFill/>
                          </a:ln>
                        </pic:spPr>
                      </pic:pic>
                    </a:graphicData>
                  </a:graphic>
                </wp:inline>
              </w:drawing>
            </w:r>
          </w:p>
          <w:p w14:paraId="0768B75C" w14:textId="1811AF29" w:rsidR="000076E6" w:rsidRDefault="000076E6" w:rsidP="001071D7">
            <w:pPr>
              <w:rPr>
                <w:rFonts w:cs="Arial"/>
                <w:sz w:val="22"/>
                <w:szCs w:val="22"/>
              </w:rPr>
            </w:pPr>
            <w:r>
              <w:rPr>
                <w:rFonts w:cs="Arial"/>
                <w:sz w:val="22"/>
                <w:szCs w:val="22"/>
              </w:rPr>
              <w:lastRenderedPageBreak/>
              <w:t>Note –</w:t>
            </w:r>
            <w:r w:rsidR="004244F2">
              <w:rPr>
                <w:rFonts w:cs="Arial"/>
                <w:sz w:val="22"/>
                <w:szCs w:val="22"/>
              </w:rPr>
              <w:t xml:space="preserve"> </w:t>
            </w:r>
            <w:r w:rsidR="0059498A">
              <w:rPr>
                <w:rFonts w:cs="Arial"/>
                <w:sz w:val="22"/>
                <w:szCs w:val="22"/>
              </w:rPr>
              <w:t xml:space="preserve">ORR has </w:t>
            </w:r>
            <w:r>
              <w:rPr>
                <w:rFonts w:cs="Arial"/>
                <w:sz w:val="22"/>
                <w:szCs w:val="22"/>
              </w:rPr>
              <w:t xml:space="preserve">an interactive version of </w:t>
            </w:r>
            <w:r w:rsidR="00913344">
              <w:rPr>
                <w:rFonts w:cs="Arial"/>
                <w:sz w:val="22"/>
                <w:szCs w:val="22"/>
              </w:rPr>
              <w:t>RSD P</w:t>
            </w:r>
            <w:r w:rsidR="0059498A">
              <w:rPr>
                <w:rFonts w:cs="Arial"/>
                <w:sz w:val="22"/>
                <w:szCs w:val="22"/>
              </w:rPr>
              <w:t xml:space="preserve">rocess </w:t>
            </w:r>
            <w:r>
              <w:rPr>
                <w:rFonts w:cs="Arial"/>
                <w:sz w:val="22"/>
                <w:szCs w:val="22"/>
              </w:rPr>
              <w:t>map available internally</w:t>
            </w:r>
            <w:r w:rsidR="00913344">
              <w:rPr>
                <w:rFonts w:cs="Arial"/>
                <w:sz w:val="22"/>
                <w:szCs w:val="22"/>
              </w:rPr>
              <w:t>. Any internal ORR documents which are listed or have links to in this document can be made available upon request.</w:t>
            </w:r>
            <w:r>
              <w:rPr>
                <w:rFonts w:cs="Arial"/>
                <w:sz w:val="22"/>
                <w:szCs w:val="22"/>
              </w:rPr>
              <w:t xml:space="preserve"> </w:t>
            </w:r>
          </w:p>
          <w:p w14:paraId="79BCFE81" w14:textId="6B57468A" w:rsidR="001071D7" w:rsidRPr="001071D7" w:rsidRDefault="75FAB3DF" w:rsidP="001071D7">
            <w:pPr>
              <w:rPr>
                <w:rFonts w:cs="Arial"/>
                <w:sz w:val="22"/>
                <w:szCs w:val="22"/>
              </w:rPr>
            </w:pPr>
            <w:r w:rsidRPr="75FAB3DF">
              <w:rPr>
                <w:rFonts w:cs="Arial"/>
                <w:sz w:val="22"/>
                <w:szCs w:val="22"/>
              </w:rPr>
              <w:t xml:space="preserve">For the purposes of the risk profiling project, we currently </w:t>
            </w:r>
            <w:r w:rsidRPr="75FAB3DF">
              <w:rPr>
                <w:rFonts w:cs="Arial"/>
                <w:color w:val="000000" w:themeColor="text1"/>
                <w:sz w:val="22"/>
                <w:szCs w:val="22"/>
              </w:rPr>
              <w:t xml:space="preserve">have four processes which sit </w:t>
            </w:r>
            <w:r w:rsidR="00913344" w:rsidRPr="75FAB3DF">
              <w:rPr>
                <w:rFonts w:cs="Arial"/>
                <w:color w:val="000000" w:themeColor="text1"/>
                <w:sz w:val="22"/>
                <w:szCs w:val="22"/>
              </w:rPr>
              <w:t>within</w:t>
            </w:r>
            <w:r w:rsidRPr="75FAB3DF">
              <w:rPr>
                <w:rFonts w:cs="Arial"/>
                <w:color w:val="000000" w:themeColor="text1"/>
                <w:sz w:val="22"/>
                <w:szCs w:val="22"/>
              </w:rPr>
              <w:t xml:space="preserve"> the RSD “Strategic Processes” category. These are: </w:t>
            </w:r>
          </w:p>
          <w:p w14:paraId="627C9020" w14:textId="31544D7D" w:rsidR="001071D7" w:rsidRPr="00EF45EC" w:rsidRDefault="00CB13D1" w:rsidP="00EA6897">
            <w:pPr>
              <w:pStyle w:val="ListParagraph"/>
              <w:numPr>
                <w:ilvl w:val="0"/>
                <w:numId w:val="32"/>
              </w:numPr>
              <w:spacing w:before="120" w:after="120" w:line="256" w:lineRule="auto"/>
              <w:ind w:right="-709"/>
              <w:rPr>
                <w:rFonts w:cs="Arial"/>
                <w:sz w:val="22"/>
                <w:szCs w:val="22"/>
              </w:rPr>
            </w:pPr>
            <w:r w:rsidRPr="00992733">
              <w:rPr>
                <w:b/>
              </w:rPr>
              <w:t>Health and safety risk assessment ranking (RARR</w:t>
            </w:r>
            <w:r w:rsidR="75FAB3DF" w:rsidRPr="00992733">
              <w:rPr>
                <w:rStyle w:val="Hyperlink"/>
                <w:rFonts w:cs="Arial"/>
                <w:b/>
                <w:color w:val="000000" w:themeColor="text1"/>
                <w:sz w:val="22"/>
                <w:szCs w:val="22"/>
                <w:u w:val="none"/>
              </w:rPr>
              <w:t>)</w:t>
            </w:r>
            <w:r w:rsidR="004244F2">
              <w:rPr>
                <w:rFonts w:cs="Arial"/>
                <w:sz w:val="22"/>
                <w:szCs w:val="22"/>
              </w:rPr>
              <w:t xml:space="preserve"> </w:t>
            </w:r>
            <w:r w:rsidR="75FAB3DF" w:rsidRPr="75FAB3DF">
              <w:rPr>
                <w:rFonts w:cs="Arial"/>
                <w:sz w:val="22"/>
                <w:szCs w:val="22"/>
              </w:rPr>
              <w:t xml:space="preserve">– </w:t>
            </w:r>
            <w:r w:rsidR="004244F2">
              <w:rPr>
                <w:rFonts w:cs="Arial"/>
                <w:sz w:val="22"/>
                <w:szCs w:val="22"/>
              </w:rPr>
              <w:t>p</w:t>
            </w:r>
            <w:r w:rsidR="75FAB3DF" w:rsidRPr="75FAB3DF">
              <w:rPr>
                <w:rFonts w:cs="Arial"/>
                <w:sz w:val="22"/>
                <w:szCs w:val="22"/>
              </w:rPr>
              <w:t>reviously known</w:t>
            </w:r>
            <w:r>
              <w:rPr>
                <w:rFonts w:cs="Arial"/>
                <w:sz w:val="22"/>
                <w:szCs w:val="22"/>
              </w:rPr>
              <w:br/>
            </w:r>
            <w:r w:rsidR="75FAB3DF" w:rsidRPr="75FAB3DF">
              <w:rPr>
                <w:rFonts w:cs="Arial"/>
                <w:sz w:val="22"/>
                <w:szCs w:val="22"/>
              </w:rPr>
              <w:t>as the RARR, the annual risk profiling exercises allows RSD to understand</w:t>
            </w:r>
            <w:r>
              <w:rPr>
                <w:rFonts w:cs="Arial"/>
                <w:sz w:val="22"/>
                <w:szCs w:val="22"/>
              </w:rPr>
              <w:br/>
            </w:r>
            <w:r w:rsidR="75FAB3DF" w:rsidRPr="75FAB3DF">
              <w:rPr>
                <w:rFonts w:cs="Arial"/>
                <w:sz w:val="22"/>
                <w:szCs w:val="22"/>
              </w:rPr>
              <w:t xml:space="preserve">the risk profile/landscape of the rail industry and which risks are most </w:t>
            </w:r>
            <w:r>
              <w:rPr>
                <w:rFonts w:cs="Arial"/>
                <w:sz w:val="22"/>
                <w:szCs w:val="22"/>
              </w:rPr>
              <w:br/>
            </w:r>
            <w:r w:rsidR="75FAB3DF" w:rsidRPr="75FAB3DF">
              <w:rPr>
                <w:rFonts w:cs="Arial"/>
                <w:sz w:val="22"/>
                <w:szCs w:val="22"/>
              </w:rPr>
              <w:t>important or require our intervention the most.</w:t>
            </w:r>
          </w:p>
          <w:p w14:paraId="5FB1FFCD" w14:textId="1AD045A3" w:rsidR="001071D7" w:rsidRPr="00EF45EC" w:rsidRDefault="00CB13D1" w:rsidP="00EA6897">
            <w:pPr>
              <w:numPr>
                <w:ilvl w:val="0"/>
                <w:numId w:val="32"/>
              </w:numPr>
              <w:shd w:val="clear" w:color="auto" w:fill="FFFFFF"/>
              <w:spacing w:before="120" w:after="120"/>
              <w:ind w:right="-709"/>
              <w:rPr>
                <w:rFonts w:cs="Arial"/>
                <w:color w:val="000000"/>
                <w:sz w:val="22"/>
                <w:szCs w:val="22"/>
              </w:rPr>
            </w:pPr>
            <w:r w:rsidRPr="00992733">
              <w:rPr>
                <w:b/>
              </w:rPr>
              <w:t>Legislative and regulatory management</w:t>
            </w:r>
            <w:r w:rsidRPr="00992733">
              <w:t> </w:t>
            </w:r>
            <w:r w:rsidR="001071D7" w:rsidRPr="00EF45EC">
              <w:rPr>
                <w:rFonts w:cs="Arial"/>
                <w:sz w:val="22"/>
                <w:szCs w:val="22"/>
              </w:rPr>
              <w:t xml:space="preserve">– </w:t>
            </w:r>
            <w:r w:rsidR="001071D7" w:rsidRPr="00EF45EC">
              <w:rPr>
                <w:rFonts w:cs="Arial"/>
                <w:color w:val="000000"/>
                <w:sz w:val="22"/>
                <w:szCs w:val="22"/>
              </w:rPr>
              <w:t>our process for inputting to the</w:t>
            </w:r>
            <w:r>
              <w:rPr>
                <w:rFonts w:cs="Arial"/>
                <w:color w:val="000000"/>
                <w:sz w:val="22"/>
                <w:szCs w:val="22"/>
              </w:rPr>
              <w:br/>
            </w:r>
            <w:r w:rsidR="001071D7" w:rsidRPr="00EF45EC">
              <w:rPr>
                <w:rFonts w:cs="Arial"/>
                <w:color w:val="000000"/>
                <w:sz w:val="22"/>
                <w:szCs w:val="22"/>
              </w:rPr>
              <w:t>development of new or improved legislation or new/improved areas of health</w:t>
            </w:r>
            <w:r>
              <w:rPr>
                <w:rFonts w:cs="Arial"/>
                <w:color w:val="000000"/>
                <w:sz w:val="22"/>
                <w:szCs w:val="22"/>
              </w:rPr>
              <w:br/>
            </w:r>
            <w:r w:rsidR="001071D7" w:rsidRPr="00EF45EC">
              <w:rPr>
                <w:rFonts w:cs="Arial"/>
                <w:color w:val="000000"/>
                <w:sz w:val="22"/>
                <w:szCs w:val="22"/>
              </w:rPr>
              <w:t>and safety regulation.</w:t>
            </w:r>
          </w:p>
          <w:p w14:paraId="4AAF560E" w14:textId="10883930" w:rsidR="001071D7" w:rsidRPr="00EF45EC" w:rsidRDefault="00CC3AAE" w:rsidP="71E3548C">
            <w:pPr>
              <w:numPr>
                <w:ilvl w:val="0"/>
                <w:numId w:val="32"/>
              </w:numPr>
              <w:shd w:val="clear" w:color="auto" w:fill="FFFFFF" w:themeFill="background1"/>
              <w:spacing w:before="120" w:after="120"/>
              <w:ind w:right="-710"/>
              <w:rPr>
                <w:rFonts w:cs="Arial"/>
                <w:sz w:val="22"/>
                <w:szCs w:val="22"/>
              </w:rPr>
            </w:pPr>
            <w:hyperlink r:id="rId17">
              <w:r w:rsidR="75FAB3DF" w:rsidRPr="75FAB3DF">
                <w:rPr>
                  <w:rStyle w:val="Hyperlink"/>
                  <w:rFonts w:cs="Arial"/>
                  <w:sz w:val="22"/>
                  <w:szCs w:val="22"/>
                </w:rPr>
                <w:t>Development and review of our Strategic Risk Chapters</w:t>
              </w:r>
            </w:hyperlink>
            <w:r w:rsidR="75FAB3DF" w:rsidRPr="75FAB3DF">
              <w:rPr>
                <w:rFonts w:cs="Arial"/>
                <w:sz w:val="22"/>
                <w:szCs w:val="22"/>
              </w:rPr>
              <w:t> (</w:t>
            </w:r>
            <w:hyperlink r:id="rId18">
              <w:r w:rsidR="75FAB3DF" w:rsidRPr="75FAB3DF">
                <w:rPr>
                  <w:rStyle w:val="Hyperlink"/>
                  <w:rFonts w:cs="Arial"/>
                  <w:sz w:val="22"/>
                  <w:szCs w:val="22"/>
                </w:rPr>
                <w:t>link</w:t>
              </w:r>
            </w:hyperlink>
            <w:r w:rsidR="75FAB3DF" w:rsidRPr="75FAB3DF">
              <w:rPr>
                <w:rStyle w:val="Hyperlink"/>
                <w:rFonts w:cs="Arial"/>
                <w:sz w:val="22"/>
                <w:szCs w:val="22"/>
              </w:rPr>
              <w:t>)</w:t>
            </w:r>
            <w:r w:rsidR="75FAB3DF" w:rsidRPr="75FAB3DF">
              <w:rPr>
                <w:rStyle w:val="Hyperlink"/>
                <w:rFonts w:cs="Arial"/>
                <w:sz w:val="22"/>
                <w:szCs w:val="22"/>
                <w:u w:val="none"/>
              </w:rPr>
              <w:t xml:space="preserve"> </w:t>
            </w:r>
            <w:r w:rsidR="75FAB3DF" w:rsidRPr="75FAB3DF">
              <w:rPr>
                <w:rFonts w:cs="Arial"/>
                <w:sz w:val="22"/>
                <w:szCs w:val="22"/>
              </w:rPr>
              <w:t>– the suite of</w:t>
            </w:r>
            <w:r w:rsidR="004244F2">
              <w:rPr>
                <w:rFonts w:cs="Arial"/>
                <w:sz w:val="22"/>
                <w:szCs w:val="22"/>
              </w:rPr>
              <w:br/>
            </w:r>
            <w:r w:rsidR="75FAB3DF" w:rsidRPr="75FAB3DF">
              <w:rPr>
                <w:rFonts w:cs="Arial"/>
                <w:sz w:val="22"/>
                <w:szCs w:val="22"/>
              </w:rPr>
              <w:t xml:space="preserve">Strategic Risk Chapters (SRCs)  help prioritise our and industry's response </w:t>
            </w:r>
            <w:r w:rsidR="004244F2">
              <w:rPr>
                <w:rFonts w:cs="Arial"/>
                <w:sz w:val="22"/>
                <w:szCs w:val="22"/>
              </w:rPr>
              <w:br/>
            </w:r>
            <w:r w:rsidR="75FAB3DF" w:rsidRPr="75FAB3DF">
              <w:rPr>
                <w:rFonts w:cs="Arial"/>
                <w:sz w:val="22"/>
                <w:szCs w:val="22"/>
              </w:rPr>
              <w:t>to key risks.</w:t>
            </w:r>
          </w:p>
          <w:p w14:paraId="43853738" w14:textId="430C3776" w:rsidR="001071D7" w:rsidRPr="00EF45EC" w:rsidRDefault="00CB13D1" w:rsidP="00EA6897">
            <w:pPr>
              <w:numPr>
                <w:ilvl w:val="0"/>
                <w:numId w:val="32"/>
              </w:numPr>
              <w:shd w:val="clear" w:color="auto" w:fill="FFFFFF"/>
              <w:spacing w:before="120" w:after="120"/>
              <w:ind w:right="-710"/>
              <w:rPr>
                <w:rFonts w:cs="Arial"/>
                <w:color w:val="000000"/>
                <w:sz w:val="22"/>
                <w:szCs w:val="22"/>
              </w:rPr>
            </w:pPr>
            <w:r w:rsidRPr="00992733">
              <w:rPr>
                <w:b/>
              </w:rPr>
              <w:t>Directorate and team planning</w:t>
            </w:r>
            <w:r w:rsidRPr="00992733">
              <w:t> </w:t>
            </w:r>
            <w:r w:rsidR="001071D7" w:rsidRPr="00EF45EC">
              <w:rPr>
                <w:rFonts w:cs="Arial"/>
                <w:sz w:val="22"/>
                <w:szCs w:val="22"/>
              </w:rPr>
              <w:t xml:space="preserve">– </w:t>
            </w:r>
            <w:r w:rsidR="001071D7" w:rsidRPr="00EF45EC">
              <w:rPr>
                <w:rFonts w:cs="Arial"/>
                <w:color w:val="000000"/>
                <w:sz w:val="22"/>
                <w:szCs w:val="22"/>
              </w:rPr>
              <w:t xml:space="preserve">how we plan to deliver our reactive, </w:t>
            </w:r>
            <w:r w:rsidR="001071D7" w:rsidRPr="00EF45EC">
              <w:rPr>
                <w:rFonts w:cs="Arial"/>
                <w:color w:val="000000"/>
                <w:sz w:val="22"/>
                <w:szCs w:val="22"/>
              </w:rPr>
              <w:br/>
              <w:t xml:space="preserve">proactive and statutory work taking the outcomes and outputs from the </w:t>
            </w:r>
            <w:r w:rsidR="001071D7" w:rsidRPr="00EF45EC">
              <w:rPr>
                <w:rFonts w:cs="Arial"/>
                <w:color w:val="000000"/>
                <w:sz w:val="22"/>
                <w:szCs w:val="22"/>
              </w:rPr>
              <w:br/>
              <w:t>above processes into account.</w:t>
            </w:r>
          </w:p>
          <w:p w14:paraId="7A5B9AB8" w14:textId="55069EA2" w:rsidR="002937E9" w:rsidRDefault="71E3548C" w:rsidP="003B29B3">
            <w:pPr>
              <w:pStyle w:val="ListNumber"/>
              <w:numPr>
                <w:ilvl w:val="0"/>
                <w:numId w:val="0"/>
              </w:numPr>
              <w:ind w:right="-852"/>
              <w:rPr>
                <w:rFonts w:cs="Arial"/>
                <w:color w:val="000000"/>
                <w:sz w:val="22"/>
                <w:szCs w:val="22"/>
              </w:rPr>
            </w:pPr>
            <w:r w:rsidRPr="71E3548C">
              <w:rPr>
                <w:rFonts w:cs="Arial"/>
                <w:color w:val="000000" w:themeColor="text1"/>
                <w:sz w:val="22"/>
                <w:szCs w:val="22"/>
              </w:rPr>
              <w:t xml:space="preserve">Although these processes are firmly in place and applied routinely, we </w:t>
            </w:r>
            <w:r w:rsidR="001071D7">
              <w:br/>
            </w:r>
            <w:r w:rsidRPr="71E3548C">
              <w:rPr>
                <w:rFonts w:cs="Arial"/>
                <w:color w:val="000000" w:themeColor="text1"/>
                <w:sz w:val="22"/>
                <w:szCs w:val="22"/>
              </w:rPr>
              <w:t xml:space="preserve">are still working to capture them fully in the suite of QMS documentation; this </w:t>
            </w:r>
            <w:r w:rsidR="004055C8">
              <w:rPr>
                <w:rFonts w:cs="Arial"/>
                <w:color w:val="000000" w:themeColor="text1"/>
                <w:sz w:val="22"/>
                <w:szCs w:val="22"/>
              </w:rPr>
              <w:br/>
            </w:r>
            <w:r w:rsidRPr="71E3548C">
              <w:rPr>
                <w:rFonts w:cs="Arial"/>
                <w:color w:val="000000" w:themeColor="text1"/>
                <w:sz w:val="22"/>
                <w:szCs w:val="22"/>
              </w:rPr>
              <w:t>project will assist</w:t>
            </w:r>
            <w:r w:rsidR="004244F2">
              <w:rPr>
                <w:rFonts w:cs="Arial"/>
                <w:color w:val="000000" w:themeColor="text1"/>
                <w:sz w:val="22"/>
                <w:szCs w:val="22"/>
              </w:rPr>
              <w:t xml:space="preserve"> with this</w:t>
            </w:r>
            <w:r w:rsidRPr="71E3548C">
              <w:rPr>
                <w:rFonts w:cs="Arial"/>
                <w:color w:val="000000" w:themeColor="text1"/>
                <w:sz w:val="22"/>
                <w:szCs w:val="22"/>
              </w:rPr>
              <w:t xml:space="preserve">. </w:t>
            </w:r>
            <w:r w:rsidR="0026655A">
              <w:rPr>
                <w:rFonts w:cs="Arial"/>
                <w:color w:val="000000" w:themeColor="text1"/>
                <w:sz w:val="22"/>
                <w:szCs w:val="22"/>
              </w:rPr>
              <w:t xml:space="preserve">We </w:t>
            </w:r>
            <w:r w:rsidR="004244F2">
              <w:rPr>
                <w:rFonts w:cs="Arial"/>
                <w:color w:val="000000" w:themeColor="text1"/>
                <w:sz w:val="22"/>
                <w:szCs w:val="22"/>
              </w:rPr>
              <w:t xml:space="preserve">are </w:t>
            </w:r>
            <w:r w:rsidR="0026655A">
              <w:rPr>
                <w:rFonts w:cs="Arial"/>
                <w:color w:val="000000" w:themeColor="text1"/>
                <w:sz w:val="22"/>
                <w:szCs w:val="22"/>
              </w:rPr>
              <w:t xml:space="preserve">looking for the risk profiling processes to </w:t>
            </w:r>
            <w:r w:rsidR="004244F2">
              <w:rPr>
                <w:rFonts w:cs="Arial"/>
                <w:color w:val="000000" w:themeColor="text1"/>
                <w:sz w:val="22"/>
                <w:szCs w:val="22"/>
              </w:rPr>
              <w:br/>
            </w:r>
            <w:r w:rsidR="0026655A">
              <w:rPr>
                <w:rFonts w:cs="Arial"/>
                <w:color w:val="000000" w:themeColor="text1"/>
                <w:sz w:val="22"/>
                <w:szCs w:val="22"/>
              </w:rPr>
              <w:t xml:space="preserve">developed and implemented into the QMS as part of this project. </w:t>
            </w:r>
          </w:p>
          <w:p w14:paraId="5BFE9237" w14:textId="263E18CE" w:rsidR="00435B91" w:rsidRPr="003B29B3" w:rsidRDefault="00B86C8A" w:rsidP="00B51B80">
            <w:pPr>
              <w:pStyle w:val="ListNumber"/>
              <w:numPr>
                <w:ilvl w:val="0"/>
                <w:numId w:val="0"/>
              </w:numPr>
              <w:spacing w:after="360"/>
              <w:ind w:right="-851"/>
              <w:rPr>
                <w:rFonts w:cs="Arial"/>
                <w:color w:val="000000"/>
                <w:sz w:val="22"/>
                <w:szCs w:val="22"/>
              </w:rPr>
            </w:pPr>
            <w:r>
              <w:rPr>
                <w:rFonts w:cs="Arial"/>
                <w:color w:val="000000"/>
                <w:sz w:val="22"/>
                <w:szCs w:val="22"/>
              </w:rPr>
              <w:t xml:space="preserve">We can provide </w:t>
            </w:r>
            <w:r w:rsidR="00CA776C">
              <w:rPr>
                <w:rFonts w:cs="Arial"/>
                <w:color w:val="000000"/>
                <w:sz w:val="22"/>
                <w:szCs w:val="22"/>
              </w:rPr>
              <w:t xml:space="preserve">further </w:t>
            </w:r>
            <w:r>
              <w:rPr>
                <w:rFonts w:cs="Arial"/>
                <w:color w:val="000000"/>
                <w:sz w:val="22"/>
                <w:szCs w:val="22"/>
              </w:rPr>
              <w:t>information about our existing processes upon request.</w:t>
            </w:r>
          </w:p>
        </w:tc>
      </w:tr>
      <w:tr w:rsidR="00F52BE8" w:rsidRPr="0036077E" w14:paraId="0D0F920E" w14:textId="77777777" w:rsidTr="75FAB3DF">
        <w:trPr>
          <w:trHeight w:val="371"/>
        </w:trPr>
        <w:tc>
          <w:tcPr>
            <w:tcW w:w="8528" w:type="dxa"/>
            <w:shd w:val="clear" w:color="auto" w:fill="99CCFF"/>
          </w:tcPr>
          <w:p w14:paraId="31E3D92E" w14:textId="77777777" w:rsidR="00F52BE8" w:rsidRPr="0036077E" w:rsidRDefault="00F52BE8" w:rsidP="006D798C">
            <w:pPr>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75FAB3DF">
        <w:trPr>
          <w:trHeight w:val="757"/>
        </w:trPr>
        <w:tc>
          <w:tcPr>
            <w:tcW w:w="8528" w:type="dxa"/>
            <w:tcBorders>
              <w:bottom w:val="single" w:sz="4" w:space="0" w:color="auto"/>
            </w:tcBorders>
            <w:shd w:val="clear" w:color="auto" w:fill="auto"/>
          </w:tcPr>
          <w:p w14:paraId="4EF63D6A" w14:textId="2FEBF882" w:rsidR="000465F2" w:rsidRPr="000465F2" w:rsidRDefault="000465F2" w:rsidP="00A275C6">
            <w:pPr>
              <w:spacing w:before="120"/>
              <w:ind w:firstLine="23"/>
              <w:rPr>
                <w:rFonts w:cs="Arial"/>
                <w:b/>
                <w:sz w:val="22"/>
                <w:szCs w:val="22"/>
              </w:rPr>
            </w:pPr>
            <w:r w:rsidRPr="000465F2">
              <w:rPr>
                <w:rFonts w:cs="Arial"/>
                <w:b/>
                <w:sz w:val="22"/>
                <w:szCs w:val="22"/>
              </w:rPr>
              <w:t>Project objective</w:t>
            </w:r>
          </w:p>
          <w:p w14:paraId="504C0C21" w14:textId="44F4C969" w:rsidR="00DA55FB" w:rsidRPr="00C359C6" w:rsidRDefault="71E3548C" w:rsidP="00DA55FB">
            <w:pPr>
              <w:rPr>
                <w:rFonts w:cs="Arial"/>
                <w:sz w:val="22"/>
                <w:szCs w:val="22"/>
              </w:rPr>
            </w:pPr>
            <w:r w:rsidRPr="71E3548C">
              <w:rPr>
                <w:rFonts w:cs="Arial"/>
                <w:sz w:val="22"/>
                <w:szCs w:val="22"/>
              </w:rPr>
              <w:t>The purpose of this project is to develop and document a robust process (‘lifecycle’) for risk profiling in the “Strategic Processes” section of the RSD QMS that feeds into and takes output from other processes which guide our work and help determine our priorities. These other processes include development and review of our published strategic risk chapters (</w:t>
            </w:r>
            <w:hyperlink r:id="rId19">
              <w:r w:rsidRPr="71E3548C">
                <w:rPr>
                  <w:rStyle w:val="Hyperlink"/>
                  <w:rFonts w:cs="Arial"/>
                  <w:sz w:val="22"/>
                  <w:szCs w:val="22"/>
                </w:rPr>
                <w:t>link</w:t>
              </w:r>
            </w:hyperlink>
            <w:r w:rsidRPr="71E3548C">
              <w:rPr>
                <w:rFonts w:cs="Arial"/>
                <w:sz w:val="22"/>
                <w:szCs w:val="22"/>
              </w:rPr>
              <w:t xml:space="preserve">), directorate and team business planning (including the annual risk profiling  workshops).  </w:t>
            </w:r>
          </w:p>
          <w:p w14:paraId="107A1DDD" w14:textId="4B32C9F2" w:rsidR="00DA55FB" w:rsidRPr="00C359C6" w:rsidRDefault="75FAB3DF" w:rsidP="71E3548C">
            <w:r w:rsidRPr="75FAB3DF">
              <w:rPr>
                <w:rFonts w:cs="Arial"/>
                <w:sz w:val="22"/>
                <w:szCs w:val="22"/>
              </w:rPr>
              <w:t xml:space="preserve">Whilst in practice we have processes to help with our risk profiling exercise, we have identified some issues with the annual exercise this informs; </w:t>
            </w:r>
            <w:r w:rsidR="0021056B">
              <w:rPr>
                <w:rFonts w:cs="Arial"/>
                <w:sz w:val="22"/>
                <w:szCs w:val="22"/>
              </w:rPr>
              <w:t xml:space="preserve">for </w:t>
            </w:r>
            <w:r w:rsidRPr="75FAB3DF">
              <w:rPr>
                <w:rFonts w:cs="Arial"/>
                <w:sz w:val="22"/>
                <w:szCs w:val="22"/>
              </w:rPr>
              <w:t xml:space="preserve">example, our development and updating of the SRCs, should feed into the following year’s risk profiling exercise, and wider directorate and team business planning, but currently do not in any meaningful or systemic fashion . We </w:t>
            </w:r>
            <w:r w:rsidR="0021056B">
              <w:rPr>
                <w:rFonts w:cs="Arial"/>
                <w:sz w:val="22"/>
                <w:szCs w:val="22"/>
              </w:rPr>
              <w:t xml:space="preserve">have </w:t>
            </w:r>
            <w:r w:rsidRPr="75FAB3DF">
              <w:rPr>
                <w:rFonts w:cs="Arial"/>
                <w:sz w:val="22"/>
                <w:szCs w:val="22"/>
              </w:rPr>
              <w:t xml:space="preserve">also identified issues with the ownership of some SRCs (and what the role of an owner means in practice) and different perceptions across RSD (and potentially external users) in respect of their current and future purpose. None of these “Strategic Processes” </w:t>
            </w:r>
            <w:r w:rsidR="0021056B">
              <w:rPr>
                <w:rFonts w:cs="Arial"/>
                <w:sz w:val="22"/>
                <w:szCs w:val="22"/>
              </w:rPr>
              <w:t>are</w:t>
            </w:r>
            <w:r w:rsidRPr="75FAB3DF">
              <w:rPr>
                <w:rFonts w:cs="Arial"/>
                <w:sz w:val="22"/>
                <w:szCs w:val="22"/>
              </w:rPr>
              <w:t xml:space="preserve"> documented properly in our QMS, fourteen months post its launch. Ultimately</w:t>
            </w:r>
            <w:r w:rsidR="0021056B">
              <w:rPr>
                <w:rFonts w:cs="Arial"/>
                <w:sz w:val="22"/>
                <w:szCs w:val="22"/>
              </w:rPr>
              <w:t>,</w:t>
            </w:r>
            <w:r w:rsidRPr="75FAB3DF">
              <w:rPr>
                <w:rFonts w:cs="Arial"/>
                <w:sz w:val="22"/>
                <w:szCs w:val="22"/>
              </w:rPr>
              <w:t xml:space="preserve"> the aim is for a process in which data and intelligence, including from the previous year’s interventions and the SRCs, feeds into the risk profiling workshops, the outputs of which informs the following year’s interventions and future content of the SRCs, which will then inform the next iteration of the risk profile exercise. The </w:t>
            </w:r>
            <w:r w:rsidRPr="75FAB3DF">
              <w:rPr>
                <w:rFonts w:cs="Arial"/>
                <w:sz w:val="22"/>
                <w:szCs w:val="22"/>
              </w:rPr>
              <w:lastRenderedPageBreak/>
              <w:t>project needs to make explicit link between the SRCs and the risk profiling process and wider ORR strategic objectives.</w:t>
            </w:r>
          </w:p>
          <w:p w14:paraId="30857356" w14:textId="7602E13C" w:rsidR="000465F2" w:rsidRDefault="000465F2" w:rsidP="000465F2">
            <w:pPr>
              <w:ind w:firstLine="22"/>
              <w:rPr>
                <w:rFonts w:cs="Arial"/>
                <w:b/>
                <w:sz w:val="22"/>
                <w:szCs w:val="22"/>
              </w:rPr>
            </w:pPr>
            <w:r>
              <w:rPr>
                <w:rFonts w:cs="Arial"/>
                <w:b/>
                <w:sz w:val="22"/>
                <w:szCs w:val="22"/>
              </w:rPr>
              <w:t>Key Tasks</w:t>
            </w:r>
          </w:p>
          <w:p w14:paraId="02034B0B" w14:textId="4DE3BF77" w:rsidR="006D798C" w:rsidRPr="00171B42" w:rsidRDefault="006D798C" w:rsidP="000465F2">
            <w:pPr>
              <w:ind w:firstLine="22"/>
              <w:rPr>
                <w:rFonts w:cs="Arial"/>
                <w:sz w:val="22"/>
                <w:szCs w:val="22"/>
              </w:rPr>
            </w:pPr>
            <w:r>
              <w:rPr>
                <w:rFonts w:cs="Arial"/>
                <w:sz w:val="22"/>
                <w:szCs w:val="22"/>
              </w:rPr>
              <w:t>There are three broad elements – scop</w:t>
            </w:r>
            <w:r w:rsidR="00915AA2">
              <w:rPr>
                <w:rFonts w:cs="Arial"/>
                <w:sz w:val="22"/>
                <w:szCs w:val="22"/>
              </w:rPr>
              <w:t>ing</w:t>
            </w:r>
            <w:r>
              <w:rPr>
                <w:rFonts w:cs="Arial"/>
                <w:sz w:val="22"/>
                <w:szCs w:val="22"/>
              </w:rPr>
              <w:t>, development/documentation and implementation</w:t>
            </w:r>
            <w:r w:rsidR="00915AA2">
              <w:rPr>
                <w:rFonts w:cs="Arial"/>
                <w:sz w:val="22"/>
                <w:szCs w:val="22"/>
              </w:rPr>
              <w:t>/embedding</w:t>
            </w:r>
          </w:p>
          <w:p w14:paraId="563471C8" w14:textId="4838677C" w:rsidR="00E33770" w:rsidRPr="00171B42" w:rsidRDefault="75FAB3DF" w:rsidP="00FB563E">
            <w:pPr>
              <w:pStyle w:val="NormalWhite"/>
              <w:rPr>
                <w:rFonts w:cs="Arial"/>
                <w:sz w:val="22"/>
                <w:szCs w:val="22"/>
              </w:rPr>
            </w:pPr>
            <w:r w:rsidRPr="75FAB3DF">
              <w:rPr>
                <w:rFonts w:cs="Arial"/>
                <w:b/>
                <w:bCs/>
                <w:sz w:val="22"/>
                <w:szCs w:val="22"/>
              </w:rPr>
              <w:t>Scoping</w:t>
            </w:r>
            <w:r w:rsidRPr="75FAB3DF">
              <w:rPr>
                <w:rFonts w:cs="Arial"/>
                <w:sz w:val="22"/>
                <w:szCs w:val="22"/>
              </w:rPr>
              <w:t xml:space="preserve"> – this would be to undertake a critique of the wider strategic landscape involving some relevant benchmarking (including against other UK regulators) and some relevant comparisons with how other industry bodies approach risk profiling. We also expect consideration from first principles around whether ORR’s current risk profiling and strategic risk practices (and the SRCs) are effective, relevant and current. It would be important to gather feedback from relevant ORR colleagues to inform this part of the project. It would also be important to have continuous communication with the relevant ORR colleagues throughout the project to promote ownership and ensure the end product meets their needs.</w:t>
            </w:r>
          </w:p>
          <w:p w14:paraId="18E4836C" w14:textId="12A5F221" w:rsidR="00E33770" w:rsidRDefault="008F3972" w:rsidP="00E33770">
            <w:pPr>
              <w:pStyle w:val="NormalWhite"/>
              <w:numPr>
                <w:ilvl w:val="0"/>
                <w:numId w:val="0"/>
              </w:numPr>
              <w:ind w:left="720"/>
              <w:rPr>
                <w:rFonts w:cs="Arial"/>
                <w:sz w:val="22"/>
                <w:szCs w:val="22"/>
              </w:rPr>
            </w:pPr>
            <w:r>
              <w:rPr>
                <w:rFonts w:cs="Arial"/>
                <w:sz w:val="22"/>
                <w:szCs w:val="22"/>
              </w:rPr>
              <w:t xml:space="preserve">The </w:t>
            </w:r>
            <w:r w:rsidR="75FAB3DF" w:rsidRPr="003038AA">
              <w:rPr>
                <w:rFonts w:cs="Arial"/>
                <w:sz w:val="22"/>
                <w:szCs w:val="22"/>
              </w:rPr>
              <w:t xml:space="preserve">ORR </w:t>
            </w:r>
            <w:r w:rsidR="75FAB3DF" w:rsidRPr="00894962">
              <w:rPr>
                <w:rFonts w:cs="Arial"/>
                <w:sz w:val="22"/>
                <w:szCs w:val="22"/>
              </w:rPr>
              <w:t>Data and Intelligence Project has already considered from first principles what data we collect and its use in the annual risk profiling exercise</w:t>
            </w:r>
            <w:r w:rsidR="00110896" w:rsidRPr="00894962">
              <w:rPr>
                <w:rFonts w:cs="Arial"/>
                <w:sz w:val="22"/>
                <w:szCs w:val="22"/>
              </w:rPr>
              <w:t xml:space="preserve">, </w:t>
            </w:r>
            <w:r>
              <w:rPr>
                <w:rFonts w:cs="Arial"/>
                <w:sz w:val="22"/>
                <w:szCs w:val="22"/>
              </w:rPr>
              <w:t xml:space="preserve">so </w:t>
            </w:r>
            <w:r w:rsidR="00110896" w:rsidRPr="00894962">
              <w:rPr>
                <w:rFonts w:cs="Arial"/>
                <w:sz w:val="22"/>
                <w:szCs w:val="22"/>
              </w:rPr>
              <w:t>a list of current data sources will be shared to assist with</w:t>
            </w:r>
            <w:r w:rsidR="75FAB3DF" w:rsidRPr="00894962">
              <w:rPr>
                <w:rFonts w:cs="Arial"/>
                <w:sz w:val="22"/>
                <w:szCs w:val="22"/>
              </w:rPr>
              <w:t xml:space="preserve"> the wider strategic landscape critique</w:t>
            </w:r>
            <w:r w:rsidR="00AB39D6">
              <w:rPr>
                <w:rFonts w:cs="Arial"/>
                <w:sz w:val="22"/>
                <w:szCs w:val="22"/>
              </w:rPr>
              <w:t xml:space="preserve"> phase of this project</w:t>
            </w:r>
            <w:r w:rsidR="00110896" w:rsidRPr="00894962">
              <w:rPr>
                <w:rFonts w:cs="Arial"/>
                <w:sz w:val="22"/>
                <w:szCs w:val="22"/>
              </w:rPr>
              <w:t>.</w:t>
            </w:r>
            <w:r w:rsidR="75FAB3DF" w:rsidRPr="00894962">
              <w:rPr>
                <w:rFonts w:cs="Arial"/>
                <w:sz w:val="22"/>
                <w:szCs w:val="22"/>
              </w:rPr>
              <w:t xml:space="preserve"> </w:t>
            </w:r>
          </w:p>
          <w:p w14:paraId="082CDB4D" w14:textId="44C708C1" w:rsidR="00E33770" w:rsidRDefault="71E3548C" w:rsidP="00FB563E">
            <w:pPr>
              <w:pStyle w:val="NormalWhite"/>
              <w:rPr>
                <w:rFonts w:cs="Arial"/>
                <w:sz w:val="22"/>
                <w:szCs w:val="22"/>
              </w:rPr>
            </w:pPr>
            <w:r w:rsidRPr="71E3548C">
              <w:rPr>
                <w:rFonts w:cs="Arial"/>
                <w:b/>
                <w:bCs/>
                <w:sz w:val="22"/>
                <w:szCs w:val="22"/>
              </w:rPr>
              <w:t>Development/Documentation</w:t>
            </w:r>
            <w:r w:rsidRPr="71E3548C">
              <w:rPr>
                <w:rFonts w:cs="Arial"/>
                <w:sz w:val="22"/>
                <w:szCs w:val="22"/>
              </w:rPr>
              <w:t xml:space="preserve"> – of the resulting risk profiling lifecycle in the QMS that interfaces with </w:t>
            </w:r>
            <w:r w:rsidR="00AB39D6">
              <w:rPr>
                <w:rFonts w:cs="Arial"/>
                <w:sz w:val="22"/>
                <w:szCs w:val="22"/>
              </w:rPr>
              <w:t xml:space="preserve">the </w:t>
            </w:r>
            <w:r w:rsidRPr="71E3548C">
              <w:rPr>
                <w:rFonts w:cs="Arial"/>
                <w:sz w:val="22"/>
                <w:szCs w:val="22"/>
              </w:rPr>
              <w:t>wider landscape and produce useful working level documentation with graphical presentation of the risk profiling lifecycle. This QMS documentation should be consistent with how other RSD processes are defined and presented in the QMS.</w:t>
            </w:r>
          </w:p>
          <w:p w14:paraId="1934FD87" w14:textId="6D163711" w:rsidR="00E33770" w:rsidRPr="00910C62" w:rsidRDefault="71E3548C" w:rsidP="00910C62">
            <w:pPr>
              <w:pStyle w:val="NormalWhite"/>
              <w:rPr>
                <w:rFonts w:cs="Arial"/>
                <w:sz w:val="22"/>
                <w:szCs w:val="22"/>
              </w:rPr>
            </w:pPr>
            <w:r w:rsidRPr="71E3548C">
              <w:rPr>
                <w:rFonts w:cs="Arial"/>
                <w:b/>
                <w:bCs/>
                <w:sz w:val="22"/>
                <w:szCs w:val="22"/>
              </w:rPr>
              <w:t xml:space="preserve">Implementation/embedding </w:t>
            </w:r>
            <w:r w:rsidRPr="71E3548C">
              <w:rPr>
                <w:rFonts w:cs="Arial"/>
                <w:sz w:val="22"/>
                <w:szCs w:val="22"/>
              </w:rPr>
              <w:t xml:space="preserve">– to </w:t>
            </w:r>
            <w:r w:rsidR="00725F78">
              <w:rPr>
                <w:rFonts w:cs="Arial"/>
                <w:sz w:val="22"/>
                <w:szCs w:val="22"/>
              </w:rPr>
              <w:t xml:space="preserve">drive </w:t>
            </w:r>
            <w:r w:rsidRPr="71E3548C">
              <w:rPr>
                <w:rFonts w:cs="Arial"/>
                <w:sz w:val="22"/>
                <w:szCs w:val="22"/>
              </w:rPr>
              <w:t>implementation and embedding of the risk profiling process</w:t>
            </w:r>
            <w:r w:rsidR="00725F78">
              <w:rPr>
                <w:rFonts w:cs="Arial"/>
                <w:sz w:val="22"/>
                <w:szCs w:val="22"/>
              </w:rPr>
              <w:t xml:space="preserve"> – </w:t>
            </w:r>
            <w:r w:rsidRPr="71E3548C">
              <w:rPr>
                <w:rFonts w:cs="Arial"/>
                <w:sz w:val="22"/>
                <w:szCs w:val="22"/>
              </w:rPr>
              <w:t xml:space="preserve">including </w:t>
            </w:r>
            <w:r w:rsidR="00725F78">
              <w:rPr>
                <w:rFonts w:cs="Arial"/>
                <w:sz w:val="22"/>
                <w:szCs w:val="22"/>
              </w:rPr>
              <w:t xml:space="preserve">setting </w:t>
            </w:r>
            <w:r w:rsidRPr="71E3548C">
              <w:rPr>
                <w:rFonts w:cs="Arial"/>
                <w:sz w:val="22"/>
                <w:szCs w:val="22"/>
              </w:rPr>
              <w:t>the right conditions for driving improved acceptance, confidence and ownership of that process</w:t>
            </w:r>
            <w:r w:rsidR="00725F78">
              <w:rPr>
                <w:rFonts w:cs="Arial"/>
                <w:sz w:val="22"/>
                <w:szCs w:val="22"/>
              </w:rPr>
              <w:t xml:space="preserve"> – </w:t>
            </w:r>
            <w:r w:rsidRPr="71E3548C">
              <w:rPr>
                <w:rFonts w:cs="Arial"/>
                <w:sz w:val="22"/>
                <w:szCs w:val="22"/>
              </w:rPr>
              <w:t xml:space="preserve">in order to successfully operationalise it in our day to day work </w:t>
            </w:r>
            <w:r w:rsidR="00725F78">
              <w:rPr>
                <w:rFonts w:cs="Arial"/>
                <w:sz w:val="22"/>
                <w:szCs w:val="22"/>
              </w:rPr>
              <w:t>including</w:t>
            </w:r>
            <w:r w:rsidRPr="71E3548C">
              <w:rPr>
                <w:rFonts w:cs="Arial"/>
                <w:sz w:val="22"/>
                <w:szCs w:val="22"/>
              </w:rPr>
              <w:t xml:space="preserve"> having KPIs to measure success, practical tips and guidance.</w:t>
            </w:r>
          </w:p>
          <w:p w14:paraId="6B9B3350" w14:textId="77777777" w:rsidR="007A02EE" w:rsidRDefault="007A02EE" w:rsidP="007A02EE">
            <w:pPr>
              <w:rPr>
                <w:rFonts w:cs="Arial"/>
                <w:b/>
                <w:sz w:val="22"/>
                <w:szCs w:val="22"/>
              </w:rPr>
            </w:pPr>
            <w:r>
              <w:rPr>
                <w:rFonts w:cs="Arial"/>
                <w:b/>
                <w:sz w:val="22"/>
                <w:szCs w:val="22"/>
              </w:rPr>
              <w:t>Exclusions</w:t>
            </w:r>
          </w:p>
          <w:p w14:paraId="3C0C85FD" w14:textId="72C34554" w:rsidR="007A02EE" w:rsidRPr="007A02EE" w:rsidRDefault="71E3548C" w:rsidP="007A02EE">
            <w:pPr>
              <w:pStyle w:val="NormalWhite"/>
              <w:numPr>
                <w:ilvl w:val="0"/>
                <w:numId w:val="28"/>
              </w:numPr>
              <w:rPr>
                <w:rFonts w:cs="Arial"/>
                <w:sz w:val="22"/>
                <w:szCs w:val="22"/>
              </w:rPr>
            </w:pPr>
            <w:r w:rsidRPr="71E3548C">
              <w:rPr>
                <w:rFonts w:cs="Arial"/>
                <w:sz w:val="22"/>
                <w:szCs w:val="22"/>
              </w:rPr>
              <w:t>No legislative changes; no IT changes; no ongoing external contractual obligations on ORR</w:t>
            </w:r>
            <w:r w:rsidR="00AB39D6">
              <w:rPr>
                <w:rFonts w:cs="Arial"/>
                <w:sz w:val="22"/>
                <w:szCs w:val="22"/>
              </w:rPr>
              <w:t>.</w:t>
            </w:r>
          </w:p>
          <w:p w14:paraId="477D138D" w14:textId="77777777" w:rsidR="007A02EE" w:rsidRDefault="007A02EE" w:rsidP="007A02EE">
            <w:pPr>
              <w:rPr>
                <w:rFonts w:cs="Arial"/>
                <w:b/>
                <w:sz w:val="22"/>
                <w:szCs w:val="22"/>
              </w:rPr>
            </w:pPr>
            <w:r>
              <w:rPr>
                <w:rFonts w:cs="Arial"/>
                <w:b/>
                <w:sz w:val="22"/>
                <w:szCs w:val="22"/>
              </w:rPr>
              <w:t>Timescales</w:t>
            </w:r>
          </w:p>
          <w:p w14:paraId="2463DD7E" w14:textId="6092B532" w:rsidR="007A02EE" w:rsidRPr="007A02EE" w:rsidRDefault="007A02EE" w:rsidP="007A02EE">
            <w:pPr>
              <w:pStyle w:val="NormalWhite"/>
              <w:numPr>
                <w:ilvl w:val="0"/>
                <w:numId w:val="29"/>
              </w:numPr>
              <w:rPr>
                <w:rFonts w:cs="Arial"/>
                <w:sz w:val="22"/>
                <w:szCs w:val="22"/>
              </w:rPr>
            </w:pPr>
            <w:r w:rsidRPr="007A02EE">
              <w:rPr>
                <w:rFonts w:cs="Arial"/>
                <w:sz w:val="22"/>
                <w:szCs w:val="22"/>
              </w:rPr>
              <w:t xml:space="preserve">We anticipate the project </w:t>
            </w:r>
            <w:r w:rsidR="00D36C30">
              <w:rPr>
                <w:rFonts w:cs="Arial"/>
                <w:sz w:val="22"/>
                <w:szCs w:val="22"/>
              </w:rPr>
              <w:t xml:space="preserve">should be complete in </w:t>
            </w:r>
            <w:r w:rsidR="00725F78">
              <w:rPr>
                <w:rFonts w:cs="Arial"/>
                <w:sz w:val="22"/>
                <w:szCs w:val="22"/>
              </w:rPr>
              <w:t xml:space="preserve">around </w:t>
            </w:r>
            <w:r w:rsidR="00CC05A9">
              <w:rPr>
                <w:rFonts w:cs="Arial"/>
                <w:sz w:val="22"/>
                <w:szCs w:val="22"/>
              </w:rPr>
              <w:t xml:space="preserve">16 </w:t>
            </w:r>
            <w:r w:rsidR="007F0439">
              <w:rPr>
                <w:rFonts w:cs="Arial"/>
                <w:sz w:val="22"/>
                <w:szCs w:val="22"/>
              </w:rPr>
              <w:t xml:space="preserve">– </w:t>
            </w:r>
            <w:r w:rsidR="00CC05A9">
              <w:rPr>
                <w:rFonts w:cs="Arial"/>
                <w:sz w:val="22"/>
                <w:szCs w:val="22"/>
              </w:rPr>
              <w:t>17</w:t>
            </w:r>
            <w:r w:rsidRPr="007A02EE">
              <w:rPr>
                <w:rFonts w:cs="Arial"/>
                <w:sz w:val="22"/>
                <w:szCs w:val="22"/>
              </w:rPr>
              <w:t xml:space="preserve"> weeks</w:t>
            </w:r>
            <w:r w:rsidR="00725F78">
              <w:rPr>
                <w:rFonts w:cs="Arial"/>
                <w:sz w:val="22"/>
                <w:szCs w:val="22"/>
              </w:rPr>
              <w:t>.</w:t>
            </w:r>
            <w:r w:rsidRPr="007A02EE">
              <w:rPr>
                <w:rFonts w:cs="Arial"/>
                <w:sz w:val="22"/>
                <w:szCs w:val="22"/>
              </w:rPr>
              <w:t xml:space="preserve"> </w:t>
            </w:r>
          </w:p>
          <w:p w14:paraId="2634F960" w14:textId="77777777" w:rsidR="007A02EE" w:rsidRDefault="007A02EE" w:rsidP="007A02EE">
            <w:pPr>
              <w:rPr>
                <w:rFonts w:cs="Arial"/>
                <w:b/>
                <w:sz w:val="22"/>
                <w:szCs w:val="22"/>
              </w:rPr>
            </w:pPr>
            <w:r>
              <w:rPr>
                <w:rFonts w:cs="Arial"/>
                <w:b/>
                <w:sz w:val="22"/>
                <w:szCs w:val="22"/>
              </w:rPr>
              <w:t>Security Requirements</w:t>
            </w:r>
          </w:p>
          <w:p w14:paraId="66C42D7F" w14:textId="68364CA5" w:rsidR="003D62AB" w:rsidRPr="00B51B80" w:rsidRDefault="007A02EE" w:rsidP="00B51B80">
            <w:pPr>
              <w:pStyle w:val="NormalWhite"/>
              <w:rPr>
                <w:b/>
                <w:color w:val="FF0000"/>
                <w:sz w:val="22"/>
                <w:szCs w:val="22"/>
              </w:rPr>
            </w:pPr>
            <w:r w:rsidRPr="00BB1AEC">
              <w:rPr>
                <w:sz w:val="22"/>
                <w:szCs w:val="22"/>
              </w:rPr>
              <w:t>The supplier will not be processing personal data or accessing the ORR network in any capacity.</w:t>
            </w:r>
          </w:p>
        </w:tc>
      </w:tr>
      <w:tr w:rsidR="00F52BE8" w:rsidRPr="0036077E" w14:paraId="16B6CA3B" w14:textId="77777777" w:rsidTr="75FAB3DF">
        <w:trPr>
          <w:trHeight w:val="566"/>
        </w:trPr>
        <w:tc>
          <w:tcPr>
            <w:tcW w:w="8528" w:type="dxa"/>
            <w:shd w:val="clear" w:color="auto" w:fill="99CCFF"/>
          </w:tcPr>
          <w:p w14:paraId="4A8CCD8F" w14:textId="77777777" w:rsidR="00F52BE8" w:rsidRPr="0036077E" w:rsidRDefault="00F52BE8" w:rsidP="006D798C">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75FAB3DF">
        <w:trPr>
          <w:trHeight w:val="757"/>
        </w:trPr>
        <w:tc>
          <w:tcPr>
            <w:tcW w:w="8528" w:type="dxa"/>
            <w:tcBorders>
              <w:bottom w:val="single" w:sz="4" w:space="0" w:color="auto"/>
            </w:tcBorders>
            <w:shd w:val="clear" w:color="auto" w:fill="auto"/>
          </w:tcPr>
          <w:p w14:paraId="6A5C42B1" w14:textId="77777777" w:rsidR="00F52BE8" w:rsidRPr="00580D3D" w:rsidRDefault="00F52BE8" w:rsidP="006D798C">
            <w:pPr>
              <w:autoSpaceDE w:val="0"/>
              <w:autoSpaceDN w:val="0"/>
              <w:adjustRightInd w:val="0"/>
              <w:spacing w:after="0"/>
              <w:rPr>
                <w:rFonts w:cs="Arial"/>
                <w:b/>
                <w:color w:val="000000" w:themeColor="text1"/>
                <w:sz w:val="22"/>
                <w:szCs w:val="22"/>
                <w:lang w:eastAsia="en-GB"/>
              </w:rPr>
            </w:pPr>
          </w:p>
          <w:p w14:paraId="4B2323DF" w14:textId="0CBF880B" w:rsidR="002343C7" w:rsidRDefault="002343C7" w:rsidP="002343C7">
            <w:pPr>
              <w:spacing w:after="0"/>
              <w:rPr>
                <w:rFonts w:cs="Arial"/>
                <w:b/>
                <w:sz w:val="22"/>
                <w:szCs w:val="22"/>
              </w:rPr>
            </w:pPr>
            <w:r w:rsidRPr="008A4B34">
              <w:rPr>
                <w:rFonts w:cs="Arial"/>
                <w:b/>
                <w:sz w:val="22"/>
                <w:szCs w:val="22"/>
              </w:rPr>
              <w:t>Outputs and Deliverables</w:t>
            </w:r>
          </w:p>
          <w:p w14:paraId="2AD2D4E1" w14:textId="753D8F21" w:rsidR="008F40E7" w:rsidRPr="00C276C4" w:rsidRDefault="008F40E7" w:rsidP="002343C7">
            <w:pPr>
              <w:spacing w:after="0"/>
              <w:rPr>
                <w:rFonts w:cs="Arial"/>
                <w:b/>
                <w:sz w:val="22"/>
                <w:szCs w:val="22"/>
              </w:rPr>
            </w:pPr>
          </w:p>
          <w:p w14:paraId="55A8EB8F" w14:textId="390569F9" w:rsidR="008F40E7" w:rsidRPr="00C276C4" w:rsidRDefault="008F40E7" w:rsidP="002343C7">
            <w:pPr>
              <w:spacing w:after="0"/>
              <w:rPr>
                <w:rFonts w:cs="Arial"/>
                <w:sz w:val="22"/>
                <w:szCs w:val="22"/>
              </w:rPr>
            </w:pPr>
            <w:r w:rsidRPr="00C276C4">
              <w:rPr>
                <w:rFonts w:cs="Arial"/>
                <w:sz w:val="22"/>
                <w:szCs w:val="22"/>
              </w:rPr>
              <w:t xml:space="preserve">It should be noted that </w:t>
            </w:r>
            <w:r w:rsidR="00266CE7" w:rsidRPr="00C276C4">
              <w:rPr>
                <w:rFonts w:cs="Arial"/>
                <w:sz w:val="22"/>
                <w:szCs w:val="22"/>
              </w:rPr>
              <w:t xml:space="preserve">as part of this tender, </w:t>
            </w:r>
            <w:r w:rsidR="00BB12BF" w:rsidRPr="00C276C4">
              <w:rPr>
                <w:rFonts w:cs="Arial"/>
                <w:sz w:val="22"/>
                <w:szCs w:val="22"/>
              </w:rPr>
              <w:t xml:space="preserve">ORR already has the </w:t>
            </w:r>
            <w:r w:rsidR="00D36C30">
              <w:rPr>
                <w:rFonts w:cs="Arial"/>
                <w:sz w:val="22"/>
                <w:szCs w:val="22"/>
              </w:rPr>
              <w:t xml:space="preserve">basic </w:t>
            </w:r>
            <w:r w:rsidR="00BB12BF" w:rsidRPr="00C276C4">
              <w:rPr>
                <w:rFonts w:cs="Arial"/>
                <w:sz w:val="22"/>
                <w:szCs w:val="22"/>
              </w:rPr>
              <w:t xml:space="preserve">building blocks </w:t>
            </w:r>
            <w:r w:rsidR="00D36C30">
              <w:rPr>
                <w:rFonts w:cs="Arial"/>
                <w:sz w:val="22"/>
                <w:szCs w:val="22"/>
              </w:rPr>
              <w:t xml:space="preserve">in place </w:t>
            </w:r>
            <w:r w:rsidR="00BB12BF" w:rsidRPr="00C276C4">
              <w:rPr>
                <w:rFonts w:cs="Arial"/>
                <w:sz w:val="22"/>
                <w:szCs w:val="22"/>
              </w:rPr>
              <w:t xml:space="preserve">so </w:t>
            </w:r>
            <w:r w:rsidRPr="00C276C4">
              <w:rPr>
                <w:rFonts w:cs="Arial"/>
                <w:sz w:val="22"/>
                <w:szCs w:val="22"/>
              </w:rPr>
              <w:t xml:space="preserve">the supplier </w:t>
            </w:r>
            <w:r w:rsidR="00D36C30">
              <w:rPr>
                <w:rFonts w:cs="Arial"/>
                <w:sz w:val="22"/>
                <w:szCs w:val="22"/>
              </w:rPr>
              <w:t xml:space="preserve">must </w:t>
            </w:r>
            <w:r w:rsidRPr="00C276C4">
              <w:rPr>
                <w:rFonts w:cs="Arial"/>
                <w:sz w:val="22"/>
                <w:szCs w:val="22"/>
              </w:rPr>
              <w:t>develop tools and processes that we can drop into our existing QMS and other processes</w:t>
            </w:r>
            <w:r w:rsidR="00266CE7" w:rsidRPr="00C276C4">
              <w:rPr>
                <w:rFonts w:cs="Arial"/>
                <w:sz w:val="22"/>
                <w:szCs w:val="22"/>
              </w:rPr>
              <w:t xml:space="preserve"> and implement</w:t>
            </w:r>
            <w:r w:rsidR="00D36C30">
              <w:rPr>
                <w:rFonts w:cs="Arial"/>
                <w:sz w:val="22"/>
                <w:szCs w:val="22"/>
              </w:rPr>
              <w:t xml:space="preserve"> without major organisational or technological changes</w:t>
            </w:r>
            <w:r w:rsidRPr="00C276C4">
              <w:rPr>
                <w:rFonts w:cs="Arial"/>
                <w:sz w:val="22"/>
                <w:szCs w:val="22"/>
              </w:rPr>
              <w:t>.</w:t>
            </w:r>
            <w:r w:rsidR="00BB12BF" w:rsidRPr="00C276C4">
              <w:rPr>
                <w:rFonts w:cs="Arial"/>
                <w:sz w:val="22"/>
                <w:szCs w:val="22"/>
              </w:rPr>
              <w:t xml:space="preserve"> </w:t>
            </w:r>
          </w:p>
          <w:p w14:paraId="1E2410FC" w14:textId="77777777" w:rsidR="002343C7" w:rsidRPr="00C276C4" w:rsidRDefault="002343C7" w:rsidP="002343C7">
            <w:pPr>
              <w:spacing w:after="0"/>
              <w:rPr>
                <w:rFonts w:cs="Arial"/>
                <w:sz w:val="22"/>
                <w:szCs w:val="22"/>
              </w:rPr>
            </w:pPr>
          </w:p>
          <w:p w14:paraId="26F3DEEA" w14:textId="0743DFF4" w:rsidR="00EF45EC" w:rsidRPr="00B51B80" w:rsidRDefault="0052217F" w:rsidP="00B739E1">
            <w:pPr>
              <w:pStyle w:val="NormalWhite"/>
              <w:rPr>
                <w:b/>
                <w:sz w:val="22"/>
                <w:szCs w:val="22"/>
              </w:rPr>
            </w:pPr>
            <w:r w:rsidRPr="00B51B80">
              <w:rPr>
                <w:b/>
                <w:sz w:val="22"/>
                <w:szCs w:val="22"/>
              </w:rPr>
              <w:t>Proposal and project plan</w:t>
            </w:r>
            <w:r w:rsidRPr="00B51B80">
              <w:rPr>
                <w:sz w:val="22"/>
                <w:szCs w:val="22"/>
              </w:rPr>
              <w:t xml:space="preserve"> – </w:t>
            </w:r>
            <w:r w:rsidR="008F3972" w:rsidRPr="00B51B80">
              <w:rPr>
                <w:sz w:val="22"/>
                <w:szCs w:val="22"/>
              </w:rPr>
              <w:t xml:space="preserve">as part of the tender process, </w:t>
            </w:r>
            <w:r w:rsidRPr="00B51B80">
              <w:rPr>
                <w:sz w:val="22"/>
                <w:szCs w:val="22"/>
              </w:rPr>
              <w:t>t</w:t>
            </w:r>
            <w:r w:rsidR="00EF45EC" w:rsidRPr="00B51B80">
              <w:rPr>
                <w:sz w:val="22"/>
                <w:szCs w:val="22"/>
              </w:rPr>
              <w:t>he</w:t>
            </w:r>
            <w:r w:rsidR="0051512D" w:rsidRPr="00B51B80">
              <w:rPr>
                <w:sz w:val="22"/>
                <w:szCs w:val="22"/>
              </w:rPr>
              <w:t xml:space="preserve"> supplier should </w:t>
            </w:r>
            <w:r w:rsidR="00EF45EC" w:rsidRPr="00B51B80">
              <w:rPr>
                <w:sz w:val="22"/>
                <w:szCs w:val="22"/>
              </w:rPr>
              <w:t>prepare a proposal and project plan and present these</w:t>
            </w:r>
            <w:r w:rsidR="00AB39AC" w:rsidRPr="00B51B80">
              <w:rPr>
                <w:sz w:val="22"/>
                <w:szCs w:val="22"/>
              </w:rPr>
              <w:t xml:space="preserve"> to ORR</w:t>
            </w:r>
            <w:r w:rsidR="00EF45EC" w:rsidRPr="00B51B80">
              <w:rPr>
                <w:sz w:val="22"/>
                <w:szCs w:val="22"/>
              </w:rPr>
              <w:t>.</w:t>
            </w:r>
            <w:r w:rsidR="007F0439">
              <w:rPr>
                <w:sz w:val="22"/>
                <w:szCs w:val="22"/>
              </w:rPr>
              <w:t xml:space="preserve"> </w:t>
            </w:r>
            <w:r w:rsidR="00EF45EC" w:rsidRPr="00B51B80">
              <w:rPr>
                <w:sz w:val="22"/>
                <w:szCs w:val="22"/>
              </w:rPr>
              <w:t>If a contract is awarded to the supplier, the project plan should be kept under review</w:t>
            </w:r>
            <w:r w:rsidR="00266CE7" w:rsidRPr="00B51B80">
              <w:rPr>
                <w:sz w:val="22"/>
                <w:szCs w:val="22"/>
              </w:rPr>
              <w:t xml:space="preserve"> and </w:t>
            </w:r>
            <w:r w:rsidR="00AB39AC" w:rsidRPr="00B51B80">
              <w:rPr>
                <w:sz w:val="22"/>
                <w:szCs w:val="22"/>
              </w:rPr>
              <w:t xml:space="preserve">up-to-date by the supplier. </w:t>
            </w:r>
            <w:r w:rsidR="00EF45EC" w:rsidRPr="00B51B80">
              <w:rPr>
                <w:sz w:val="22"/>
                <w:szCs w:val="22"/>
              </w:rPr>
              <w:t xml:space="preserve"> </w:t>
            </w:r>
          </w:p>
          <w:p w14:paraId="59C56CD8" w14:textId="15617E32" w:rsidR="00694D27" w:rsidRDefault="00694D27" w:rsidP="00266CE7">
            <w:pPr>
              <w:pStyle w:val="NormalWhite"/>
              <w:rPr>
                <w:b/>
                <w:sz w:val="22"/>
                <w:szCs w:val="22"/>
              </w:rPr>
            </w:pPr>
            <w:r>
              <w:rPr>
                <w:b/>
                <w:sz w:val="22"/>
                <w:szCs w:val="22"/>
              </w:rPr>
              <w:t xml:space="preserve">Meetings with key industry stakeholders – </w:t>
            </w:r>
            <w:r w:rsidRPr="00C276C4">
              <w:rPr>
                <w:sz w:val="22"/>
                <w:szCs w:val="22"/>
              </w:rPr>
              <w:t>the supplier</w:t>
            </w:r>
            <w:r>
              <w:rPr>
                <w:sz w:val="22"/>
                <w:szCs w:val="22"/>
              </w:rPr>
              <w:t xml:space="preserve"> should plan and hold meeting</w:t>
            </w:r>
            <w:r w:rsidR="001B3684">
              <w:rPr>
                <w:sz w:val="22"/>
                <w:szCs w:val="22"/>
              </w:rPr>
              <w:t>s</w:t>
            </w:r>
            <w:r>
              <w:rPr>
                <w:sz w:val="22"/>
                <w:szCs w:val="22"/>
              </w:rPr>
              <w:t xml:space="preserve"> with key industry stakeholders e.g. Rail Safety and Standards Board (RSSB), Light Rail Safety and Standards Board </w:t>
            </w:r>
            <w:r w:rsidR="001B3684">
              <w:rPr>
                <w:sz w:val="22"/>
                <w:szCs w:val="22"/>
              </w:rPr>
              <w:t xml:space="preserve">(LRSSB) </w:t>
            </w:r>
            <w:r>
              <w:rPr>
                <w:sz w:val="22"/>
                <w:szCs w:val="22"/>
              </w:rPr>
              <w:t xml:space="preserve">to </w:t>
            </w:r>
            <w:r w:rsidR="008C1372">
              <w:rPr>
                <w:sz w:val="22"/>
                <w:szCs w:val="22"/>
              </w:rPr>
              <w:t xml:space="preserve">understand </w:t>
            </w:r>
            <w:r w:rsidR="001B3684" w:rsidRPr="67CEE4D6">
              <w:rPr>
                <w:rFonts w:cs="Arial"/>
                <w:sz w:val="22"/>
                <w:szCs w:val="22"/>
              </w:rPr>
              <w:t>the wider strategic landscape</w:t>
            </w:r>
            <w:r w:rsidR="008C1372">
              <w:rPr>
                <w:rFonts w:cs="Arial"/>
                <w:sz w:val="22"/>
                <w:szCs w:val="22"/>
              </w:rPr>
              <w:t xml:space="preserve">, </w:t>
            </w:r>
            <w:r w:rsidR="001B3684" w:rsidRPr="67CEE4D6">
              <w:rPr>
                <w:rFonts w:cs="Arial"/>
                <w:sz w:val="22"/>
                <w:szCs w:val="22"/>
              </w:rPr>
              <w:t>benchmarking (</w:t>
            </w:r>
            <w:r w:rsidR="001B3684">
              <w:rPr>
                <w:rFonts w:cs="Arial"/>
                <w:sz w:val="22"/>
                <w:szCs w:val="22"/>
              </w:rPr>
              <w:t xml:space="preserve">including against </w:t>
            </w:r>
            <w:r w:rsidR="001B3684" w:rsidRPr="67CEE4D6">
              <w:rPr>
                <w:rFonts w:cs="Arial"/>
                <w:sz w:val="22"/>
                <w:szCs w:val="22"/>
              </w:rPr>
              <w:t xml:space="preserve">other </w:t>
            </w:r>
            <w:r w:rsidR="001B3684">
              <w:rPr>
                <w:rFonts w:cs="Arial"/>
                <w:sz w:val="22"/>
                <w:szCs w:val="22"/>
              </w:rPr>
              <w:t xml:space="preserve">UK </w:t>
            </w:r>
            <w:r w:rsidR="001B3684" w:rsidRPr="67CEE4D6">
              <w:rPr>
                <w:rFonts w:cs="Arial"/>
                <w:sz w:val="22"/>
                <w:szCs w:val="22"/>
              </w:rPr>
              <w:t xml:space="preserve">regulators) and some </w:t>
            </w:r>
            <w:r w:rsidR="001B3684">
              <w:rPr>
                <w:rFonts w:cs="Arial"/>
                <w:sz w:val="22"/>
                <w:szCs w:val="22"/>
              </w:rPr>
              <w:t xml:space="preserve">relevant </w:t>
            </w:r>
            <w:r w:rsidR="001B3684" w:rsidRPr="67CEE4D6">
              <w:rPr>
                <w:rFonts w:cs="Arial"/>
                <w:sz w:val="22"/>
                <w:szCs w:val="22"/>
              </w:rPr>
              <w:t>comparisons with how other industry bodies approach risk profiling</w:t>
            </w:r>
            <w:r w:rsidR="008C1372">
              <w:rPr>
                <w:rFonts w:cs="Arial"/>
                <w:sz w:val="22"/>
                <w:szCs w:val="22"/>
              </w:rPr>
              <w:t xml:space="preserve"> and align our risk profiling lifecycle accordingly. </w:t>
            </w:r>
          </w:p>
          <w:p w14:paraId="4EFD8761" w14:textId="45232B71" w:rsidR="00266CE7" w:rsidRPr="00C276C4" w:rsidRDefault="00266CE7" w:rsidP="00266CE7">
            <w:pPr>
              <w:pStyle w:val="NormalWhite"/>
              <w:rPr>
                <w:b/>
                <w:sz w:val="22"/>
                <w:szCs w:val="22"/>
              </w:rPr>
            </w:pPr>
            <w:r w:rsidRPr="00C276C4">
              <w:rPr>
                <w:b/>
                <w:sz w:val="22"/>
                <w:szCs w:val="22"/>
              </w:rPr>
              <w:t>Workshops and training materials</w:t>
            </w:r>
            <w:r w:rsidRPr="00C276C4">
              <w:rPr>
                <w:sz w:val="22"/>
                <w:szCs w:val="22"/>
              </w:rPr>
              <w:t xml:space="preserve"> – the supplier should plan and deliver</w:t>
            </w:r>
            <w:r w:rsidR="00BB12BF" w:rsidRPr="00C276C4">
              <w:rPr>
                <w:sz w:val="22"/>
                <w:szCs w:val="22"/>
              </w:rPr>
              <w:t xml:space="preserve"> a series of</w:t>
            </w:r>
            <w:r w:rsidRPr="00C276C4">
              <w:rPr>
                <w:sz w:val="22"/>
                <w:szCs w:val="22"/>
              </w:rPr>
              <w:t xml:space="preserve"> workshop(s) with for example ORR colleagues to gather feedback on existing ORR practices, test</w:t>
            </w:r>
            <w:r>
              <w:t xml:space="preserve"> </w:t>
            </w:r>
            <w:r w:rsidRPr="00C276C4">
              <w:rPr>
                <w:sz w:val="22"/>
                <w:szCs w:val="22"/>
              </w:rPr>
              <w:t xml:space="preserve">proposals and implement and embed a comprehensive strategic decision-making process. </w:t>
            </w:r>
          </w:p>
          <w:p w14:paraId="63078A3F" w14:textId="657EC547" w:rsidR="00026853" w:rsidRPr="00C276C4" w:rsidRDefault="00026853" w:rsidP="002343C7">
            <w:pPr>
              <w:pStyle w:val="NormalWhite"/>
              <w:rPr>
                <w:sz w:val="22"/>
                <w:szCs w:val="22"/>
              </w:rPr>
            </w:pPr>
            <w:r w:rsidRPr="00C276C4">
              <w:rPr>
                <w:b/>
                <w:sz w:val="22"/>
                <w:szCs w:val="22"/>
              </w:rPr>
              <w:t xml:space="preserve">Interim presentation of the proposed risk profiling lifecycle and documentation </w:t>
            </w:r>
            <w:r w:rsidRPr="00C276C4">
              <w:rPr>
                <w:sz w:val="22"/>
                <w:szCs w:val="22"/>
              </w:rPr>
              <w:t xml:space="preserve">– so that ORR has the opportunity to provide comments and direction before the process and documentation is finalised. </w:t>
            </w:r>
          </w:p>
          <w:p w14:paraId="251567C3" w14:textId="2CB5CB1B" w:rsidR="00F52BE8" w:rsidRPr="00C276C4" w:rsidRDefault="0052217F" w:rsidP="002343C7">
            <w:pPr>
              <w:pStyle w:val="NormalWhite"/>
              <w:rPr>
                <w:b/>
                <w:sz w:val="22"/>
                <w:szCs w:val="22"/>
              </w:rPr>
            </w:pPr>
            <w:r w:rsidRPr="00C276C4">
              <w:rPr>
                <w:b/>
                <w:sz w:val="22"/>
                <w:szCs w:val="22"/>
              </w:rPr>
              <w:t xml:space="preserve">Risk </w:t>
            </w:r>
            <w:r w:rsidR="008F40E7" w:rsidRPr="00C276C4">
              <w:rPr>
                <w:b/>
                <w:sz w:val="22"/>
                <w:szCs w:val="22"/>
              </w:rPr>
              <w:t>p</w:t>
            </w:r>
            <w:r w:rsidRPr="00C276C4">
              <w:rPr>
                <w:b/>
                <w:sz w:val="22"/>
                <w:szCs w:val="22"/>
              </w:rPr>
              <w:t>rofiling lifecycle d</w:t>
            </w:r>
            <w:r w:rsidR="00E7658E" w:rsidRPr="00C276C4">
              <w:rPr>
                <w:b/>
                <w:sz w:val="22"/>
                <w:szCs w:val="22"/>
              </w:rPr>
              <w:t>ocumentation</w:t>
            </w:r>
            <w:r w:rsidR="00E7658E" w:rsidRPr="00C276C4">
              <w:rPr>
                <w:sz w:val="22"/>
                <w:szCs w:val="22"/>
              </w:rPr>
              <w:t xml:space="preserve"> </w:t>
            </w:r>
            <w:r w:rsidRPr="00C276C4">
              <w:rPr>
                <w:sz w:val="22"/>
                <w:szCs w:val="22"/>
              </w:rPr>
              <w:t xml:space="preserve">– </w:t>
            </w:r>
            <w:r w:rsidR="00BB12BF" w:rsidRPr="00C276C4">
              <w:rPr>
                <w:sz w:val="22"/>
                <w:szCs w:val="22"/>
              </w:rPr>
              <w:t xml:space="preserve">the supplier should </w:t>
            </w:r>
            <w:r w:rsidR="00E7658E" w:rsidRPr="00C276C4">
              <w:rPr>
                <w:sz w:val="22"/>
                <w:szCs w:val="22"/>
              </w:rPr>
              <w:t>outlin</w:t>
            </w:r>
            <w:r w:rsidR="00BB12BF" w:rsidRPr="00C276C4">
              <w:rPr>
                <w:sz w:val="22"/>
                <w:szCs w:val="22"/>
              </w:rPr>
              <w:t>e</w:t>
            </w:r>
            <w:r w:rsidR="00E7658E" w:rsidRPr="00C276C4">
              <w:rPr>
                <w:sz w:val="22"/>
                <w:szCs w:val="22"/>
              </w:rPr>
              <w:t xml:space="preserve"> the </w:t>
            </w:r>
            <w:r w:rsidR="00BB12BF" w:rsidRPr="00C276C4">
              <w:rPr>
                <w:sz w:val="22"/>
                <w:szCs w:val="22"/>
              </w:rPr>
              <w:t xml:space="preserve">risk profiling lifecycle </w:t>
            </w:r>
            <w:r w:rsidR="00E7658E" w:rsidRPr="00C276C4">
              <w:rPr>
                <w:sz w:val="22"/>
                <w:szCs w:val="22"/>
              </w:rPr>
              <w:t>process including a visual diagram map/illustration of the process</w:t>
            </w:r>
            <w:r w:rsidR="00BB12BF" w:rsidRPr="00C276C4">
              <w:rPr>
                <w:sz w:val="22"/>
                <w:szCs w:val="22"/>
              </w:rPr>
              <w:t xml:space="preserve"> so that ORR can provide comments before the documentation is finalised.</w:t>
            </w:r>
            <w:r w:rsidR="00E7658E" w:rsidRPr="00C276C4">
              <w:rPr>
                <w:sz w:val="22"/>
                <w:szCs w:val="22"/>
              </w:rPr>
              <w:t xml:space="preserve"> </w:t>
            </w:r>
            <w:r w:rsidR="00F52BE8" w:rsidRPr="00C276C4">
              <w:rPr>
                <w:b/>
                <w:sz w:val="22"/>
                <w:szCs w:val="22"/>
              </w:rPr>
              <w:t xml:space="preserve"> </w:t>
            </w:r>
          </w:p>
          <w:p w14:paraId="09D7A106" w14:textId="562D4A19" w:rsidR="004A3578" w:rsidRPr="00C276C4" w:rsidRDefault="004A3578" w:rsidP="002343C7">
            <w:pPr>
              <w:pStyle w:val="NormalWhite"/>
              <w:rPr>
                <w:sz w:val="22"/>
                <w:szCs w:val="22"/>
              </w:rPr>
            </w:pPr>
            <w:r w:rsidRPr="00AC58C9">
              <w:rPr>
                <w:b/>
                <w:sz w:val="22"/>
                <w:szCs w:val="22"/>
              </w:rPr>
              <w:t xml:space="preserve">Embedding the risk profiling lifecycle </w:t>
            </w:r>
            <w:r w:rsidR="00026853" w:rsidRPr="00AC58C9">
              <w:rPr>
                <w:b/>
                <w:sz w:val="22"/>
                <w:szCs w:val="22"/>
              </w:rPr>
              <w:t xml:space="preserve">plan </w:t>
            </w:r>
            <w:r w:rsidRPr="00AC58C9">
              <w:rPr>
                <w:sz w:val="22"/>
                <w:szCs w:val="22"/>
              </w:rPr>
              <w:t xml:space="preserve">– the supplier should develop practical tips and guidance that will help us to position ourselves </w:t>
            </w:r>
            <w:r w:rsidR="0094317F">
              <w:rPr>
                <w:sz w:val="22"/>
                <w:szCs w:val="22"/>
              </w:rPr>
              <w:t>for</w:t>
            </w:r>
            <w:r w:rsidRPr="00AC58C9">
              <w:rPr>
                <w:sz w:val="22"/>
                <w:szCs w:val="22"/>
              </w:rPr>
              <w:t xml:space="preserve"> colleagues’ general acceptance and confidence in the new processes</w:t>
            </w:r>
            <w:r w:rsidRPr="00C276C4">
              <w:rPr>
                <w:sz w:val="22"/>
                <w:szCs w:val="22"/>
              </w:rPr>
              <w:t xml:space="preserve">. </w:t>
            </w:r>
          </w:p>
          <w:p w14:paraId="49A762BE" w14:textId="509A9995" w:rsidR="0052217F" w:rsidRPr="00580D3D" w:rsidRDefault="00435B91" w:rsidP="00C276C4">
            <w:pPr>
              <w:pStyle w:val="NormalWhite"/>
              <w:rPr>
                <w:sz w:val="22"/>
                <w:szCs w:val="22"/>
              </w:rPr>
            </w:pPr>
            <w:r w:rsidRPr="00580D3D">
              <w:rPr>
                <w:b/>
                <w:sz w:val="22"/>
                <w:szCs w:val="22"/>
              </w:rPr>
              <w:t xml:space="preserve">Milestones and checkpoints </w:t>
            </w:r>
            <w:r w:rsidR="00266CE7" w:rsidRPr="00580D3D">
              <w:rPr>
                <w:sz w:val="22"/>
                <w:szCs w:val="22"/>
              </w:rPr>
              <w:t xml:space="preserve">– </w:t>
            </w:r>
            <w:r w:rsidR="00BB12BF" w:rsidRPr="00580D3D">
              <w:rPr>
                <w:sz w:val="22"/>
                <w:szCs w:val="22"/>
              </w:rPr>
              <w:t xml:space="preserve">the supplier should develop these for ORR to consider </w:t>
            </w:r>
            <w:r w:rsidR="00094416" w:rsidRPr="00580D3D">
              <w:rPr>
                <w:sz w:val="22"/>
                <w:szCs w:val="22"/>
              </w:rPr>
              <w:t xml:space="preserve">to help with embedding the </w:t>
            </w:r>
            <w:r w:rsidR="000443B0" w:rsidRPr="00580D3D">
              <w:rPr>
                <w:sz w:val="22"/>
                <w:szCs w:val="22"/>
              </w:rPr>
              <w:t xml:space="preserve">risk profiling lifecycle </w:t>
            </w:r>
            <w:r w:rsidRPr="00580D3D">
              <w:rPr>
                <w:sz w:val="22"/>
                <w:szCs w:val="22"/>
              </w:rPr>
              <w:t xml:space="preserve">so that all its interfacing </w:t>
            </w:r>
            <w:r w:rsidR="00913344" w:rsidRPr="00580D3D">
              <w:rPr>
                <w:sz w:val="22"/>
                <w:szCs w:val="22"/>
              </w:rPr>
              <w:t>processes/</w:t>
            </w:r>
            <w:r w:rsidRPr="00580D3D">
              <w:rPr>
                <w:sz w:val="22"/>
                <w:szCs w:val="22"/>
              </w:rPr>
              <w:t xml:space="preserve">parts run </w:t>
            </w:r>
            <w:r w:rsidR="00913344" w:rsidRPr="00580D3D">
              <w:rPr>
                <w:sz w:val="22"/>
                <w:szCs w:val="22"/>
              </w:rPr>
              <w:t>in</w:t>
            </w:r>
            <w:r w:rsidRPr="00580D3D">
              <w:rPr>
                <w:sz w:val="22"/>
                <w:szCs w:val="22"/>
              </w:rPr>
              <w:t xml:space="preserve"> a timely manner</w:t>
            </w:r>
            <w:r w:rsidR="00913344" w:rsidRPr="00580D3D">
              <w:rPr>
                <w:sz w:val="22"/>
                <w:szCs w:val="22"/>
              </w:rPr>
              <w:t xml:space="preserve"> for the lifecycle to be completed annually</w:t>
            </w:r>
            <w:r w:rsidRPr="00580D3D">
              <w:rPr>
                <w:sz w:val="22"/>
                <w:szCs w:val="22"/>
              </w:rPr>
              <w:t xml:space="preserve">. </w:t>
            </w:r>
          </w:p>
          <w:p w14:paraId="4A8FCF52" w14:textId="5A6E0E10" w:rsidR="00026853" w:rsidRPr="00F50E47" w:rsidRDefault="00026853" w:rsidP="00C276C4">
            <w:pPr>
              <w:pStyle w:val="NormalWhite"/>
              <w:rPr>
                <w:sz w:val="22"/>
                <w:szCs w:val="22"/>
              </w:rPr>
            </w:pPr>
            <w:r w:rsidRPr="00C276C4">
              <w:rPr>
                <w:b/>
                <w:sz w:val="22"/>
                <w:szCs w:val="22"/>
              </w:rPr>
              <w:t xml:space="preserve">Final risk profiling lifecycle process and documentation </w:t>
            </w:r>
            <w:r w:rsidR="00F50E47" w:rsidRPr="00580D3D">
              <w:rPr>
                <w:sz w:val="22"/>
                <w:szCs w:val="22"/>
              </w:rPr>
              <w:t xml:space="preserve">– </w:t>
            </w:r>
            <w:r w:rsidR="00F50E47" w:rsidRPr="00B51B80">
              <w:rPr>
                <w:sz w:val="22"/>
                <w:szCs w:val="22"/>
              </w:rPr>
              <w:t>t</w:t>
            </w:r>
            <w:r w:rsidR="00F50E47" w:rsidRPr="00F50E47">
              <w:rPr>
                <w:sz w:val="22"/>
                <w:szCs w:val="22"/>
              </w:rPr>
              <w:t xml:space="preserve">he supplier should share the finalised process and documentation </w:t>
            </w:r>
            <w:r w:rsidR="007C02B6" w:rsidRPr="00F50E47">
              <w:rPr>
                <w:rFonts w:cs="Arial"/>
                <w:color w:val="000000"/>
                <w:sz w:val="22"/>
                <w:szCs w:val="22"/>
                <w:lang w:eastAsia="en-GB"/>
              </w:rPr>
              <w:t>which incorporates the amendments from ORR.</w:t>
            </w:r>
          </w:p>
          <w:p w14:paraId="7873DBEA" w14:textId="59808D4D" w:rsidR="001B6C90" w:rsidRDefault="00132437" w:rsidP="00C276C4">
            <w:pPr>
              <w:pStyle w:val="NormalWhite"/>
              <w:rPr>
                <w:sz w:val="22"/>
                <w:szCs w:val="22"/>
              </w:rPr>
            </w:pPr>
            <w:r>
              <w:rPr>
                <w:b/>
                <w:sz w:val="22"/>
                <w:szCs w:val="22"/>
              </w:rPr>
              <w:t>T</w:t>
            </w:r>
            <w:r w:rsidR="001B6C90" w:rsidRPr="00A275C6">
              <w:rPr>
                <w:b/>
                <w:sz w:val="22"/>
                <w:szCs w:val="22"/>
              </w:rPr>
              <w:t>raining session</w:t>
            </w:r>
            <w:r w:rsidR="001B6C90">
              <w:rPr>
                <w:sz w:val="22"/>
                <w:szCs w:val="22"/>
              </w:rPr>
              <w:t xml:space="preserve"> to </w:t>
            </w:r>
            <w:r>
              <w:rPr>
                <w:sz w:val="22"/>
                <w:szCs w:val="22"/>
              </w:rPr>
              <w:t xml:space="preserve">ensure </w:t>
            </w:r>
            <w:r w:rsidR="001B6C90">
              <w:rPr>
                <w:sz w:val="22"/>
                <w:szCs w:val="22"/>
              </w:rPr>
              <w:t xml:space="preserve">key staff </w:t>
            </w:r>
            <w:r>
              <w:rPr>
                <w:sz w:val="22"/>
                <w:szCs w:val="22"/>
              </w:rPr>
              <w:t xml:space="preserve">are familiar with </w:t>
            </w:r>
            <w:r w:rsidR="001B6C90">
              <w:rPr>
                <w:sz w:val="22"/>
                <w:szCs w:val="22"/>
              </w:rPr>
              <w:t xml:space="preserve">the </w:t>
            </w:r>
            <w:r>
              <w:rPr>
                <w:sz w:val="22"/>
                <w:szCs w:val="22"/>
              </w:rPr>
              <w:t xml:space="preserve">new risk profiling lifecycle </w:t>
            </w:r>
            <w:r w:rsidR="001B6C90">
              <w:rPr>
                <w:sz w:val="22"/>
                <w:szCs w:val="22"/>
              </w:rPr>
              <w:t xml:space="preserve">process and documentation. </w:t>
            </w:r>
          </w:p>
          <w:p w14:paraId="78DFEDC2" w14:textId="73E16CAE" w:rsidR="001B6C90" w:rsidRPr="00A275C6" w:rsidRDefault="001B6C90">
            <w:pPr>
              <w:pStyle w:val="NormalWhite"/>
              <w:rPr>
                <w:sz w:val="22"/>
                <w:szCs w:val="22"/>
              </w:rPr>
            </w:pPr>
            <w:r>
              <w:rPr>
                <w:b/>
                <w:sz w:val="22"/>
                <w:szCs w:val="22"/>
              </w:rPr>
              <w:t xml:space="preserve">End of project presentation and documentation </w:t>
            </w:r>
            <w:r w:rsidRPr="00B949E8">
              <w:rPr>
                <w:sz w:val="22"/>
                <w:szCs w:val="22"/>
              </w:rPr>
              <w:t>from the supplier</w:t>
            </w:r>
            <w:r w:rsidR="00F551C8">
              <w:rPr>
                <w:sz w:val="22"/>
                <w:szCs w:val="22"/>
              </w:rPr>
              <w:t xml:space="preserve"> to close the project</w:t>
            </w:r>
            <w:r w:rsidRPr="00B949E8">
              <w:rPr>
                <w:sz w:val="22"/>
                <w:szCs w:val="22"/>
              </w:rPr>
              <w:t>.</w:t>
            </w:r>
          </w:p>
          <w:p w14:paraId="780ABA31" w14:textId="13FDEF07" w:rsidR="00FB563E" w:rsidRPr="00C276C4" w:rsidRDefault="002343C7" w:rsidP="00FB563E">
            <w:pPr>
              <w:autoSpaceDE w:val="0"/>
              <w:autoSpaceDN w:val="0"/>
              <w:adjustRightInd w:val="0"/>
              <w:rPr>
                <w:rFonts w:cs="Arial"/>
                <w:b/>
                <w:sz w:val="22"/>
                <w:szCs w:val="22"/>
                <w:lang w:eastAsia="en-GB"/>
              </w:rPr>
            </w:pPr>
            <w:r w:rsidRPr="00C276C4">
              <w:rPr>
                <w:rFonts w:cs="Arial"/>
                <w:b/>
                <w:sz w:val="22"/>
                <w:szCs w:val="22"/>
                <w:lang w:eastAsia="en-GB"/>
              </w:rPr>
              <w:lastRenderedPageBreak/>
              <w:t>Contract Management Requirements</w:t>
            </w:r>
          </w:p>
          <w:p w14:paraId="65E63536" w14:textId="253C2B8E" w:rsidR="00FB563E" w:rsidRPr="00B51B80" w:rsidRDefault="007C51B2" w:rsidP="00FB563E">
            <w:pPr>
              <w:pStyle w:val="NormalWhite"/>
              <w:rPr>
                <w:b/>
                <w:sz w:val="22"/>
                <w:szCs w:val="22"/>
              </w:rPr>
            </w:pPr>
            <w:r w:rsidRPr="00B51B80">
              <w:rPr>
                <w:sz w:val="22"/>
                <w:szCs w:val="22"/>
              </w:rPr>
              <w:t xml:space="preserve">This projects is being paid for from the Rail Safety Director’s (Ian Prosser) budget. The ORR Project Manager </w:t>
            </w:r>
            <w:r w:rsidRPr="00474F81">
              <w:rPr>
                <w:sz w:val="22"/>
                <w:szCs w:val="22"/>
              </w:rPr>
              <w:t>is</w:t>
            </w:r>
            <w:r w:rsidR="00D26D2D" w:rsidRPr="00474F81">
              <w:rPr>
                <w:sz w:val="22"/>
                <w:szCs w:val="22"/>
              </w:rPr>
              <w:t xml:space="preserve"> the</w:t>
            </w:r>
            <w:r w:rsidR="00F17825" w:rsidRPr="00474F81">
              <w:rPr>
                <w:sz w:val="22"/>
                <w:szCs w:val="22"/>
              </w:rPr>
              <w:t xml:space="preserve"> Investigations and Enforcement Manager (Garry Stimpson). </w:t>
            </w:r>
          </w:p>
          <w:p w14:paraId="2E5E4179" w14:textId="2CE5D01D" w:rsidR="00F17825" w:rsidRPr="00474F81" w:rsidRDefault="00D409EF" w:rsidP="00FB563E">
            <w:pPr>
              <w:pStyle w:val="NormalWhite"/>
              <w:rPr>
                <w:sz w:val="22"/>
                <w:szCs w:val="22"/>
              </w:rPr>
            </w:pPr>
            <w:r w:rsidRPr="00B51B80">
              <w:rPr>
                <w:sz w:val="22"/>
                <w:szCs w:val="22"/>
              </w:rPr>
              <w:t>The Consultant shall have a k</w:t>
            </w:r>
            <w:r w:rsidR="000A3A59" w:rsidRPr="00B51B80">
              <w:rPr>
                <w:sz w:val="22"/>
                <w:szCs w:val="22"/>
              </w:rPr>
              <w:t xml:space="preserve">ick off meeting with the Rail Safety </w:t>
            </w:r>
            <w:r w:rsidR="003038AA" w:rsidRPr="00474F81">
              <w:rPr>
                <w:sz w:val="22"/>
                <w:szCs w:val="22"/>
              </w:rPr>
              <w:t xml:space="preserve">Deputy </w:t>
            </w:r>
            <w:r w:rsidR="000673F4" w:rsidRPr="00474F81">
              <w:rPr>
                <w:sz w:val="22"/>
                <w:szCs w:val="22"/>
              </w:rPr>
              <w:t>Chief Inspector</w:t>
            </w:r>
            <w:r w:rsidR="003038AA" w:rsidRPr="00474F81">
              <w:rPr>
                <w:sz w:val="22"/>
                <w:szCs w:val="22"/>
              </w:rPr>
              <w:t xml:space="preserve">, </w:t>
            </w:r>
            <w:r w:rsidR="00D26D2D" w:rsidRPr="00474F81">
              <w:rPr>
                <w:sz w:val="22"/>
                <w:szCs w:val="22"/>
              </w:rPr>
              <w:t>Deputy Director</w:t>
            </w:r>
            <w:r w:rsidR="003038AA" w:rsidRPr="00474F81">
              <w:rPr>
                <w:sz w:val="22"/>
                <w:szCs w:val="22"/>
              </w:rPr>
              <w:t>, RSD</w:t>
            </w:r>
            <w:r w:rsidR="00D26D2D" w:rsidRPr="00474F81">
              <w:rPr>
                <w:sz w:val="22"/>
                <w:szCs w:val="22"/>
              </w:rPr>
              <w:t xml:space="preserve"> (</w:t>
            </w:r>
            <w:r w:rsidR="003038AA" w:rsidRPr="00474F81">
              <w:rPr>
                <w:sz w:val="22"/>
                <w:szCs w:val="22"/>
              </w:rPr>
              <w:t>Channel Tunnel</w:t>
            </w:r>
            <w:r w:rsidR="00D26D2D" w:rsidRPr="00474F81">
              <w:rPr>
                <w:sz w:val="22"/>
                <w:szCs w:val="22"/>
              </w:rPr>
              <w:t>) and Project Manager</w:t>
            </w:r>
            <w:r w:rsidR="00853A76" w:rsidRPr="00474F81">
              <w:rPr>
                <w:sz w:val="22"/>
                <w:szCs w:val="22"/>
              </w:rPr>
              <w:t xml:space="preserve"> where the expectations will be described</w:t>
            </w:r>
            <w:r w:rsidR="00D26D2D" w:rsidRPr="00474F81">
              <w:rPr>
                <w:sz w:val="22"/>
                <w:szCs w:val="22"/>
              </w:rPr>
              <w:t>.</w:t>
            </w:r>
          </w:p>
          <w:p w14:paraId="65851EA4" w14:textId="4CEB4EAD" w:rsidR="000D3877" w:rsidRPr="00B51B80" w:rsidRDefault="000D3877" w:rsidP="000D3877">
            <w:pPr>
              <w:pStyle w:val="NormalWhite"/>
              <w:rPr>
                <w:b/>
                <w:bCs/>
                <w:sz w:val="22"/>
                <w:szCs w:val="22"/>
              </w:rPr>
            </w:pPr>
            <w:r w:rsidRPr="00580D3D">
              <w:rPr>
                <w:bCs/>
                <w:sz w:val="22"/>
                <w:szCs w:val="22"/>
              </w:rPr>
              <w:t>Weekly check-ins through</w:t>
            </w:r>
            <w:r w:rsidR="001C36E1" w:rsidRPr="00B51B80">
              <w:rPr>
                <w:bCs/>
                <w:sz w:val="22"/>
                <w:szCs w:val="22"/>
              </w:rPr>
              <w:t>out</w:t>
            </w:r>
            <w:r w:rsidRPr="00580D3D">
              <w:rPr>
                <w:bCs/>
                <w:sz w:val="22"/>
                <w:szCs w:val="22"/>
              </w:rPr>
              <w:t xml:space="preserve"> the project to report progress</w:t>
            </w:r>
            <w:r w:rsidRPr="00B51B80">
              <w:rPr>
                <w:sz w:val="22"/>
                <w:szCs w:val="22"/>
              </w:rPr>
              <w:t xml:space="preserve"> – we will have a </w:t>
            </w:r>
            <w:r w:rsidRPr="00474F81">
              <w:rPr>
                <w:sz w:val="22"/>
                <w:szCs w:val="22"/>
              </w:rPr>
              <w:t>flexible approach appropriate to the circumstances so these check-ins can be hybrid arrangements</w:t>
            </w:r>
            <w:r w:rsidRPr="00B51B80">
              <w:rPr>
                <w:sz w:val="22"/>
                <w:szCs w:val="22"/>
              </w:rPr>
              <w:t xml:space="preserve">. </w:t>
            </w:r>
          </w:p>
          <w:p w14:paraId="591243F7" w14:textId="05280BDB" w:rsidR="00583575" w:rsidRPr="00580D3D" w:rsidRDefault="00583575" w:rsidP="00A275C6">
            <w:pPr>
              <w:pStyle w:val="NormalWhite"/>
              <w:numPr>
                <w:ilvl w:val="0"/>
                <w:numId w:val="37"/>
              </w:numPr>
              <w:rPr>
                <w:sz w:val="22"/>
                <w:szCs w:val="22"/>
                <w:lang w:eastAsia="en-GB"/>
              </w:rPr>
            </w:pPr>
            <w:r w:rsidRPr="00580D3D">
              <w:rPr>
                <w:sz w:val="22"/>
                <w:szCs w:val="22"/>
                <w:lang w:eastAsia="en-GB"/>
              </w:rPr>
              <w:t>It is expected there will be frequent, periodic progress updates from the supplier, which will be documented by the supplier (via email and/or conference call).</w:t>
            </w:r>
          </w:p>
          <w:p w14:paraId="4D62599D" w14:textId="540A8869" w:rsidR="00583575" w:rsidRPr="00580D3D" w:rsidRDefault="00583575" w:rsidP="00A275C6">
            <w:pPr>
              <w:pStyle w:val="NormalWhite"/>
              <w:numPr>
                <w:ilvl w:val="0"/>
                <w:numId w:val="37"/>
              </w:numPr>
              <w:rPr>
                <w:sz w:val="22"/>
                <w:szCs w:val="22"/>
                <w:lang w:eastAsia="en-GB"/>
              </w:rPr>
            </w:pPr>
            <w:r w:rsidRPr="00580D3D">
              <w:rPr>
                <w:sz w:val="22"/>
                <w:szCs w:val="22"/>
                <w:lang w:eastAsia="en-GB"/>
              </w:rPr>
              <w:t xml:space="preserve">There will also be periodic meetings (timings to be agreed) between the ORR </w:t>
            </w:r>
            <w:r w:rsidR="00853A76" w:rsidRPr="00580D3D">
              <w:rPr>
                <w:sz w:val="22"/>
                <w:szCs w:val="22"/>
                <w:lang w:eastAsia="en-GB"/>
              </w:rPr>
              <w:t>Project Manager/P</w:t>
            </w:r>
            <w:r w:rsidRPr="00580D3D">
              <w:rPr>
                <w:sz w:val="22"/>
                <w:szCs w:val="22"/>
                <w:lang w:eastAsia="en-GB"/>
              </w:rPr>
              <w:t xml:space="preserve">roject </w:t>
            </w:r>
            <w:r w:rsidR="00853A76" w:rsidRPr="00580D3D">
              <w:rPr>
                <w:sz w:val="22"/>
                <w:szCs w:val="22"/>
                <w:lang w:eastAsia="en-GB"/>
              </w:rPr>
              <w:t>T</w:t>
            </w:r>
            <w:r w:rsidRPr="00580D3D">
              <w:rPr>
                <w:sz w:val="22"/>
                <w:szCs w:val="22"/>
                <w:lang w:eastAsia="en-GB"/>
              </w:rPr>
              <w:t xml:space="preserve">eam and </w:t>
            </w:r>
            <w:r w:rsidR="002A17EF" w:rsidRPr="00580D3D">
              <w:rPr>
                <w:sz w:val="22"/>
                <w:szCs w:val="22"/>
                <w:lang w:eastAsia="en-GB"/>
              </w:rPr>
              <w:t xml:space="preserve">the </w:t>
            </w:r>
            <w:r w:rsidRPr="00580D3D">
              <w:rPr>
                <w:sz w:val="22"/>
                <w:szCs w:val="22"/>
                <w:lang w:eastAsia="en-GB"/>
              </w:rPr>
              <w:t>supplier.</w:t>
            </w:r>
          </w:p>
          <w:p w14:paraId="2186D014" w14:textId="2AC06EED" w:rsidR="00583575" w:rsidRPr="00580D3D" w:rsidRDefault="00583575" w:rsidP="00A275C6">
            <w:pPr>
              <w:pStyle w:val="NormalWhite"/>
              <w:numPr>
                <w:ilvl w:val="0"/>
                <w:numId w:val="37"/>
              </w:numPr>
              <w:rPr>
                <w:sz w:val="22"/>
                <w:szCs w:val="22"/>
                <w:lang w:eastAsia="en-GB"/>
              </w:rPr>
            </w:pPr>
            <w:r w:rsidRPr="00580D3D">
              <w:rPr>
                <w:sz w:val="22"/>
                <w:szCs w:val="22"/>
                <w:lang w:eastAsia="en-GB"/>
              </w:rPr>
              <w:t>Additional ad hoc meetings may be required for gathering</w:t>
            </w:r>
            <w:r w:rsidR="002A17EF" w:rsidRPr="00580D3D">
              <w:rPr>
                <w:sz w:val="22"/>
                <w:szCs w:val="22"/>
                <w:lang w:eastAsia="en-GB"/>
              </w:rPr>
              <w:t xml:space="preserve"> information</w:t>
            </w:r>
            <w:r w:rsidRPr="00580D3D">
              <w:rPr>
                <w:sz w:val="22"/>
                <w:szCs w:val="22"/>
                <w:lang w:eastAsia="en-GB"/>
              </w:rPr>
              <w:t xml:space="preserve">, </w:t>
            </w:r>
            <w:r w:rsidR="002A17EF" w:rsidRPr="00580D3D">
              <w:rPr>
                <w:sz w:val="22"/>
                <w:szCs w:val="22"/>
                <w:lang w:eastAsia="en-GB"/>
              </w:rPr>
              <w:t>testing and</w:t>
            </w:r>
            <w:r w:rsidRPr="00580D3D">
              <w:rPr>
                <w:sz w:val="22"/>
                <w:szCs w:val="22"/>
                <w:lang w:eastAsia="en-GB"/>
              </w:rPr>
              <w:t xml:space="preserve"> training of ORR staff and reviewing of outputs. </w:t>
            </w:r>
          </w:p>
          <w:p w14:paraId="413A5EE2" w14:textId="45734EB2" w:rsidR="00F52BE8" w:rsidRPr="00A275C6" w:rsidRDefault="00583575" w:rsidP="00A275C6">
            <w:pPr>
              <w:pStyle w:val="NormalWhite"/>
              <w:numPr>
                <w:ilvl w:val="0"/>
                <w:numId w:val="37"/>
              </w:numPr>
              <w:rPr>
                <w:rFonts w:cs="Arial"/>
                <w:b/>
              </w:rPr>
            </w:pPr>
            <w:r w:rsidRPr="00580D3D">
              <w:rPr>
                <w:sz w:val="22"/>
                <w:szCs w:val="22"/>
                <w:lang w:eastAsia="en-GB"/>
              </w:rPr>
              <w:t>At the end of the project</w:t>
            </w:r>
            <w:r w:rsidR="001C36E1" w:rsidRPr="00580D3D">
              <w:rPr>
                <w:sz w:val="22"/>
                <w:szCs w:val="22"/>
                <w:lang w:eastAsia="en-GB"/>
              </w:rPr>
              <w:t>,</w:t>
            </w:r>
            <w:r w:rsidRPr="00580D3D">
              <w:rPr>
                <w:sz w:val="22"/>
                <w:szCs w:val="22"/>
                <w:lang w:eastAsia="en-GB"/>
              </w:rPr>
              <w:t xml:space="preserve"> </w:t>
            </w:r>
            <w:r w:rsidR="002A17EF" w:rsidRPr="00580D3D">
              <w:rPr>
                <w:sz w:val="22"/>
                <w:szCs w:val="22"/>
                <w:lang w:eastAsia="en-GB"/>
              </w:rPr>
              <w:t>the s</w:t>
            </w:r>
            <w:r w:rsidRPr="00580D3D">
              <w:rPr>
                <w:sz w:val="22"/>
                <w:szCs w:val="22"/>
                <w:lang w:eastAsia="en-GB"/>
              </w:rPr>
              <w:t xml:space="preserve">upplier </w:t>
            </w:r>
            <w:r w:rsidR="002A17EF" w:rsidRPr="00580D3D">
              <w:rPr>
                <w:sz w:val="22"/>
                <w:szCs w:val="22"/>
                <w:lang w:eastAsia="en-GB"/>
              </w:rPr>
              <w:t xml:space="preserve">is </w:t>
            </w:r>
            <w:r w:rsidRPr="00580D3D">
              <w:rPr>
                <w:sz w:val="22"/>
                <w:szCs w:val="22"/>
                <w:lang w:eastAsia="en-GB"/>
              </w:rPr>
              <w:t>to return and/or appropriate</w:t>
            </w:r>
            <w:r w:rsidR="001C36E1" w:rsidRPr="00580D3D">
              <w:rPr>
                <w:sz w:val="22"/>
                <w:szCs w:val="22"/>
                <w:lang w:eastAsia="en-GB"/>
              </w:rPr>
              <w:t>ly</w:t>
            </w:r>
            <w:r w:rsidRPr="00580D3D">
              <w:rPr>
                <w:sz w:val="22"/>
                <w:szCs w:val="22"/>
                <w:lang w:eastAsia="en-GB"/>
              </w:rPr>
              <w:t xml:space="preserve"> dispose of any relevant information created and provided by ORR during the course of the project.</w:t>
            </w:r>
          </w:p>
        </w:tc>
      </w:tr>
      <w:tr w:rsidR="00F52BE8" w:rsidRPr="0036077E" w14:paraId="4166DCD0" w14:textId="77777777" w:rsidTr="75FAB3DF">
        <w:trPr>
          <w:trHeight w:val="250"/>
        </w:trPr>
        <w:tc>
          <w:tcPr>
            <w:tcW w:w="8528" w:type="dxa"/>
            <w:shd w:val="clear" w:color="auto" w:fill="99CCFF"/>
          </w:tcPr>
          <w:p w14:paraId="5B50AF6D" w14:textId="77777777" w:rsidR="00F52BE8" w:rsidRPr="0036077E" w:rsidRDefault="00F52BE8" w:rsidP="006D798C">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75FAB3DF">
        <w:trPr>
          <w:trHeight w:val="250"/>
        </w:trPr>
        <w:tc>
          <w:tcPr>
            <w:tcW w:w="8528" w:type="dxa"/>
            <w:tcBorders>
              <w:bottom w:val="single" w:sz="4" w:space="0" w:color="auto"/>
            </w:tcBorders>
            <w:shd w:val="clear" w:color="auto" w:fill="auto"/>
          </w:tcPr>
          <w:p w14:paraId="7054CF29" w14:textId="77777777" w:rsidR="00F52BE8" w:rsidRPr="0036077E" w:rsidRDefault="00F52BE8" w:rsidP="00645F00">
            <w:pPr>
              <w:autoSpaceDE w:val="0"/>
              <w:autoSpaceDN w:val="0"/>
              <w:adjustRightInd w:val="0"/>
              <w:spacing w:before="120"/>
              <w:rPr>
                <w:rFonts w:cs="Arial"/>
                <w:color w:val="000000"/>
                <w:sz w:val="22"/>
                <w:szCs w:val="22"/>
                <w:lang w:eastAsia="en-GB"/>
              </w:rPr>
            </w:pPr>
            <w:r w:rsidRPr="0036077E">
              <w:rPr>
                <w:rFonts w:cs="Arial"/>
                <w:color w:val="000000"/>
                <w:sz w:val="22"/>
                <w:szCs w:val="22"/>
                <w:lang w:eastAsia="en-GB"/>
              </w:rPr>
              <w:t>The provisional project timetable is as follows:</w:t>
            </w:r>
          </w:p>
          <w:p w14:paraId="009C3E07" w14:textId="2D69BC11" w:rsidR="00F52BE8" w:rsidRPr="00796BF4" w:rsidRDefault="0018355F"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Start-up</w:t>
            </w:r>
            <w:r w:rsidR="00F52BE8" w:rsidRPr="0036077E">
              <w:rPr>
                <w:rFonts w:cs="Arial"/>
                <w:color w:val="000000"/>
                <w:sz w:val="22"/>
                <w:szCs w:val="22"/>
                <w:lang w:eastAsia="en-GB"/>
              </w:rPr>
              <w:t xml:space="preserve"> meeting and commencement w/c </w:t>
            </w:r>
            <w:r w:rsidR="00DE4CA9">
              <w:rPr>
                <w:rFonts w:cs="Arial"/>
                <w:color w:val="000000"/>
                <w:sz w:val="22"/>
                <w:szCs w:val="22"/>
                <w:lang w:eastAsia="en-GB"/>
              </w:rPr>
              <w:t>22</w:t>
            </w:r>
            <w:r w:rsidR="00AD0ACB" w:rsidRPr="00796BF4">
              <w:rPr>
                <w:rFonts w:cs="Arial"/>
                <w:color w:val="000000"/>
                <w:sz w:val="22"/>
                <w:szCs w:val="22"/>
                <w:lang w:eastAsia="en-GB"/>
              </w:rPr>
              <w:t xml:space="preserve"> – </w:t>
            </w:r>
            <w:r w:rsidR="00DE4CA9">
              <w:rPr>
                <w:rFonts w:cs="Arial"/>
                <w:color w:val="000000"/>
                <w:sz w:val="22"/>
                <w:szCs w:val="22"/>
                <w:lang w:eastAsia="en-GB"/>
              </w:rPr>
              <w:t>26</w:t>
            </w:r>
            <w:r w:rsidR="00AD0ACB" w:rsidRPr="00796BF4">
              <w:rPr>
                <w:rFonts w:cs="Arial"/>
                <w:color w:val="000000"/>
                <w:sz w:val="22"/>
                <w:szCs w:val="22"/>
                <w:lang w:eastAsia="en-GB"/>
              </w:rPr>
              <w:t xml:space="preserve"> </w:t>
            </w:r>
            <w:r w:rsidR="00851A06" w:rsidRPr="00796BF4">
              <w:rPr>
                <w:rFonts w:cs="Arial"/>
                <w:color w:val="000000"/>
                <w:sz w:val="22"/>
                <w:szCs w:val="22"/>
                <w:lang w:eastAsia="en-GB"/>
              </w:rPr>
              <w:t>November</w:t>
            </w:r>
            <w:r w:rsidR="00F52BE8" w:rsidRPr="00796BF4">
              <w:rPr>
                <w:rFonts w:cs="Arial"/>
                <w:color w:val="000000"/>
                <w:sz w:val="22"/>
                <w:szCs w:val="22"/>
                <w:lang w:eastAsia="en-GB"/>
              </w:rPr>
              <w:t xml:space="preserve"> </w:t>
            </w:r>
            <w:r w:rsidRPr="00796BF4">
              <w:rPr>
                <w:rFonts w:cs="Arial"/>
                <w:color w:val="000000"/>
                <w:sz w:val="22"/>
                <w:szCs w:val="22"/>
                <w:lang w:eastAsia="en-GB"/>
              </w:rPr>
              <w:t>2021</w:t>
            </w:r>
            <w:r w:rsidR="00F52BE8" w:rsidRPr="00796BF4">
              <w:rPr>
                <w:rFonts w:cs="Arial"/>
                <w:color w:val="000000"/>
                <w:sz w:val="22"/>
                <w:szCs w:val="22"/>
                <w:lang w:eastAsia="en-GB"/>
              </w:rPr>
              <w:t>.</w:t>
            </w:r>
          </w:p>
          <w:p w14:paraId="050435D7" w14:textId="3D506994" w:rsidR="00F52BE8" w:rsidRPr="0036077E" w:rsidRDefault="0018355F"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Weekly </w:t>
            </w:r>
            <w:r w:rsidR="00F52BE8" w:rsidRPr="0036077E">
              <w:rPr>
                <w:rFonts w:cs="Arial"/>
                <w:color w:val="000000"/>
                <w:sz w:val="22"/>
                <w:szCs w:val="22"/>
                <w:lang w:eastAsia="en-GB"/>
              </w:rPr>
              <w:t>updates on progress and any issues</w:t>
            </w:r>
            <w:r>
              <w:rPr>
                <w:rFonts w:cs="Arial"/>
                <w:color w:val="000000"/>
                <w:sz w:val="22"/>
                <w:szCs w:val="22"/>
                <w:lang w:eastAsia="en-GB"/>
              </w:rPr>
              <w:t xml:space="preserve"> (</w:t>
            </w:r>
            <w:r w:rsidR="00474F81">
              <w:rPr>
                <w:rFonts w:cs="Arial"/>
                <w:color w:val="000000"/>
                <w:sz w:val="22"/>
                <w:szCs w:val="22"/>
                <w:lang w:eastAsia="en-GB"/>
              </w:rPr>
              <w:t xml:space="preserve">including via </w:t>
            </w:r>
            <w:r>
              <w:rPr>
                <w:rFonts w:cs="Arial"/>
                <w:color w:val="000000"/>
                <w:sz w:val="22"/>
                <w:szCs w:val="22"/>
                <w:lang w:eastAsia="en-GB"/>
              </w:rPr>
              <w:t>MS Teams).</w:t>
            </w:r>
          </w:p>
          <w:p w14:paraId="0D921B6D" w14:textId="3B96CDAA"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on </w:t>
            </w:r>
            <w:r w:rsidR="00AD0ACB" w:rsidRPr="00796BF4">
              <w:rPr>
                <w:rFonts w:cs="Arial"/>
                <w:color w:val="000000"/>
                <w:sz w:val="22"/>
                <w:szCs w:val="22"/>
                <w:lang w:eastAsia="en-GB"/>
              </w:rPr>
              <w:t>mid-</w:t>
            </w:r>
            <w:r w:rsidR="00851A06" w:rsidRPr="00796BF4">
              <w:rPr>
                <w:rFonts w:cs="Arial"/>
                <w:color w:val="000000"/>
                <w:sz w:val="22"/>
                <w:szCs w:val="22"/>
                <w:lang w:eastAsia="en-GB"/>
              </w:rPr>
              <w:t xml:space="preserve">January </w:t>
            </w:r>
            <w:r w:rsidRPr="00796BF4">
              <w:rPr>
                <w:rFonts w:cs="Arial"/>
                <w:color w:val="000000"/>
                <w:sz w:val="22"/>
                <w:szCs w:val="22"/>
                <w:lang w:eastAsia="en-GB"/>
              </w:rPr>
              <w:t>20</w:t>
            </w:r>
            <w:r w:rsidR="00851A06" w:rsidRPr="00796BF4">
              <w:rPr>
                <w:rFonts w:cs="Arial"/>
                <w:color w:val="000000"/>
                <w:sz w:val="22"/>
                <w:szCs w:val="22"/>
                <w:lang w:eastAsia="en-GB"/>
              </w:rPr>
              <w:t>22</w:t>
            </w:r>
            <w:r w:rsidRPr="00796BF4">
              <w:rPr>
                <w:rFonts w:cs="Arial"/>
                <w:color w:val="000000"/>
                <w:sz w:val="22"/>
                <w:szCs w:val="22"/>
                <w:lang w:eastAsia="en-GB"/>
              </w:rPr>
              <w:t xml:space="preserve"> (or</w:t>
            </w:r>
            <w:r w:rsidRPr="0036077E">
              <w:rPr>
                <w:rFonts w:cs="Arial"/>
                <w:color w:val="000000"/>
                <w:sz w:val="22"/>
                <w:szCs w:val="22"/>
                <w:lang w:eastAsia="en-GB"/>
              </w:rPr>
              <w:t xml:space="preserve"> as agreed)</w:t>
            </w:r>
            <w:r w:rsidR="00B61E6E">
              <w:rPr>
                <w:rFonts w:cs="Arial"/>
                <w:color w:val="000000"/>
                <w:sz w:val="22"/>
                <w:szCs w:val="22"/>
                <w:lang w:eastAsia="en-GB"/>
              </w:rPr>
              <w:t>.</w:t>
            </w:r>
          </w:p>
          <w:p w14:paraId="3932EAEA" w14:textId="2AD3E813" w:rsidR="00F52BE8" w:rsidRPr="00796BF4"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w:t>
            </w:r>
            <w:r w:rsidRPr="00796BF4">
              <w:rPr>
                <w:rFonts w:cs="Arial"/>
                <w:color w:val="000000"/>
                <w:sz w:val="22"/>
                <w:szCs w:val="22"/>
                <w:lang w:eastAsia="en-GB"/>
              </w:rPr>
              <w:t>by</w:t>
            </w:r>
            <w:r w:rsidR="00851A06" w:rsidRPr="00796BF4">
              <w:rPr>
                <w:rFonts w:cs="Arial"/>
                <w:color w:val="000000"/>
                <w:sz w:val="22"/>
                <w:szCs w:val="22"/>
                <w:lang w:eastAsia="en-GB"/>
              </w:rPr>
              <w:t xml:space="preserve"> </w:t>
            </w:r>
            <w:r w:rsidR="00AD0ACB" w:rsidRPr="00796BF4">
              <w:rPr>
                <w:rFonts w:cs="Arial"/>
                <w:color w:val="000000"/>
                <w:sz w:val="22"/>
                <w:szCs w:val="22"/>
                <w:lang w:eastAsia="en-GB"/>
              </w:rPr>
              <w:t>1</w:t>
            </w:r>
            <w:r w:rsidR="00CB7444">
              <w:rPr>
                <w:rFonts w:cs="Arial"/>
                <w:color w:val="000000"/>
                <w:sz w:val="22"/>
                <w:szCs w:val="22"/>
                <w:lang w:eastAsia="en-GB"/>
              </w:rPr>
              <w:t>1</w:t>
            </w:r>
            <w:r w:rsidR="00851A06" w:rsidRPr="00796BF4">
              <w:rPr>
                <w:rFonts w:cs="Arial"/>
                <w:color w:val="000000"/>
                <w:sz w:val="22"/>
                <w:szCs w:val="22"/>
                <w:lang w:eastAsia="en-GB"/>
              </w:rPr>
              <w:t xml:space="preserve"> February </w:t>
            </w:r>
            <w:r w:rsidR="0018355F" w:rsidRPr="00796BF4">
              <w:rPr>
                <w:rFonts w:cs="Arial"/>
                <w:color w:val="000000"/>
                <w:sz w:val="22"/>
                <w:szCs w:val="22"/>
                <w:lang w:eastAsia="en-GB"/>
              </w:rPr>
              <w:t>2022</w:t>
            </w:r>
            <w:r w:rsidRPr="00796BF4">
              <w:rPr>
                <w:rFonts w:cs="Arial"/>
                <w:color w:val="000000"/>
                <w:sz w:val="22"/>
                <w:szCs w:val="22"/>
                <w:lang w:eastAsia="en-GB"/>
              </w:rPr>
              <w:t>.</w:t>
            </w:r>
          </w:p>
          <w:p w14:paraId="395C7F3A" w14:textId="71159F21" w:rsidR="00F52BE8" w:rsidRPr="00B51B80" w:rsidRDefault="00F52BE8" w:rsidP="00580D3D">
            <w:pPr>
              <w:numPr>
                <w:ilvl w:val="0"/>
                <w:numId w:val="12"/>
              </w:numPr>
              <w:autoSpaceDE w:val="0"/>
              <w:autoSpaceDN w:val="0"/>
              <w:adjustRightInd w:val="0"/>
              <w:ind w:left="357" w:hanging="357"/>
              <w:rPr>
                <w:rFonts w:cs="Arial"/>
                <w:color w:val="000000"/>
                <w:sz w:val="22"/>
                <w:szCs w:val="22"/>
                <w:lang w:eastAsia="en-GB"/>
              </w:rPr>
            </w:pPr>
            <w:r w:rsidRPr="00796BF4">
              <w:rPr>
                <w:rFonts w:cs="Arial"/>
                <w:color w:val="000000"/>
                <w:sz w:val="22"/>
                <w:szCs w:val="22"/>
                <w:lang w:eastAsia="en-GB"/>
              </w:rPr>
              <w:t xml:space="preserve">Final report by </w:t>
            </w:r>
            <w:r w:rsidR="00D3716D" w:rsidRPr="00796BF4">
              <w:rPr>
                <w:rFonts w:cs="Arial"/>
                <w:color w:val="000000"/>
                <w:sz w:val="22"/>
                <w:szCs w:val="22"/>
                <w:lang w:eastAsia="en-GB"/>
              </w:rPr>
              <w:t>1</w:t>
            </w:r>
            <w:r w:rsidR="0018355F" w:rsidRPr="00796BF4">
              <w:rPr>
                <w:rFonts w:cs="Arial"/>
                <w:color w:val="000000"/>
                <w:sz w:val="22"/>
                <w:szCs w:val="22"/>
                <w:lang w:eastAsia="en-GB"/>
              </w:rPr>
              <w:t xml:space="preserve"> March 2022.</w:t>
            </w:r>
          </w:p>
        </w:tc>
      </w:tr>
      <w:tr w:rsidR="00F52BE8" w:rsidRPr="0036077E" w14:paraId="0C1C7899" w14:textId="77777777" w:rsidTr="75FAB3DF">
        <w:trPr>
          <w:trHeight w:val="129"/>
        </w:trPr>
        <w:tc>
          <w:tcPr>
            <w:tcW w:w="8528" w:type="dxa"/>
            <w:shd w:val="clear" w:color="auto" w:fill="99CCFF"/>
          </w:tcPr>
          <w:p w14:paraId="382F5D56" w14:textId="77777777" w:rsidR="00F52BE8" w:rsidRPr="0036077E" w:rsidRDefault="00F52BE8" w:rsidP="006D798C">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75FAB3DF">
        <w:trPr>
          <w:trHeight w:val="127"/>
        </w:trPr>
        <w:tc>
          <w:tcPr>
            <w:tcW w:w="8528" w:type="dxa"/>
            <w:tcBorders>
              <w:bottom w:val="single" w:sz="4" w:space="0" w:color="auto"/>
            </w:tcBorders>
            <w:shd w:val="clear" w:color="auto" w:fill="auto"/>
          </w:tcPr>
          <w:p w14:paraId="505FE00B" w14:textId="59C84413" w:rsidR="00F52BE8" w:rsidRDefault="00F52BE8" w:rsidP="00580D3D">
            <w:pPr>
              <w:spacing w:before="240"/>
              <w:rPr>
                <w:rFonts w:cs="Arial"/>
                <w:color w:val="000000"/>
                <w:sz w:val="22"/>
                <w:szCs w:val="22"/>
              </w:rPr>
            </w:pPr>
            <w:r w:rsidRPr="0036077E">
              <w:rPr>
                <w:sz w:val="22"/>
                <w:szCs w:val="22"/>
              </w:rPr>
              <w:t xml:space="preserve">The maximum budget for this piece of work is </w:t>
            </w:r>
            <w:r w:rsidRPr="00476DB4">
              <w:rPr>
                <w:sz w:val="22"/>
                <w:szCs w:val="22"/>
              </w:rPr>
              <w:t>£</w:t>
            </w:r>
            <w:r w:rsidR="0018355F" w:rsidRPr="00476DB4">
              <w:rPr>
                <w:sz w:val="22"/>
                <w:szCs w:val="22"/>
              </w:rPr>
              <w:t>40,000</w:t>
            </w:r>
            <w:r w:rsidRPr="0036077E">
              <w:rPr>
                <w:sz w:val="22"/>
                <w:szCs w:val="22"/>
              </w:rPr>
              <w:t xml:space="preserve"> (inc. of expenses, exc. of VAT)</w:t>
            </w:r>
            <w:r w:rsidRPr="0036077E">
              <w:rPr>
                <w:rFonts w:cs="Arial"/>
                <w:color w:val="000000"/>
                <w:sz w:val="22"/>
                <w:szCs w:val="22"/>
              </w:rPr>
              <w:t>.</w:t>
            </w:r>
          </w:p>
          <w:p w14:paraId="0922DD84" w14:textId="6BBEB77A" w:rsidR="00F52BE8" w:rsidRPr="00645F00" w:rsidRDefault="00F52BE8" w:rsidP="006D798C">
            <w:pPr>
              <w:rPr>
                <w:rFonts w:cs="Arial"/>
                <w:b/>
                <w:color w:val="000000" w:themeColor="text1"/>
                <w:sz w:val="22"/>
                <w:szCs w:val="22"/>
              </w:rPr>
            </w:pPr>
            <w:r w:rsidRPr="00645F00">
              <w:rPr>
                <w:rFonts w:cs="Arial"/>
                <w:b/>
                <w:color w:val="000000" w:themeColor="text1"/>
                <w:sz w:val="22"/>
                <w:szCs w:val="22"/>
              </w:rPr>
              <w:t xml:space="preserve">Payment </w:t>
            </w:r>
          </w:p>
          <w:p w14:paraId="2620ED6F" w14:textId="5F703831" w:rsidR="00F52BE8" w:rsidRPr="00816394" w:rsidRDefault="004D21E8" w:rsidP="004D21E8">
            <w:pPr>
              <w:rPr>
                <w:b/>
                <w:color w:val="FF0000"/>
              </w:rPr>
            </w:pPr>
            <w:r w:rsidRPr="00796BF4">
              <w:rPr>
                <w:rFonts w:cs="Arial"/>
                <w:sz w:val="22"/>
                <w:szCs w:val="22"/>
              </w:rPr>
              <w:t xml:space="preserve">Our </w:t>
            </w:r>
            <w:r w:rsidR="00D56AB9" w:rsidRPr="00796BF4">
              <w:rPr>
                <w:rFonts w:cs="Arial"/>
                <w:sz w:val="22"/>
                <w:szCs w:val="22"/>
              </w:rPr>
              <w:t>preference is for the p</w:t>
            </w:r>
            <w:r w:rsidR="00F52BE8" w:rsidRPr="00796BF4">
              <w:rPr>
                <w:rFonts w:cs="Arial"/>
                <w:sz w:val="22"/>
                <w:szCs w:val="22"/>
              </w:rPr>
              <w:t xml:space="preserve">ayment </w:t>
            </w:r>
            <w:r w:rsidRPr="00796BF4">
              <w:rPr>
                <w:rFonts w:cs="Arial"/>
                <w:sz w:val="22"/>
                <w:szCs w:val="22"/>
              </w:rPr>
              <w:t xml:space="preserve">to be </w:t>
            </w:r>
            <w:r w:rsidR="00F52BE8" w:rsidRPr="00796BF4">
              <w:rPr>
                <w:rFonts w:cs="Arial"/>
                <w:sz w:val="22"/>
                <w:szCs w:val="22"/>
              </w:rPr>
              <w:t xml:space="preserve">the total fee on the delivery and acceptance by ORR of all </w:t>
            </w:r>
            <w:r w:rsidRPr="00796BF4">
              <w:rPr>
                <w:rFonts w:cs="Arial"/>
                <w:sz w:val="22"/>
                <w:szCs w:val="22"/>
              </w:rPr>
              <w:t xml:space="preserve">the </w:t>
            </w:r>
            <w:r w:rsidR="00F52BE8" w:rsidRPr="00796BF4">
              <w:rPr>
                <w:rFonts w:cs="Arial"/>
                <w:sz w:val="22"/>
                <w:szCs w:val="22"/>
              </w:rPr>
              <w:t>required outputs and/or deliverables.</w:t>
            </w:r>
            <w:r w:rsidR="00D56AB9" w:rsidRPr="00796BF4">
              <w:rPr>
                <w:rFonts w:cs="Arial"/>
                <w:sz w:val="22"/>
                <w:szCs w:val="22"/>
              </w:rPr>
              <w:t xml:space="preserve"> However, </w:t>
            </w:r>
            <w:r w:rsidR="001645AC">
              <w:rPr>
                <w:rFonts w:cs="Arial"/>
                <w:sz w:val="22"/>
                <w:szCs w:val="22"/>
              </w:rPr>
              <w:t>bidders may submit a proposed milestone payment plan.  Any milestones within the plan must be linked to tangible deliverables and not simply a monthly payment.</w:t>
            </w:r>
            <w:r w:rsidR="00D56AB9">
              <w:rPr>
                <w:rFonts w:cs="Arial"/>
                <w:sz w:val="22"/>
                <w:szCs w:val="22"/>
              </w:rPr>
              <w:t xml:space="preserve"> </w:t>
            </w:r>
          </w:p>
        </w:tc>
      </w:tr>
      <w:tr w:rsidR="00F52BE8" w:rsidRPr="0036077E" w14:paraId="6A95EAA1" w14:textId="77777777" w:rsidTr="75FAB3DF">
        <w:trPr>
          <w:trHeight w:val="127"/>
        </w:trPr>
        <w:tc>
          <w:tcPr>
            <w:tcW w:w="8528" w:type="dxa"/>
            <w:shd w:val="clear" w:color="auto" w:fill="99CCFF"/>
          </w:tcPr>
          <w:p w14:paraId="621C1671" w14:textId="77777777" w:rsidR="00F52BE8" w:rsidRPr="0036077E" w:rsidRDefault="00F52BE8" w:rsidP="006D798C">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75FAB3DF">
        <w:trPr>
          <w:trHeight w:val="127"/>
        </w:trPr>
        <w:tc>
          <w:tcPr>
            <w:tcW w:w="8528" w:type="dxa"/>
            <w:shd w:val="clear" w:color="auto" w:fill="auto"/>
          </w:tcPr>
          <w:p w14:paraId="6FD2B5D9" w14:textId="3C1F41A1" w:rsidR="00F52BE8" w:rsidRPr="0036077E" w:rsidRDefault="00F52BE8" w:rsidP="00103AA7">
            <w:pPr>
              <w:pStyle w:val="ListNumber"/>
              <w:numPr>
                <w:ilvl w:val="0"/>
                <w:numId w:val="0"/>
              </w:numPr>
              <w:rPr>
                <w:rFonts w:cs="Arial"/>
                <w:color w:val="000000"/>
                <w:sz w:val="22"/>
                <w:szCs w:val="22"/>
              </w:rPr>
            </w:pPr>
            <w:r w:rsidRPr="0036077E">
              <w:rPr>
                <w:b/>
                <w:sz w:val="22"/>
                <w:szCs w:val="22"/>
              </w:rPr>
              <w:lastRenderedPageBreak/>
              <w:t>Intellectual Property Rights</w:t>
            </w:r>
          </w:p>
          <w:p w14:paraId="202ABE44" w14:textId="0796EE18" w:rsidR="00F52BE8" w:rsidRDefault="00F52BE8" w:rsidP="00103AA7">
            <w:pPr>
              <w:pStyle w:val="ListNumber"/>
              <w:numPr>
                <w:ilvl w:val="0"/>
                <w:numId w:val="0"/>
              </w:numPr>
              <w:tabs>
                <w:tab w:val="clear" w:pos="720"/>
              </w:tabs>
              <w:spacing w:before="0" w:after="0"/>
              <w:rPr>
                <w:b/>
                <w:sz w:val="22"/>
                <w:szCs w:val="22"/>
              </w:rPr>
            </w:pPr>
            <w:r w:rsidRPr="0036077E">
              <w:rPr>
                <w:rFonts w:cs="Arial"/>
                <w:color w:val="000000"/>
                <w:sz w:val="22"/>
                <w:szCs w:val="22"/>
              </w:rPr>
              <w:t xml:space="preserve">ORR will own the Intellectual Property Rights for all project related documentation and artefacts. </w:t>
            </w:r>
          </w:p>
          <w:p w14:paraId="22D1EE4E" w14:textId="77777777" w:rsidR="00F52BE8" w:rsidRDefault="00F52BE8" w:rsidP="00103AA7">
            <w:pPr>
              <w:pStyle w:val="ListNumber"/>
              <w:numPr>
                <w:ilvl w:val="0"/>
                <w:numId w:val="0"/>
              </w:numPr>
              <w:tabs>
                <w:tab w:val="clear" w:pos="720"/>
              </w:tabs>
              <w:rPr>
                <w:b/>
                <w:sz w:val="22"/>
                <w:szCs w:val="22"/>
              </w:rPr>
            </w:pPr>
            <w:r>
              <w:rPr>
                <w:b/>
                <w:sz w:val="22"/>
                <w:szCs w:val="22"/>
              </w:rPr>
              <w:t>Transparency requirements</w:t>
            </w:r>
          </w:p>
          <w:p w14:paraId="6AAFDCC5" w14:textId="77777777" w:rsidR="00F52BE8" w:rsidRPr="003974B6" w:rsidRDefault="00F52BE8" w:rsidP="006D798C">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03C277D6" w14:textId="678D3CEF" w:rsidR="00F52BE8" w:rsidRPr="0036077E" w:rsidRDefault="00F52BE8" w:rsidP="00103AA7">
            <w:pPr>
              <w:pStyle w:val="ListNumber"/>
              <w:numPr>
                <w:ilvl w:val="0"/>
                <w:numId w:val="0"/>
              </w:numPr>
              <w:rPr>
                <w:sz w:val="22"/>
                <w:szCs w:val="22"/>
              </w:rPr>
            </w:pPr>
            <w:r w:rsidRPr="0036077E">
              <w:rPr>
                <w:b/>
                <w:sz w:val="22"/>
                <w:szCs w:val="22"/>
              </w:rPr>
              <w:t>Confidentiality</w:t>
            </w:r>
          </w:p>
          <w:p w14:paraId="6B35D7A3" w14:textId="7A9B2FA1" w:rsidR="00F52BE8" w:rsidRDefault="00F52BE8" w:rsidP="006D798C">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4E2B15D" w14:textId="30677803" w:rsidR="00F52BE8" w:rsidRPr="00907369" w:rsidRDefault="00F52BE8" w:rsidP="00103AA7">
            <w:pPr>
              <w:pStyle w:val="ListNumber"/>
              <w:numPr>
                <w:ilvl w:val="0"/>
                <w:numId w:val="0"/>
              </w:numPr>
              <w:rPr>
                <w:b/>
                <w:sz w:val="22"/>
                <w:szCs w:val="22"/>
              </w:rPr>
            </w:pPr>
            <w:r w:rsidRPr="00907369">
              <w:rPr>
                <w:b/>
                <w:sz w:val="22"/>
                <w:szCs w:val="22"/>
              </w:rPr>
              <w:t>Sub-Contractors</w:t>
            </w:r>
          </w:p>
          <w:p w14:paraId="57BB071D" w14:textId="77777777" w:rsidR="00F52BE8" w:rsidRPr="00907369" w:rsidRDefault="00F52BE8" w:rsidP="006D798C">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6D798C">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AD2DDE5" w14:textId="20C6DADB" w:rsidR="00907369" w:rsidRPr="00907369" w:rsidRDefault="00907369" w:rsidP="00103AA7">
            <w:pPr>
              <w:pStyle w:val="Heading2"/>
              <w:keepLines/>
              <w:tabs>
                <w:tab w:val="clear" w:pos="1440"/>
              </w:tabs>
              <w:spacing w:before="0"/>
            </w:pPr>
            <w:r>
              <w:rPr>
                <w:rFonts w:cs="Arial"/>
                <w:sz w:val="22"/>
                <w:szCs w:val="22"/>
              </w:rPr>
              <w:t>Conflict of Interest</w:t>
            </w: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6D798C">
        <w:tc>
          <w:tcPr>
            <w:tcW w:w="8528" w:type="dxa"/>
            <w:shd w:val="clear" w:color="auto" w:fill="99CCFF"/>
          </w:tcPr>
          <w:p w14:paraId="639C8E11" w14:textId="77777777" w:rsidR="00F52BE8" w:rsidRPr="0036077E" w:rsidRDefault="00F52BE8" w:rsidP="006D798C">
            <w:pPr>
              <w:rPr>
                <w:rFonts w:cs="Arial"/>
                <w:b/>
                <w:sz w:val="28"/>
                <w:szCs w:val="28"/>
              </w:rPr>
            </w:pPr>
            <w:r w:rsidRPr="0036077E">
              <w:rPr>
                <w:rFonts w:cs="Arial"/>
                <w:b/>
                <w:sz w:val="28"/>
                <w:szCs w:val="28"/>
              </w:rPr>
              <w:t>3.1 The Tender Response</w:t>
            </w:r>
          </w:p>
        </w:tc>
      </w:tr>
      <w:tr w:rsidR="00F52BE8" w:rsidRPr="0036077E" w14:paraId="2B700EF6" w14:textId="77777777" w:rsidTr="00A275C6">
        <w:trPr>
          <w:trHeight w:val="1833"/>
        </w:trPr>
        <w:tc>
          <w:tcPr>
            <w:tcW w:w="8528" w:type="dxa"/>
            <w:tcBorders>
              <w:bottom w:val="single" w:sz="4" w:space="0" w:color="auto"/>
            </w:tcBorders>
            <w:shd w:val="clear" w:color="auto" w:fill="auto"/>
          </w:tcPr>
          <w:p w14:paraId="78A4536E" w14:textId="2C493D76" w:rsidR="00F52BE8" w:rsidRPr="0036077E" w:rsidRDefault="00F52BE8" w:rsidP="00580D3D">
            <w:pPr>
              <w:spacing w:before="120"/>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6D798C">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6D798C">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6D798C">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6D798C">
            <w:pPr>
              <w:rPr>
                <w:rFonts w:cs="Arial"/>
                <w:sz w:val="22"/>
                <w:szCs w:val="22"/>
              </w:rPr>
            </w:pPr>
            <w:r w:rsidRPr="0036077E">
              <w:rPr>
                <w:rFonts w:cs="Arial"/>
                <w:b/>
                <w:bCs/>
                <w:color w:val="000000"/>
                <w:sz w:val="22"/>
                <w:szCs w:val="22"/>
                <w:lang w:eastAsia="en-GB"/>
              </w:rPr>
              <w:t>b) Approach to customer's requirements</w:t>
            </w:r>
          </w:p>
          <w:p w14:paraId="2280A60D" w14:textId="3999F609"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r w:rsidR="00F95E39">
              <w:rPr>
                <w:sz w:val="22"/>
                <w:szCs w:val="22"/>
              </w:rPr>
              <w:t>.</w:t>
            </w:r>
          </w:p>
          <w:p w14:paraId="3C6EF5FF" w14:textId="77777777" w:rsidR="00F52BE8" w:rsidRPr="0036077E" w:rsidRDefault="00F52BE8" w:rsidP="006D798C">
            <w:pPr>
              <w:autoSpaceDE w:val="0"/>
              <w:autoSpaceDN w:val="0"/>
              <w:adjustRightInd w:val="0"/>
              <w:spacing w:after="0"/>
              <w:rPr>
                <w:rFonts w:cs="Arial"/>
                <w:color w:val="000000"/>
                <w:sz w:val="22"/>
                <w:szCs w:val="22"/>
                <w:lang w:eastAsia="en-GB"/>
              </w:rPr>
            </w:pPr>
          </w:p>
          <w:p w14:paraId="07E01719" w14:textId="65E2D899"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and/or constraints/dependencies made in relation to the project</w:t>
            </w:r>
            <w:r w:rsidR="00F95E39">
              <w:rPr>
                <w:rFonts w:cs="Arial"/>
                <w:color w:val="000000"/>
                <w:sz w:val="22"/>
                <w:szCs w:val="22"/>
                <w:lang w:eastAsia="en-GB"/>
              </w:rPr>
              <w:t>.</w:t>
            </w:r>
            <w:r w:rsidRPr="0036077E">
              <w:rPr>
                <w:rFonts w:cs="Arial"/>
                <w:color w:val="000000"/>
                <w:sz w:val="22"/>
                <w:szCs w:val="22"/>
                <w:lang w:eastAsia="en-GB"/>
              </w:rPr>
              <w:t xml:space="preserve"> </w:t>
            </w:r>
          </w:p>
          <w:p w14:paraId="3AE2DD4B" w14:textId="77777777" w:rsidR="00F52BE8" w:rsidRPr="0036077E" w:rsidRDefault="00F52BE8" w:rsidP="006D798C">
            <w:pPr>
              <w:autoSpaceDE w:val="0"/>
              <w:autoSpaceDN w:val="0"/>
              <w:adjustRightInd w:val="0"/>
              <w:spacing w:after="0"/>
              <w:rPr>
                <w:rFonts w:cs="Arial"/>
                <w:color w:val="000000"/>
                <w:sz w:val="22"/>
                <w:szCs w:val="22"/>
                <w:lang w:eastAsia="en-GB"/>
              </w:rPr>
            </w:pPr>
          </w:p>
          <w:p w14:paraId="2C505D77" w14:textId="6280833F"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r w:rsidR="00F95E39">
              <w:rPr>
                <w:rFonts w:cs="Arial"/>
                <w:sz w:val="22"/>
                <w:szCs w:val="22"/>
              </w:rPr>
              <w:t>.</w:t>
            </w:r>
          </w:p>
          <w:p w14:paraId="221E6231" w14:textId="6B199749"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r w:rsidR="00F95E39">
              <w:rPr>
                <w:rFonts w:cs="Arial"/>
                <w:sz w:val="22"/>
                <w:szCs w:val="22"/>
              </w:rPr>
              <w:t>.</w:t>
            </w:r>
          </w:p>
          <w:p w14:paraId="02A9C1FA" w14:textId="7737E8C4" w:rsidR="00F52BE8" w:rsidRDefault="00F52BE8" w:rsidP="00F52BE8">
            <w:pPr>
              <w:pStyle w:val="ListNumber"/>
              <w:numPr>
                <w:ilvl w:val="0"/>
                <w:numId w:val="6"/>
              </w:numPr>
              <w:rPr>
                <w:sz w:val="22"/>
                <w:szCs w:val="22"/>
              </w:rPr>
            </w:pPr>
            <w:r>
              <w:rPr>
                <w:sz w:val="22"/>
                <w:szCs w:val="22"/>
              </w:rPr>
              <w:t>Compliance with any security requirements outlined in the SOR, including details of accreditation for systems (e.g.</w:t>
            </w:r>
            <w:r>
              <w:t xml:space="preserve"> ISO27000, Cyber Essentials)</w:t>
            </w:r>
            <w:r>
              <w:rPr>
                <w:sz w:val="22"/>
                <w:szCs w:val="22"/>
              </w:rPr>
              <w:t xml:space="preserve"> etc.</w:t>
            </w:r>
          </w:p>
          <w:p w14:paraId="458354EF" w14:textId="36E9A216" w:rsidR="00F52BE8" w:rsidRPr="0036077E" w:rsidRDefault="00F52BE8" w:rsidP="00F52BE8">
            <w:pPr>
              <w:pStyle w:val="ListNumber"/>
              <w:numPr>
                <w:ilvl w:val="0"/>
                <w:numId w:val="6"/>
              </w:numPr>
              <w:rPr>
                <w:sz w:val="22"/>
                <w:szCs w:val="22"/>
              </w:rPr>
            </w:pPr>
            <w:r w:rsidRPr="0036077E">
              <w:rPr>
                <w:sz w:val="22"/>
                <w:szCs w:val="22"/>
              </w:rPr>
              <w:t>What support bidders will require from ORR</w:t>
            </w:r>
            <w:r w:rsidR="00F95E39">
              <w:rPr>
                <w:sz w:val="22"/>
                <w:szCs w:val="22"/>
              </w:rPr>
              <w:t>.</w:t>
            </w:r>
            <w:r w:rsidRPr="0036077E">
              <w:rPr>
                <w:sz w:val="22"/>
                <w:szCs w:val="22"/>
              </w:rPr>
              <w:t xml:space="preserve"> </w:t>
            </w:r>
          </w:p>
          <w:p w14:paraId="5A5E28BF" w14:textId="3BFBFBA3" w:rsidR="00F52BE8" w:rsidRPr="0036077E" w:rsidRDefault="00F52BE8" w:rsidP="00645F00">
            <w:pPr>
              <w:pStyle w:val="ListNumber"/>
              <w:numPr>
                <w:ilvl w:val="0"/>
                <w:numId w:val="0"/>
              </w:numPr>
              <w:spacing w:before="240"/>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6D798C">
            <w:pPr>
              <w:autoSpaceDE w:val="0"/>
              <w:autoSpaceDN w:val="0"/>
              <w:adjustRightInd w:val="0"/>
              <w:spacing w:after="0"/>
              <w:rPr>
                <w:rFonts w:cs="Arial"/>
                <w:color w:val="000000"/>
                <w:sz w:val="22"/>
                <w:szCs w:val="22"/>
                <w:lang w:eastAsia="en-GB"/>
              </w:rPr>
            </w:pPr>
          </w:p>
          <w:p w14:paraId="567B3156" w14:textId="01D51769"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the delivery of the project</w:t>
            </w:r>
            <w:r w:rsidR="00F95E39">
              <w:rPr>
                <w:rFonts w:cs="Arial"/>
                <w:color w:val="000000"/>
                <w:sz w:val="22"/>
                <w:szCs w:val="22"/>
                <w:lang w:eastAsia="en-GB"/>
              </w:rPr>
              <w:t>.</w:t>
            </w:r>
            <w:r w:rsidRPr="0036077E">
              <w:rPr>
                <w:rFonts w:cs="Arial"/>
                <w:color w:val="000000"/>
                <w:sz w:val="22"/>
                <w:szCs w:val="22"/>
                <w:lang w:eastAsia="en-GB"/>
              </w:rPr>
              <w:t xml:space="preserve"> </w:t>
            </w:r>
          </w:p>
          <w:p w14:paraId="4F208596" w14:textId="77777777" w:rsidR="00F52BE8" w:rsidRPr="0036077E" w:rsidRDefault="00F52BE8" w:rsidP="006D798C">
            <w:pPr>
              <w:autoSpaceDE w:val="0"/>
              <w:autoSpaceDN w:val="0"/>
              <w:adjustRightInd w:val="0"/>
              <w:spacing w:after="0"/>
              <w:rPr>
                <w:rFonts w:cs="Arial"/>
                <w:color w:val="000000"/>
                <w:sz w:val="22"/>
                <w:szCs w:val="22"/>
                <w:lang w:eastAsia="en-GB"/>
              </w:rPr>
            </w:pPr>
          </w:p>
          <w:p w14:paraId="2DB1A110" w14:textId="2240B98B"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Project roles and responsibilities</w:t>
            </w:r>
            <w:r w:rsidR="00F95E39">
              <w:rPr>
                <w:rFonts w:cs="Arial"/>
                <w:color w:val="000000"/>
                <w:sz w:val="22"/>
                <w:szCs w:val="22"/>
                <w:lang w:eastAsia="en-GB"/>
              </w:rPr>
              <w:t>.</w:t>
            </w:r>
            <w:r w:rsidRPr="0036077E">
              <w:rPr>
                <w:rFonts w:cs="Arial"/>
                <w:color w:val="000000"/>
                <w:sz w:val="22"/>
                <w:szCs w:val="22"/>
                <w:lang w:eastAsia="en-GB"/>
              </w:rPr>
              <w:t xml:space="preserve"> </w:t>
            </w:r>
          </w:p>
          <w:p w14:paraId="127CA6ED" w14:textId="77777777" w:rsidR="00F52BE8" w:rsidRPr="00C251D3" w:rsidRDefault="00F52BE8" w:rsidP="006D798C">
            <w:pPr>
              <w:autoSpaceDE w:val="0"/>
              <w:autoSpaceDN w:val="0"/>
              <w:adjustRightInd w:val="0"/>
              <w:spacing w:after="0"/>
              <w:ind w:left="360"/>
              <w:rPr>
                <w:rFonts w:cs="Arial"/>
                <w:color w:val="000000"/>
                <w:sz w:val="22"/>
                <w:szCs w:val="22"/>
                <w:lang w:eastAsia="en-GB"/>
              </w:rPr>
            </w:pPr>
          </w:p>
          <w:p w14:paraId="531C89D8" w14:textId="5F88BD8B" w:rsidR="00F52BE8" w:rsidRPr="00C251D3" w:rsidRDefault="00F52BE8" w:rsidP="00A275C6">
            <w:pPr>
              <w:numPr>
                <w:ilvl w:val="0"/>
                <w:numId w:val="18"/>
              </w:numPr>
              <w:autoSpaceDE w:val="0"/>
              <w:autoSpaceDN w:val="0"/>
              <w:adjustRightInd w:val="0"/>
              <w:spacing w:after="0"/>
              <w:ind w:left="357" w:hanging="357"/>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r w:rsidR="00F95E39">
              <w:rPr>
                <w:sz w:val="22"/>
                <w:szCs w:val="22"/>
              </w:rPr>
              <w:t>.</w:t>
            </w:r>
          </w:p>
          <w:p w14:paraId="08E102B5" w14:textId="77777777" w:rsidR="00F52BE8" w:rsidRDefault="00F52BE8" w:rsidP="00A275C6">
            <w:pPr>
              <w:spacing w:after="0"/>
              <w:rPr>
                <w:rFonts w:cs="Arial"/>
                <w:sz w:val="22"/>
                <w:szCs w:val="22"/>
              </w:rPr>
            </w:pPr>
          </w:p>
          <w:p w14:paraId="3B31880F" w14:textId="006B2267"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(e</w:t>
            </w:r>
            <w:r w:rsidR="00F95E39">
              <w:rPr>
                <w:rFonts w:cs="Arial"/>
                <w:sz w:val="22"/>
                <w:szCs w:val="22"/>
              </w:rPr>
              <w:t>.</w:t>
            </w:r>
            <w:r w:rsidRPr="0036077E">
              <w:rPr>
                <w:rFonts w:cs="Arial"/>
                <w:sz w:val="22"/>
                <w:szCs w:val="22"/>
              </w:rPr>
              <w:t>g. case studies)</w:t>
            </w:r>
            <w:r w:rsidR="00645F00">
              <w:rPr>
                <w:rFonts w:cs="Arial"/>
                <w:sz w:val="22"/>
                <w:szCs w:val="22"/>
              </w:rPr>
              <w:t>.</w:t>
            </w:r>
          </w:p>
          <w:p w14:paraId="763D8B07" w14:textId="77777777" w:rsidR="00F52BE8" w:rsidRPr="0036077E" w:rsidRDefault="00F52BE8" w:rsidP="006D798C">
            <w:pPr>
              <w:rPr>
                <w:rFonts w:cs="Arial"/>
                <w:b/>
                <w:sz w:val="22"/>
                <w:szCs w:val="22"/>
              </w:rPr>
            </w:pPr>
            <w:r w:rsidRPr="0036077E">
              <w:rPr>
                <w:rFonts w:cs="Arial"/>
                <w:b/>
                <w:sz w:val="22"/>
                <w:szCs w:val="22"/>
              </w:rPr>
              <w:t>d) Pricing</w:t>
            </w:r>
          </w:p>
          <w:p w14:paraId="320B74BE" w14:textId="77777777" w:rsidR="00F52BE8" w:rsidRPr="004A4C80" w:rsidRDefault="00F52BE8" w:rsidP="006D798C">
            <w:pPr>
              <w:pStyle w:val="Default"/>
            </w:pPr>
            <w:r w:rsidRPr="0036077E">
              <w:rPr>
                <w:sz w:val="22"/>
                <w:szCs w:val="22"/>
              </w:rPr>
              <w:t>A fixed fee for the project inclusive of all expense. This should include</w:t>
            </w:r>
          </w:p>
          <w:p w14:paraId="7C8A77C2" w14:textId="77777777" w:rsidR="00F52BE8" w:rsidRPr="0036077E" w:rsidRDefault="00F52BE8" w:rsidP="006D798C">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6D798C">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6D798C">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lastRenderedPageBreak/>
              <w:t>e) Conflicts of Interest</w:t>
            </w:r>
          </w:p>
          <w:p w14:paraId="6D7EB817" w14:textId="77777777" w:rsidR="009878A7" w:rsidRDefault="009878A7" w:rsidP="006D798C">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6D798C">
        <w:trPr>
          <w:trHeight w:val="353"/>
        </w:trPr>
        <w:tc>
          <w:tcPr>
            <w:tcW w:w="8528" w:type="dxa"/>
            <w:tcBorders>
              <w:bottom w:val="single" w:sz="4" w:space="0" w:color="auto"/>
            </w:tcBorders>
            <w:shd w:val="clear" w:color="auto" w:fill="99CCFF"/>
          </w:tcPr>
          <w:p w14:paraId="04FAC44B" w14:textId="77777777" w:rsidR="00F52BE8" w:rsidRPr="0036077E" w:rsidRDefault="00F52BE8" w:rsidP="006D798C">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EE0BE4">
        <w:trPr>
          <w:trHeight w:val="7928"/>
        </w:trPr>
        <w:tc>
          <w:tcPr>
            <w:tcW w:w="8528" w:type="dxa"/>
            <w:tcBorders>
              <w:bottom w:val="single" w:sz="4" w:space="0" w:color="auto"/>
            </w:tcBorders>
            <w:shd w:val="clear" w:color="auto" w:fill="auto"/>
          </w:tcPr>
          <w:p w14:paraId="490F937F" w14:textId="77777777" w:rsidR="00F52BE8" w:rsidRPr="0036077E" w:rsidRDefault="00F52BE8" w:rsidP="00580D3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before="120"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6D798C">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6D798C">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6D798C">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6D798C">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4A4884E8" w14:textId="77777777" w:rsidR="00F728FD" w:rsidRDefault="00F728FD" w:rsidP="006D798C">
            <w:pPr>
              <w:pStyle w:val="ListNumber"/>
              <w:numPr>
                <w:ilvl w:val="0"/>
                <w:numId w:val="0"/>
              </w:numPr>
              <w:rPr>
                <w:rFonts w:cs="Arial"/>
                <w:b/>
                <w:szCs w:val="24"/>
              </w:rPr>
            </w:pPr>
          </w:p>
          <w:p w14:paraId="178948B0" w14:textId="46B87B04" w:rsidR="00F52BE8" w:rsidRPr="0036077E" w:rsidRDefault="00F52BE8" w:rsidP="006D798C">
            <w:pPr>
              <w:pStyle w:val="ListNumber"/>
              <w:numPr>
                <w:ilvl w:val="0"/>
                <w:numId w:val="0"/>
              </w:numPr>
              <w:rPr>
                <w:rFonts w:cs="Arial"/>
                <w:szCs w:val="24"/>
              </w:rPr>
            </w:pPr>
            <w:r w:rsidRPr="0036077E">
              <w:rPr>
                <w:rFonts w:cs="Arial"/>
                <w:b/>
                <w:szCs w:val="24"/>
              </w:rPr>
              <w:t>Methodology (</w:t>
            </w:r>
            <w:r w:rsidR="007C1A5B">
              <w:rPr>
                <w:rFonts w:cs="Arial"/>
                <w:b/>
                <w:szCs w:val="24"/>
              </w:rPr>
              <w:t>3</w:t>
            </w:r>
            <w:r w:rsidR="00251404" w:rsidRPr="00580D3D">
              <w:rPr>
                <w:rFonts w:cs="Arial"/>
                <w:b/>
                <w:szCs w:val="24"/>
              </w:rPr>
              <w:t>0</w:t>
            </w:r>
            <w:r w:rsidRPr="00580D3D">
              <w:rPr>
                <w:rFonts w:cs="Arial"/>
                <w:b/>
                <w:szCs w:val="24"/>
              </w:rPr>
              <w:t>%</w:t>
            </w:r>
            <w:r w:rsidRPr="008C3301">
              <w:rPr>
                <w:rFonts w:cs="Arial"/>
                <w:b/>
                <w:szCs w:val="24"/>
              </w:rPr>
              <w:t>)</w:t>
            </w:r>
          </w:p>
          <w:p w14:paraId="08B651BF" w14:textId="77777777" w:rsidR="00F52BE8" w:rsidRPr="0036077E" w:rsidRDefault="00F52BE8" w:rsidP="006D798C">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6D798C">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6D798C">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6D798C">
            <w:pPr>
              <w:pStyle w:val="ListNumber"/>
              <w:numPr>
                <w:ilvl w:val="0"/>
                <w:numId w:val="0"/>
              </w:numPr>
              <w:tabs>
                <w:tab w:val="clear" w:pos="720"/>
                <w:tab w:val="left" w:pos="426"/>
              </w:tabs>
              <w:rPr>
                <w:rFonts w:cs="Arial"/>
                <w:sz w:val="22"/>
                <w:szCs w:val="22"/>
              </w:rPr>
            </w:pPr>
          </w:p>
          <w:p w14:paraId="0EAB7769" w14:textId="0293DA7A" w:rsidR="00F52BE8" w:rsidRPr="0036077E" w:rsidRDefault="00F52BE8" w:rsidP="006D798C">
            <w:pPr>
              <w:pStyle w:val="ListNumber"/>
              <w:numPr>
                <w:ilvl w:val="0"/>
                <w:numId w:val="0"/>
              </w:numPr>
              <w:rPr>
                <w:rFonts w:cs="Arial"/>
                <w:b/>
                <w:bCs/>
                <w:szCs w:val="24"/>
                <w:lang w:eastAsia="en-GB"/>
              </w:rPr>
            </w:pPr>
            <w:r w:rsidRPr="0036077E">
              <w:rPr>
                <w:rFonts w:cs="Arial"/>
                <w:b/>
                <w:bCs/>
                <w:szCs w:val="24"/>
                <w:lang w:eastAsia="en-GB"/>
              </w:rPr>
              <w:t>Delivery (</w:t>
            </w:r>
            <w:r w:rsidR="00251404" w:rsidRPr="00580D3D">
              <w:rPr>
                <w:rFonts w:cs="Arial"/>
                <w:b/>
                <w:bCs/>
                <w:szCs w:val="24"/>
                <w:lang w:eastAsia="en-GB"/>
              </w:rPr>
              <w:t>30</w:t>
            </w:r>
            <w:r w:rsidRPr="00580D3D">
              <w:rPr>
                <w:rFonts w:cs="Arial"/>
                <w:b/>
                <w:bCs/>
                <w:szCs w:val="24"/>
                <w:lang w:eastAsia="en-GB"/>
              </w:rPr>
              <w:t>%</w:t>
            </w:r>
            <w:r w:rsidRPr="008C3301">
              <w:rPr>
                <w:rFonts w:cs="Arial"/>
                <w:b/>
                <w:bCs/>
                <w:szCs w:val="24"/>
                <w:lang w:eastAsia="en-GB"/>
              </w:rPr>
              <w:t>)</w:t>
            </w:r>
          </w:p>
          <w:p w14:paraId="6310AE97" w14:textId="77777777" w:rsidR="00F52BE8" w:rsidRPr="0036077E" w:rsidRDefault="00F52BE8" w:rsidP="006D798C">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6D798C">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6D798C">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6D798C">
            <w:pPr>
              <w:pStyle w:val="ListNumber"/>
              <w:numPr>
                <w:ilvl w:val="0"/>
                <w:numId w:val="0"/>
              </w:numPr>
              <w:rPr>
                <w:rFonts w:cs="Arial"/>
              </w:rPr>
            </w:pPr>
            <w:r w:rsidRPr="0036077E">
              <w:rPr>
                <w:rFonts w:cs="Arial"/>
              </w:rPr>
              <w:lastRenderedPageBreak/>
              <w:t>c) Explain the resources that will be allocated to delivering the required outcomes/output, and what other resources can be called upon if required.</w:t>
            </w:r>
          </w:p>
          <w:p w14:paraId="20422A11" w14:textId="77777777" w:rsidR="00F52BE8" w:rsidRPr="0036077E" w:rsidRDefault="00F52BE8" w:rsidP="006D798C">
            <w:pPr>
              <w:pStyle w:val="ListNumber"/>
              <w:numPr>
                <w:ilvl w:val="0"/>
                <w:numId w:val="0"/>
              </w:numPr>
              <w:rPr>
                <w:rFonts w:cs="Arial"/>
                <w:sz w:val="22"/>
                <w:szCs w:val="22"/>
              </w:rPr>
            </w:pPr>
          </w:p>
          <w:p w14:paraId="2554883F" w14:textId="7D31294C" w:rsidR="00F52BE8" w:rsidRPr="0036077E" w:rsidRDefault="00F52BE8" w:rsidP="006D798C">
            <w:pPr>
              <w:pStyle w:val="ListNumber"/>
              <w:numPr>
                <w:ilvl w:val="0"/>
                <w:numId w:val="0"/>
              </w:numPr>
              <w:tabs>
                <w:tab w:val="clear" w:pos="720"/>
                <w:tab w:val="left" w:pos="426"/>
              </w:tabs>
              <w:rPr>
                <w:rFonts w:cs="Arial"/>
                <w:b/>
                <w:szCs w:val="24"/>
              </w:rPr>
            </w:pPr>
            <w:r w:rsidRPr="0036077E">
              <w:rPr>
                <w:rFonts w:cs="Arial"/>
                <w:b/>
                <w:szCs w:val="24"/>
              </w:rPr>
              <w:t>Experience (</w:t>
            </w:r>
            <w:r w:rsidR="00251404" w:rsidRPr="00580D3D">
              <w:rPr>
                <w:rFonts w:cs="Arial"/>
                <w:b/>
                <w:szCs w:val="24"/>
              </w:rPr>
              <w:t>20</w:t>
            </w:r>
            <w:r w:rsidRPr="00580D3D">
              <w:rPr>
                <w:rFonts w:cs="Arial"/>
                <w:b/>
                <w:szCs w:val="24"/>
              </w:rPr>
              <w:t>%</w:t>
            </w:r>
            <w:r w:rsidRPr="0036077E">
              <w:rPr>
                <w:rFonts w:cs="Arial"/>
                <w:b/>
                <w:szCs w:val="24"/>
              </w:rPr>
              <w:t>)</w:t>
            </w:r>
          </w:p>
          <w:p w14:paraId="36FBA9F6" w14:textId="77777777" w:rsidR="00F52BE8" w:rsidRPr="0036077E" w:rsidRDefault="00F52BE8" w:rsidP="006D798C">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6D798C">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6D798C">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6D798C">
            <w:pPr>
              <w:pStyle w:val="ListNumber"/>
              <w:numPr>
                <w:ilvl w:val="0"/>
                <w:numId w:val="0"/>
              </w:numPr>
              <w:tabs>
                <w:tab w:val="clear" w:pos="720"/>
                <w:tab w:val="left" w:pos="426"/>
              </w:tabs>
              <w:rPr>
                <w:rFonts w:cs="Arial"/>
                <w:sz w:val="22"/>
                <w:szCs w:val="22"/>
              </w:rPr>
            </w:pPr>
          </w:p>
          <w:p w14:paraId="6577A060" w14:textId="2E54176E" w:rsidR="00F52BE8" w:rsidRPr="0036077E" w:rsidRDefault="00F52BE8" w:rsidP="006D798C">
            <w:pPr>
              <w:pStyle w:val="ListNumber"/>
              <w:numPr>
                <w:ilvl w:val="0"/>
                <w:numId w:val="0"/>
              </w:numPr>
              <w:rPr>
                <w:rFonts w:cs="Arial"/>
                <w:szCs w:val="24"/>
              </w:rPr>
            </w:pPr>
            <w:r w:rsidRPr="0036077E">
              <w:rPr>
                <w:rFonts w:cs="Arial"/>
                <w:b/>
                <w:szCs w:val="24"/>
              </w:rPr>
              <w:t>Cost / Value for money (</w:t>
            </w:r>
            <w:r w:rsidR="007C1A5B">
              <w:rPr>
                <w:rFonts w:cs="Arial"/>
                <w:b/>
                <w:szCs w:val="24"/>
              </w:rPr>
              <w:t>2</w:t>
            </w:r>
            <w:r w:rsidR="0037090C" w:rsidRPr="00580D3D">
              <w:rPr>
                <w:rFonts w:cs="Arial"/>
                <w:b/>
                <w:szCs w:val="24"/>
              </w:rPr>
              <w:t>0</w:t>
            </w:r>
            <w:r w:rsidRPr="00580D3D">
              <w:rPr>
                <w:rFonts w:cs="Arial"/>
                <w:b/>
                <w:szCs w:val="24"/>
              </w:rPr>
              <w:t>%</w:t>
            </w:r>
            <w:r w:rsidRPr="0036077E">
              <w:rPr>
                <w:rFonts w:cs="Arial"/>
                <w:b/>
                <w:szCs w:val="24"/>
              </w:rPr>
              <w:t>)</w:t>
            </w:r>
          </w:p>
          <w:p w14:paraId="39506F26" w14:textId="77777777" w:rsidR="00F52BE8" w:rsidRPr="0036077E" w:rsidRDefault="00F52BE8" w:rsidP="006D798C">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6D798C">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6D798C">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6D798C">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6D798C">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6D798C">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6D798C">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6D798C">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6D798C">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6D798C">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6D798C">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6D798C">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6D798C">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6D798C">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6D798C">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6D798C">
                  <w:pPr>
                    <w:autoSpaceDE w:val="0"/>
                    <w:autoSpaceDN w:val="0"/>
                    <w:adjustRightInd w:val="0"/>
                    <w:rPr>
                      <w:rFonts w:cs="Arial"/>
                      <w:color w:val="000000"/>
                      <w:sz w:val="20"/>
                    </w:rPr>
                  </w:pPr>
                </w:p>
              </w:tc>
            </w:tr>
            <w:tr w:rsidR="00F52BE8" w:rsidRPr="005178AE" w14:paraId="4D2D20A2" w14:textId="77777777" w:rsidTr="006D798C">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6D798C">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6D798C">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6D798C">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6D798C">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6D798C">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6D798C">
                  <w:pPr>
                    <w:autoSpaceDE w:val="0"/>
                    <w:autoSpaceDN w:val="0"/>
                    <w:adjustRightInd w:val="0"/>
                    <w:rPr>
                      <w:rFonts w:cs="Arial"/>
                      <w:color w:val="000000"/>
                      <w:sz w:val="20"/>
                    </w:rPr>
                  </w:pPr>
                </w:p>
              </w:tc>
            </w:tr>
            <w:tr w:rsidR="00F52BE8" w:rsidRPr="005178AE" w14:paraId="7845BC10" w14:textId="77777777" w:rsidTr="006D798C">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6D798C">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6D798C">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6D798C">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6D798C">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6D798C">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6D798C">
                  <w:pPr>
                    <w:autoSpaceDE w:val="0"/>
                    <w:autoSpaceDN w:val="0"/>
                    <w:adjustRightInd w:val="0"/>
                    <w:rPr>
                      <w:rFonts w:cs="Arial"/>
                      <w:color w:val="000000"/>
                      <w:sz w:val="20"/>
                    </w:rPr>
                  </w:pPr>
                </w:p>
              </w:tc>
            </w:tr>
          </w:tbl>
          <w:p w14:paraId="264CA9B3" w14:textId="77777777" w:rsidR="00F52BE8" w:rsidRPr="0036077E" w:rsidRDefault="00F52BE8" w:rsidP="006D798C">
            <w:pPr>
              <w:rPr>
                <w:sz w:val="22"/>
                <w:szCs w:val="22"/>
              </w:rPr>
            </w:pPr>
          </w:p>
          <w:p w14:paraId="6617037A" w14:textId="77777777" w:rsidR="00F52BE8" w:rsidRPr="0036077E" w:rsidRDefault="00F52BE8" w:rsidP="006D798C">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6D798C">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6D798C">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6D798C">
                  <w:pPr>
                    <w:jc w:val="center"/>
                    <w:rPr>
                      <w:b/>
                      <w:sz w:val="20"/>
                    </w:rPr>
                  </w:pPr>
                  <w:r w:rsidRPr="0036077E">
                    <w:rPr>
                      <w:b/>
                      <w:sz w:val="20"/>
                    </w:rPr>
                    <w:t>Requirement</w:t>
                  </w:r>
                </w:p>
              </w:tc>
            </w:tr>
            <w:tr w:rsidR="00F52BE8" w14:paraId="435E2046" w14:textId="77777777" w:rsidTr="006D798C">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6D798C">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6D798C">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6D798C">
              <w:trPr>
                <w:trHeight w:hRule="exact" w:val="907"/>
              </w:trPr>
              <w:tc>
                <w:tcPr>
                  <w:tcW w:w="851" w:type="dxa"/>
                  <w:shd w:val="clear" w:color="auto" w:fill="auto"/>
                </w:tcPr>
                <w:p w14:paraId="0D08EDAE" w14:textId="77777777" w:rsidR="00F52BE8" w:rsidRPr="0036077E" w:rsidRDefault="00F52BE8" w:rsidP="006D798C">
                  <w:pPr>
                    <w:rPr>
                      <w:sz w:val="20"/>
                    </w:rPr>
                  </w:pPr>
                  <w:r w:rsidRPr="0036077E">
                    <w:rPr>
                      <w:sz w:val="20"/>
                    </w:rPr>
                    <w:t>Consultant</w:t>
                  </w:r>
                </w:p>
              </w:tc>
              <w:tc>
                <w:tcPr>
                  <w:tcW w:w="0" w:type="auto"/>
                  <w:shd w:val="clear" w:color="auto" w:fill="auto"/>
                </w:tcPr>
                <w:p w14:paraId="2A92F44B" w14:textId="77777777" w:rsidR="00F52BE8" w:rsidRPr="0036077E" w:rsidRDefault="00F52BE8" w:rsidP="006D798C">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6D798C">
              <w:trPr>
                <w:trHeight w:hRule="exact" w:val="964"/>
              </w:trPr>
              <w:tc>
                <w:tcPr>
                  <w:tcW w:w="851" w:type="dxa"/>
                  <w:shd w:val="clear" w:color="auto" w:fill="auto"/>
                </w:tcPr>
                <w:p w14:paraId="7C3EDDFE" w14:textId="77777777" w:rsidR="00F52BE8" w:rsidRPr="0036077E" w:rsidRDefault="00F52BE8" w:rsidP="006D798C">
                  <w:pPr>
                    <w:rPr>
                      <w:sz w:val="20"/>
                    </w:rPr>
                  </w:pPr>
                  <w:r w:rsidRPr="0036077E">
                    <w:rPr>
                      <w:sz w:val="20"/>
                    </w:rPr>
                    <w:t>Senior Consultant</w:t>
                  </w:r>
                </w:p>
              </w:tc>
              <w:tc>
                <w:tcPr>
                  <w:tcW w:w="0" w:type="auto"/>
                  <w:shd w:val="clear" w:color="auto" w:fill="auto"/>
                </w:tcPr>
                <w:p w14:paraId="12D741CD" w14:textId="77777777" w:rsidR="00F52BE8" w:rsidRPr="0036077E" w:rsidRDefault="00F52BE8" w:rsidP="006D798C">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6D798C">
              <w:trPr>
                <w:trHeight w:hRule="exact" w:val="1134"/>
              </w:trPr>
              <w:tc>
                <w:tcPr>
                  <w:tcW w:w="851" w:type="dxa"/>
                  <w:shd w:val="clear" w:color="auto" w:fill="auto"/>
                </w:tcPr>
                <w:p w14:paraId="23170A16" w14:textId="77777777" w:rsidR="00F52BE8" w:rsidRPr="0036077E" w:rsidRDefault="00F52BE8" w:rsidP="006D798C">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6D798C">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6D798C">
              <w:trPr>
                <w:trHeight w:hRule="exact" w:val="1134"/>
              </w:trPr>
              <w:tc>
                <w:tcPr>
                  <w:tcW w:w="851" w:type="dxa"/>
                  <w:shd w:val="clear" w:color="auto" w:fill="auto"/>
                </w:tcPr>
                <w:p w14:paraId="67C1A3E2" w14:textId="77777777" w:rsidR="00F52BE8" w:rsidRPr="0036077E" w:rsidRDefault="00F52BE8" w:rsidP="006D798C">
                  <w:pPr>
                    <w:rPr>
                      <w:sz w:val="20"/>
                    </w:rPr>
                  </w:pPr>
                  <w:r w:rsidRPr="0036077E">
                    <w:rPr>
                      <w:sz w:val="20"/>
                    </w:rPr>
                    <w:t>Managing Consultant</w:t>
                  </w:r>
                </w:p>
              </w:tc>
              <w:tc>
                <w:tcPr>
                  <w:tcW w:w="0" w:type="auto"/>
                  <w:shd w:val="clear" w:color="auto" w:fill="auto"/>
                </w:tcPr>
                <w:p w14:paraId="0AB8F743" w14:textId="77777777" w:rsidR="00F52BE8" w:rsidRPr="0036077E" w:rsidRDefault="00F52BE8" w:rsidP="006D798C">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6D798C">
              <w:trPr>
                <w:trHeight w:hRule="exact" w:val="1221"/>
              </w:trPr>
              <w:tc>
                <w:tcPr>
                  <w:tcW w:w="851" w:type="dxa"/>
                  <w:shd w:val="clear" w:color="auto" w:fill="auto"/>
                </w:tcPr>
                <w:p w14:paraId="14C6FEF7" w14:textId="77777777" w:rsidR="00F52BE8" w:rsidRPr="0036077E" w:rsidRDefault="00F52BE8" w:rsidP="006D798C">
                  <w:pPr>
                    <w:rPr>
                      <w:sz w:val="20"/>
                    </w:rPr>
                  </w:pPr>
                  <w:r w:rsidRPr="0036077E">
                    <w:rPr>
                      <w:sz w:val="20"/>
                    </w:rPr>
                    <w:lastRenderedPageBreak/>
                    <w:t>Director / Partner</w:t>
                  </w:r>
                </w:p>
                <w:p w14:paraId="312FF4D1" w14:textId="77777777" w:rsidR="00F52BE8" w:rsidRPr="0036077E" w:rsidRDefault="00F52BE8" w:rsidP="006D798C">
                  <w:pPr>
                    <w:rPr>
                      <w:sz w:val="20"/>
                    </w:rPr>
                  </w:pPr>
                </w:p>
              </w:tc>
              <w:tc>
                <w:tcPr>
                  <w:tcW w:w="0" w:type="auto"/>
                  <w:shd w:val="clear" w:color="auto" w:fill="auto"/>
                </w:tcPr>
                <w:p w14:paraId="17CFBA6A" w14:textId="77777777" w:rsidR="00F52BE8" w:rsidRPr="0036077E" w:rsidRDefault="00F52BE8" w:rsidP="006D798C">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6D798C">
            <w:pPr>
              <w:rPr>
                <w:sz w:val="22"/>
                <w:szCs w:val="22"/>
              </w:rPr>
            </w:pPr>
          </w:p>
          <w:p w14:paraId="6A2420A3" w14:textId="6C8F3BE4" w:rsidR="00F52BE8" w:rsidRDefault="00F52BE8" w:rsidP="006D798C">
            <w:pPr>
              <w:rPr>
                <w:rFonts w:cs="Arial"/>
                <w:b/>
                <w:sz w:val="32"/>
                <w:szCs w:val="32"/>
                <w:u w:val="single"/>
              </w:rPr>
            </w:pPr>
            <w:r w:rsidRPr="0036077E">
              <w:rPr>
                <w:rFonts w:cs="Arial"/>
                <w:b/>
                <w:sz w:val="32"/>
                <w:szCs w:val="32"/>
                <w:u w:val="single"/>
              </w:rPr>
              <w:t>Marking Scheme</w:t>
            </w:r>
          </w:p>
          <w:p w14:paraId="55769B08" w14:textId="77777777" w:rsidR="00EE0BE4" w:rsidRDefault="00EE0BE4" w:rsidP="00EE0BE4">
            <w:pPr>
              <w:rPr>
                <w:rFonts w:cs="Arial"/>
                <w:bCs/>
                <w:sz w:val="22"/>
                <w:szCs w:val="22"/>
              </w:rPr>
            </w:pPr>
            <w:r>
              <w:rPr>
                <w:rFonts w:cs="Arial"/>
                <w:bCs/>
                <w:sz w:val="22"/>
                <w:szCs w:val="22"/>
              </w:rPr>
              <w:t>For Methodology, Delivery and Experience the following shall apply:</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6D798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6D798C">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6D798C">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6D798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6D798C">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6D798C">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6D798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6D798C">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6D798C">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6D798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6D798C">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6D798C">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71DDFF12" w14:textId="77777777" w:rsidR="00EE0BE4" w:rsidRDefault="00EE0BE4" w:rsidP="00EE0BE4">
            <w:pPr>
              <w:rPr>
                <w:rFonts w:cs="Arial"/>
                <w:shd w:val="clear" w:color="auto" w:fill="FFFFFF"/>
              </w:rPr>
            </w:pPr>
          </w:p>
          <w:p w14:paraId="42669FCD" w14:textId="665F521D" w:rsidR="00EE0BE4" w:rsidRDefault="00EE0BE4" w:rsidP="00EE0BE4">
            <w:pPr>
              <w:rPr>
                <w:rFonts w:cs="Arial"/>
                <w:shd w:val="clear" w:color="auto" w:fill="FFFFFF"/>
              </w:rPr>
            </w:pPr>
            <w:r>
              <w:rPr>
                <w:rFonts w:cs="Arial"/>
                <w:shd w:val="clear" w:color="auto" w:fill="FFFFFF"/>
              </w:rPr>
              <w:t>For the Cost/Value for Money evaluation the following shall apply:</w:t>
            </w:r>
          </w:p>
          <w:p w14:paraId="760D5083" w14:textId="77777777" w:rsidR="00EE0BE4" w:rsidRDefault="00EE0BE4" w:rsidP="00EE0BE4">
            <w:pPr>
              <w:rPr>
                <w:rFonts w:cs="Arial"/>
                <w:shd w:val="clear" w:color="auto" w:fill="FFFFFF"/>
              </w:rPr>
            </w:pPr>
            <w:r>
              <w:rPr>
                <w:rFonts w:cs="Arial"/>
                <w:shd w:val="clear" w:color="auto" w:fill="FFFFFF"/>
              </w:rPr>
              <w:t>The lowest fixed fee will be awarded the maximum price score of 100. All other bidders will get a price score relative to the lowest fee tendered. The calculation we will use to calculate your score is as follows:</w:t>
            </w:r>
          </w:p>
          <w:p w14:paraId="77D6B802" w14:textId="77777777" w:rsidR="00EE0BE4" w:rsidRDefault="00EE0BE4" w:rsidP="00EE0BE4">
            <w:pPr>
              <w:spacing w:after="0"/>
              <w:rPr>
                <w:rFonts w:cs="Arial"/>
                <w:sz w:val="22"/>
                <w:szCs w:val="22"/>
                <w:shd w:val="clear" w:color="auto" w:fill="FFFFFF"/>
              </w:rPr>
            </w:pPr>
            <w:r>
              <w:rPr>
                <w:rFonts w:cs="Arial"/>
                <w:sz w:val="22"/>
                <w:szCs w:val="22"/>
                <w:shd w:val="clear" w:color="auto" w:fill="FFFFFF"/>
              </w:rPr>
              <w:t xml:space="preserve">Price Score  =                    </w:t>
            </w:r>
            <w:r>
              <w:rPr>
                <w:rFonts w:cs="Arial"/>
                <w:sz w:val="22"/>
                <w:szCs w:val="22"/>
                <w:u w:val="single"/>
                <w:shd w:val="clear" w:color="auto" w:fill="FFFFFF"/>
              </w:rPr>
              <w:t>Lowest Total Fee</w:t>
            </w:r>
            <w:r>
              <w:rPr>
                <w:rFonts w:cs="Arial"/>
                <w:sz w:val="22"/>
                <w:szCs w:val="22"/>
                <w:shd w:val="clear" w:color="auto" w:fill="FFFFFF"/>
              </w:rPr>
              <w:t xml:space="preserve">       x 100</w:t>
            </w:r>
          </w:p>
          <w:p w14:paraId="035E1FD6" w14:textId="77777777" w:rsidR="00EE0BE4" w:rsidRDefault="00EE0BE4" w:rsidP="00EE0BE4">
            <w:pPr>
              <w:rPr>
                <w:rFonts w:cs="Arial"/>
                <w:sz w:val="22"/>
                <w:szCs w:val="22"/>
                <w:shd w:val="clear" w:color="auto" w:fill="FFFFFF"/>
              </w:rPr>
            </w:pPr>
            <w:r>
              <w:rPr>
                <w:rFonts w:cs="Arial"/>
                <w:sz w:val="22"/>
                <w:szCs w:val="22"/>
                <w:shd w:val="clear" w:color="auto" w:fill="FFFFFF"/>
              </w:rPr>
              <w:t xml:space="preserve">                                           Bidder’s Total Fee</w:t>
            </w:r>
          </w:p>
          <w:p w14:paraId="4CF81900" w14:textId="77777777" w:rsidR="00EE0BE4" w:rsidRDefault="00EE0BE4" w:rsidP="00EE0BE4">
            <w:pPr>
              <w:rPr>
                <w:rFonts w:cs="Arial"/>
                <w:shd w:val="clear" w:color="auto" w:fill="FFFFFF"/>
              </w:rPr>
            </w:pPr>
            <w:r>
              <w:rPr>
                <w:rFonts w:cs="Arial"/>
                <w:shd w:val="clear" w:color="auto" w:fill="FFFFFF"/>
              </w:rPr>
              <w:t>Your score will then be multiplied by the weighting we have applied to this aspect of the price evaluation to provide a weighted score for the fee.</w:t>
            </w:r>
          </w:p>
          <w:p w14:paraId="450B420D" w14:textId="77777777" w:rsidR="00F52BE8" w:rsidRPr="0036077E" w:rsidRDefault="00F52BE8" w:rsidP="006D798C">
            <w:pPr>
              <w:rPr>
                <w:rFonts w:cs="Arial"/>
                <w:sz w:val="22"/>
                <w:szCs w:val="22"/>
              </w:rPr>
            </w:pPr>
          </w:p>
        </w:tc>
      </w:tr>
    </w:tbl>
    <w:p w14:paraId="63B7A6DD" w14:textId="77777777" w:rsidR="00F52BE8" w:rsidRDefault="00F52BE8" w:rsidP="00F52BE8">
      <w:pPr>
        <w:rPr>
          <w:rFonts w:cs="Arial"/>
          <w:b/>
          <w:sz w:val="32"/>
          <w:szCs w:val="32"/>
          <w:u w:val="single"/>
        </w:rPr>
        <w:sectPr w:rsidR="00F52BE8" w:rsidSect="006D798C">
          <w:headerReference w:type="even" r:id="rId20"/>
          <w:headerReference w:type="default" r:id="rId21"/>
          <w:footerReference w:type="even" r:id="rId22"/>
          <w:footerReference w:type="default" r:id="rId23"/>
          <w:headerReference w:type="first" r:id="rId24"/>
          <w:footerReference w:type="first" r:id="rId25"/>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6D798C">
        <w:tc>
          <w:tcPr>
            <w:tcW w:w="4928" w:type="dxa"/>
            <w:shd w:val="clear" w:color="auto" w:fill="auto"/>
          </w:tcPr>
          <w:p w14:paraId="0A1B4873" w14:textId="77777777" w:rsidR="00F52BE8" w:rsidRPr="0036077E" w:rsidRDefault="00F52BE8" w:rsidP="00B51B80">
            <w:pPr>
              <w:pStyle w:val="ListNumber"/>
              <w:numPr>
                <w:ilvl w:val="0"/>
                <w:numId w:val="0"/>
              </w:numPr>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B51B80">
            <w:pPr>
              <w:pStyle w:val="ListNumber"/>
              <w:numPr>
                <w:ilvl w:val="0"/>
                <w:numId w:val="0"/>
              </w:numPr>
              <w:rPr>
                <w:rFonts w:cs="Arial"/>
                <w:b/>
              </w:rPr>
            </w:pPr>
            <w:r w:rsidRPr="0036077E">
              <w:rPr>
                <w:rFonts w:cs="Arial"/>
                <w:b/>
              </w:rPr>
              <w:t>Timescale</w:t>
            </w:r>
          </w:p>
        </w:tc>
      </w:tr>
      <w:tr w:rsidR="00F52BE8" w:rsidRPr="0036077E" w14:paraId="01810814" w14:textId="77777777" w:rsidTr="006D798C">
        <w:tc>
          <w:tcPr>
            <w:tcW w:w="4928" w:type="dxa"/>
            <w:shd w:val="clear" w:color="auto" w:fill="auto"/>
          </w:tcPr>
          <w:p w14:paraId="0C7FA901" w14:textId="77777777" w:rsidR="00F52BE8" w:rsidRPr="0036077E" w:rsidRDefault="00F52BE8" w:rsidP="00B51B80">
            <w:pPr>
              <w:pStyle w:val="ListNumber"/>
              <w:numPr>
                <w:ilvl w:val="0"/>
                <w:numId w:val="0"/>
              </w:numPr>
              <w:rPr>
                <w:rFonts w:cs="Arial"/>
              </w:rPr>
            </w:pPr>
            <w:r w:rsidRPr="0036077E">
              <w:rPr>
                <w:rFonts w:cs="Arial"/>
              </w:rPr>
              <w:t>Invitation to tender issued</w:t>
            </w:r>
          </w:p>
        </w:tc>
        <w:tc>
          <w:tcPr>
            <w:tcW w:w="3600" w:type="dxa"/>
            <w:shd w:val="clear" w:color="auto" w:fill="auto"/>
          </w:tcPr>
          <w:p w14:paraId="188355D8" w14:textId="2FC32CDE" w:rsidR="00F52BE8" w:rsidRPr="00B51B80" w:rsidRDefault="00800FFE" w:rsidP="00B51B80">
            <w:pPr>
              <w:pStyle w:val="ListNumber"/>
              <w:numPr>
                <w:ilvl w:val="0"/>
                <w:numId w:val="0"/>
              </w:numPr>
              <w:rPr>
                <w:rFonts w:cs="Arial"/>
                <w:color w:val="000000" w:themeColor="text1"/>
              </w:rPr>
            </w:pPr>
            <w:r w:rsidRPr="00B51B80">
              <w:rPr>
                <w:rFonts w:cs="Arial"/>
                <w:color w:val="000000" w:themeColor="text1"/>
              </w:rPr>
              <w:t>1</w:t>
            </w:r>
            <w:r w:rsidR="00DE4CA9">
              <w:rPr>
                <w:rFonts w:cs="Arial"/>
                <w:color w:val="000000" w:themeColor="text1"/>
              </w:rPr>
              <w:t>9</w:t>
            </w:r>
            <w:r w:rsidRPr="00B51B80">
              <w:rPr>
                <w:rFonts w:cs="Arial"/>
                <w:color w:val="000000" w:themeColor="text1"/>
              </w:rPr>
              <w:t xml:space="preserve"> Oct</w:t>
            </w:r>
            <w:r w:rsidR="008C3301" w:rsidRPr="00B51B80">
              <w:rPr>
                <w:rFonts w:cs="Arial"/>
                <w:color w:val="000000" w:themeColor="text1"/>
              </w:rPr>
              <w:t>ober</w:t>
            </w:r>
            <w:r w:rsidRPr="00B51B80">
              <w:rPr>
                <w:rFonts w:cs="Arial"/>
                <w:color w:val="000000" w:themeColor="text1"/>
              </w:rPr>
              <w:t xml:space="preserve"> </w:t>
            </w:r>
            <w:r w:rsidR="000546AF" w:rsidRPr="00B51B80">
              <w:rPr>
                <w:rFonts w:cs="Arial"/>
                <w:color w:val="000000" w:themeColor="text1"/>
              </w:rPr>
              <w:t>20</w:t>
            </w:r>
            <w:r w:rsidRPr="00B51B80">
              <w:rPr>
                <w:rFonts w:cs="Arial"/>
                <w:color w:val="000000" w:themeColor="text1"/>
              </w:rPr>
              <w:t>21</w:t>
            </w:r>
          </w:p>
        </w:tc>
      </w:tr>
      <w:tr w:rsidR="00F52BE8" w:rsidRPr="0036077E" w14:paraId="53056EF8" w14:textId="77777777" w:rsidTr="006D798C">
        <w:tc>
          <w:tcPr>
            <w:tcW w:w="4928" w:type="dxa"/>
            <w:shd w:val="clear" w:color="auto" w:fill="auto"/>
          </w:tcPr>
          <w:p w14:paraId="4E1F9B1E" w14:textId="77777777" w:rsidR="00F52BE8" w:rsidRPr="0036077E" w:rsidRDefault="00F52BE8" w:rsidP="00B51B80">
            <w:pPr>
              <w:pStyle w:val="ListNumber"/>
              <w:numPr>
                <w:ilvl w:val="0"/>
                <w:numId w:val="0"/>
              </w:numPr>
              <w:rPr>
                <w:rFonts w:cs="Arial"/>
              </w:rPr>
            </w:pPr>
            <w:r w:rsidRPr="0036077E">
              <w:rPr>
                <w:rFonts w:cs="Arial"/>
              </w:rPr>
              <w:t>Deadline for the submission of clarification questions</w:t>
            </w:r>
          </w:p>
        </w:tc>
        <w:tc>
          <w:tcPr>
            <w:tcW w:w="3600" w:type="dxa"/>
            <w:shd w:val="clear" w:color="auto" w:fill="auto"/>
          </w:tcPr>
          <w:p w14:paraId="2D8E9C0D" w14:textId="6D9CFF23" w:rsidR="00F52BE8" w:rsidRPr="00B51B80" w:rsidRDefault="00B046C5" w:rsidP="00DE4CA9">
            <w:pPr>
              <w:pStyle w:val="ListNumber"/>
              <w:numPr>
                <w:ilvl w:val="0"/>
                <w:numId w:val="0"/>
              </w:numPr>
              <w:rPr>
                <w:rFonts w:cs="Arial"/>
                <w:color w:val="000000" w:themeColor="text1"/>
              </w:rPr>
            </w:pPr>
            <w:r w:rsidRPr="00B51B80">
              <w:rPr>
                <w:rFonts w:cs="Arial"/>
                <w:color w:val="000000" w:themeColor="text1"/>
              </w:rPr>
              <w:t>2</w:t>
            </w:r>
            <w:r w:rsidR="00DE4CA9">
              <w:rPr>
                <w:rFonts w:cs="Arial"/>
                <w:color w:val="000000" w:themeColor="text1"/>
              </w:rPr>
              <w:t>6</w:t>
            </w:r>
            <w:r w:rsidRPr="00B51B80">
              <w:rPr>
                <w:rFonts w:cs="Arial"/>
                <w:color w:val="000000" w:themeColor="text1"/>
              </w:rPr>
              <w:t xml:space="preserve"> October 2021</w:t>
            </w:r>
          </w:p>
        </w:tc>
      </w:tr>
      <w:tr w:rsidR="00F52BE8" w:rsidRPr="0036077E" w14:paraId="3400FC76" w14:textId="77777777" w:rsidTr="006D798C">
        <w:tc>
          <w:tcPr>
            <w:tcW w:w="4928" w:type="dxa"/>
            <w:shd w:val="clear" w:color="auto" w:fill="auto"/>
          </w:tcPr>
          <w:p w14:paraId="127F0E8B" w14:textId="77777777" w:rsidR="00F52BE8" w:rsidRPr="0036077E" w:rsidRDefault="00F52BE8" w:rsidP="00B51B80">
            <w:pPr>
              <w:pStyle w:val="ListNumber"/>
              <w:numPr>
                <w:ilvl w:val="0"/>
                <w:numId w:val="0"/>
              </w:numPr>
              <w:rPr>
                <w:rFonts w:cs="Arial"/>
              </w:rPr>
            </w:pPr>
            <w:r w:rsidRPr="0036077E">
              <w:rPr>
                <w:rFonts w:cs="Arial"/>
              </w:rPr>
              <w:t>Deadline for submission of proposals</w:t>
            </w:r>
          </w:p>
        </w:tc>
        <w:tc>
          <w:tcPr>
            <w:tcW w:w="3600" w:type="dxa"/>
            <w:shd w:val="clear" w:color="auto" w:fill="auto"/>
          </w:tcPr>
          <w:p w14:paraId="2F5D93EF" w14:textId="08749943" w:rsidR="00F52BE8" w:rsidRPr="00B51B80" w:rsidRDefault="00DE4CA9" w:rsidP="00DE4CA9">
            <w:pPr>
              <w:pStyle w:val="ListNumber"/>
              <w:numPr>
                <w:ilvl w:val="0"/>
                <w:numId w:val="0"/>
              </w:numPr>
              <w:rPr>
                <w:rFonts w:cs="Arial"/>
                <w:color w:val="000000" w:themeColor="text1"/>
              </w:rPr>
            </w:pPr>
            <w:r>
              <w:rPr>
                <w:rFonts w:cs="Arial"/>
                <w:color w:val="000000" w:themeColor="text1"/>
              </w:rPr>
              <w:t>08</w:t>
            </w:r>
            <w:r w:rsidR="00800FFE" w:rsidRPr="00B51B80">
              <w:rPr>
                <w:rFonts w:cs="Arial"/>
                <w:color w:val="000000" w:themeColor="text1"/>
              </w:rPr>
              <w:t xml:space="preserve"> </w:t>
            </w:r>
            <w:r w:rsidR="00CC3AAE">
              <w:rPr>
                <w:rFonts w:cs="Arial"/>
                <w:color w:val="000000" w:themeColor="text1"/>
              </w:rPr>
              <w:t>November</w:t>
            </w:r>
            <w:r w:rsidR="00800FFE" w:rsidRPr="00B51B80">
              <w:rPr>
                <w:rFonts w:cs="Arial"/>
                <w:color w:val="000000" w:themeColor="text1"/>
              </w:rPr>
              <w:t xml:space="preserve"> </w:t>
            </w:r>
            <w:r w:rsidR="000546AF" w:rsidRPr="00B51B80">
              <w:rPr>
                <w:rFonts w:cs="Arial"/>
                <w:color w:val="000000" w:themeColor="text1"/>
              </w:rPr>
              <w:t>20</w:t>
            </w:r>
            <w:r w:rsidR="00800FFE" w:rsidRPr="00B51B80">
              <w:rPr>
                <w:rFonts w:cs="Arial"/>
                <w:color w:val="000000" w:themeColor="text1"/>
              </w:rPr>
              <w:t>21</w:t>
            </w:r>
            <w:r w:rsidR="00CC3AAE">
              <w:rPr>
                <w:rFonts w:cs="Arial"/>
                <w:color w:val="000000" w:themeColor="text1"/>
              </w:rPr>
              <w:t xml:space="preserve"> (10:00hrs)</w:t>
            </w:r>
          </w:p>
        </w:tc>
      </w:tr>
      <w:tr w:rsidR="00F52BE8" w:rsidRPr="0036077E" w14:paraId="11C0BA8A" w14:textId="77777777" w:rsidTr="006D798C">
        <w:tc>
          <w:tcPr>
            <w:tcW w:w="4928" w:type="dxa"/>
            <w:shd w:val="clear" w:color="auto" w:fill="auto"/>
          </w:tcPr>
          <w:p w14:paraId="24E1FD08" w14:textId="77777777" w:rsidR="00F52BE8" w:rsidRPr="0036077E" w:rsidRDefault="00F52BE8" w:rsidP="00B51B80">
            <w:pPr>
              <w:pStyle w:val="ListNumber"/>
              <w:numPr>
                <w:ilvl w:val="0"/>
                <w:numId w:val="0"/>
              </w:numPr>
              <w:rPr>
                <w:rFonts w:cs="Arial"/>
              </w:rPr>
            </w:pPr>
            <w:r w:rsidRPr="0036077E">
              <w:rPr>
                <w:rFonts w:cs="Arial"/>
              </w:rPr>
              <w:t>Shortlisted suppliers notified</w:t>
            </w:r>
          </w:p>
        </w:tc>
        <w:tc>
          <w:tcPr>
            <w:tcW w:w="3600" w:type="dxa"/>
            <w:shd w:val="clear" w:color="auto" w:fill="auto"/>
          </w:tcPr>
          <w:p w14:paraId="0CB4DE4C" w14:textId="342BEDE7" w:rsidR="00F52BE8" w:rsidRPr="00B51B80" w:rsidRDefault="00DE4CA9" w:rsidP="00DE4CA9">
            <w:pPr>
              <w:pStyle w:val="ListNumber"/>
              <w:numPr>
                <w:ilvl w:val="0"/>
                <w:numId w:val="0"/>
              </w:numPr>
              <w:rPr>
                <w:rFonts w:cs="Arial"/>
                <w:color w:val="000000" w:themeColor="text1"/>
              </w:rPr>
            </w:pPr>
            <w:r>
              <w:rPr>
                <w:rFonts w:cs="Arial"/>
                <w:color w:val="000000" w:themeColor="text1"/>
              </w:rPr>
              <w:t>11</w:t>
            </w:r>
            <w:r w:rsidR="00836CB2" w:rsidRPr="00B51B80">
              <w:rPr>
                <w:rFonts w:cs="Arial"/>
                <w:color w:val="000000" w:themeColor="text1"/>
              </w:rPr>
              <w:t xml:space="preserve"> Nov</w:t>
            </w:r>
            <w:r w:rsidR="008C3301" w:rsidRPr="00B51B80">
              <w:rPr>
                <w:rFonts w:cs="Arial"/>
                <w:color w:val="000000" w:themeColor="text1"/>
              </w:rPr>
              <w:t>ember</w:t>
            </w:r>
            <w:r w:rsidR="00836CB2" w:rsidRPr="00B51B80">
              <w:rPr>
                <w:rFonts w:cs="Arial"/>
                <w:color w:val="000000" w:themeColor="text1"/>
              </w:rPr>
              <w:t xml:space="preserve"> </w:t>
            </w:r>
            <w:r w:rsidR="000546AF" w:rsidRPr="00B51B80">
              <w:rPr>
                <w:rFonts w:cs="Arial"/>
                <w:color w:val="000000" w:themeColor="text1"/>
              </w:rPr>
              <w:t>20</w:t>
            </w:r>
            <w:r w:rsidR="00836CB2" w:rsidRPr="00B51B80">
              <w:rPr>
                <w:rFonts w:cs="Arial"/>
                <w:color w:val="000000" w:themeColor="text1"/>
              </w:rPr>
              <w:t>21</w:t>
            </w:r>
          </w:p>
        </w:tc>
      </w:tr>
      <w:tr w:rsidR="00F52BE8" w:rsidRPr="0036077E" w14:paraId="33A97623" w14:textId="77777777" w:rsidTr="006D798C">
        <w:tc>
          <w:tcPr>
            <w:tcW w:w="4928" w:type="dxa"/>
            <w:shd w:val="clear" w:color="auto" w:fill="auto"/>
          </w:tcPr>
          <w:p w14:paraId="29C10B10" w14:textId="77777777" w:rsidR="00F52BE8" w:rsidRPr="0036077E" w:rsidRDefault="00F52BE8" w:rsidP="00580D3D">
            <w:pPr>
              <w:pStyle w:val="ListNumber"/>
              <w:numPr>
                <w:ilvl w:val="0"/>
                <w:numId w:val="0"/>
              </w:numPr>
              <w:rPr>
                <w:rFonts w:cs="Arial"/>
              </w:rPr>
            </w:pPr>
            <w:r w:rsidRPr="0036077E">
              <w:rPr>
                <w:rFonts w:cs="Arial"/>
              </w:rPr>
              <w:t>Interviews and presentations*</w:t>
            </w:r>
          </w:p>
        </w:tc>
        <w:tc>
          <w:tcPr>
            <w:tcW w:w="3600" w:type="dxa"/>
            <w:shd w:val="clear" w:color="auto" w:fill="auto"/>
          </w:tcPr>
          <w:p w14:paraId="6DD230DD" w14:textId="598CA2A2" w:rsidR="00F52BE8" w:rsidRPr="00580D3D" w:rsidRDefault="00DE4CA9" w:rsidP="00DE4CA9">
            <w:pPr>
              <w:pStyle w:val="ListNumber"/>
              <w:numPr>
                <w:ilvl w:val="0"/>
                <w:numId w:val="0"/>
              </w:numPr>
              <w:rPr>
                <w:rFonts w:cs="Arial"/>
                <w:color w:val="000000" w:themeColor="text1"/>
              </w:rPr>
            </w:pPr>
            <w:r>
              <w:rPr>
                <w:rFonts w:cs="Arial"/>
                <w:color w:val="000000" w:themeColor="text1"/>
              </w:rPr>
              <w:t>w/c</w:t>
            </w:r>
            <w:r w:rsidR="00836CB2" w:rsidRPr="00580D3D">
              <w:rPr>
                <w:rFonts w:cs="Arial"/>
                <w:color w:val="000000" w:themeColor="text1"/>
              </w:rPr>
              <w:t xml:space="preserve"> </w:t>
            </w:r>
            <w:r>
              <w:rPr>
                <w:rFonts w:cs="Arial"/>
                <w:color w:val="000000" w:themeColor="text1"/>
              </w:rPr>
              <w:t>15</w:t>
            </w:r>
            <w:r w:rsidR="00836CB2" w:rsidRPr="00580D3D">
              <w:rPr>
                <w:rFonts w:cs="Arial"/>
                <w:color w:val="000000" w:themeColor="text1"/>
              </w:rPr>
              <w:t xml:space="preserve"> Nov</w:t>
            </w:r>
            <w:r w:rsidR="00366B8E" w:rsidRPr="00580D3D">
              <w:rPr>
                <w:rFonts w:cs="Arial"/>
                <w:color w:val="000000" w:themeColor="text1"/>
              </w:rPr>
              <w:t>ember</w:t>
            </w:r>
            <w:r w:rsidR="000546AF" w:rsidRPr="00580D3D">
              <w:rPr>
                <w:rFonts w:cs="Arial"/>
                <w:color w:val="000000" w:themeColor="text1"/>
              </w:rPr>
              <w:t xml:space="preserve"> 2021</w:t>
            </w:r>
          </w:p>
        </w:tc>
      </w:tr>
      <w:tr w:rsidR="00F52BE8" w:rsidRPr="0036077E" w14:paraId="4980ADEC" w14:textId="77777777" w:rsidTr="006D798C">
        <w:tc>
          <w:tcPr>
            <w:tcW w:w="4928" w:type="dxa"/>
            <w:shd w:val="clear" w:color="auto" w:fill="auto"/>
          </w:tcPr>
          <w:p w14:paraId="0725ED44" w14:textId="77777777" w:rsidR="00F52BE8" w:rsidRPr="0036077E" w:rsidRDefault="00F52BE8" w:rsidP="00580D3D">
            <w:pPr>
              <w:pStyle w:val="ListNumber"/>
              <w:numPr>
                <w:ilvl w:val="0"/>
                <w:numId w:val="0"/>
              </w:numPr>
              <w:rPr>
                <w:rFonts w:cs="Arial"/>
              </w:rPr>
            </w:pPr>
            <w:r w:rsidRPr="0036077E">
              <w:rPr>
                <w:rFonts w:cs="Arial"/>
              </w:rPr>
              <w:t>Award contract</w:t>
            </w:r>
          </w:p>
        </w:tc>
        <w:tc>
          <w:tcPr>
            <w:tcW w:w="3600" w:type="dxa"/>
            <w:shd w:val="clear" w:color="auto" w:fill="auto"/>
          </w:tcPr>
          <w:p w14:paraId="550C074B" w14:textId="034800FD" w:rsidR="00F52BE8" w:rsidRPr="00580D3D" w:rsidRDefault="00836CB2" w:rsidP="00DE4CA9">
            <w:pPr>
              <w:pStyle w:val="ListNumber"/>
              <w:numPr>
                <w:ilvl w:val="0"/>
                <w:numId w:val="0"/>
              </w:numPr>
              <w:rPr>
                <w:rFonts w:cs="Arial"/>
                <w:color w:val="000000" w:themeColor="text1"/>
              </w:rPr>
            </w:pPr>
            <w:r w:rsidRPr="00580D3D">
              <w:rPr>
                <w:rFonts w:cs="Arial"/>
                <w:color w:val="000000" w:themeColor="text1"/>
              </w:rPr>
              <w:t>1</w:t>
            </w:r>
            <w:r w:rsidR="00DE4CA9">
              <w:rPr>
                <w:rFonts w:cs="Arial"/>
                <w:color w:val="000000" w:themeColor="text1"/>
              </w:rPr>
              <w:t>9</w:t>
            </w:r>
            <w:r w:rsidRPr="00580D3D">
              <w:rPr>
                <w:rFonts w:cs="Arial"/>
                <w:color w:val="000000" w:themeColor="text1"/>
              </w:rPr>
              <w:t xml:space="preserve"> Nov</w:t>
            </w:r>
            <w:r w:rsidR="00366B8E" w:rsidRPr="00580D3D">
              <w:rPr>
                <w:rFonts w:cs="Arial"/>
                <w:color w:val="000000" w:themeColor="text1"/>
              </w:rPr>
              <w:t>ember</w:t>
            </w:r>
            <w:r w:rsidR="000546AF" w:rsidRPr="00580D3D">
              <w:rPr>
                <w:rFonts w:cs="Arial"/>
                <w:color w:val="000000" w:themeColor="text1"/>
              </w:rPr>
              <w:t xml:space="preserve"> 2021</w:t>
            </w:r>
          </w:p>
        </w:tc>
      </w:tr>
      <w:tr w:rsidR="00F52BE8" w:rsidRPr="0036077E" w14:paraId="6D8D1611" w14:textId="77777777" w:rsidTr="006D798C">
        <w:tc>
          <w:tcPr>
            <w:tcW w:w="4928" w:type="dxa"/>
            <w:shd w:val="clear" w:color="auto" w:fill="auto"/>
          </w:tcPr>
          <w:p w14:paraId="689D233A" w14:textId="77777777" w:rsidR="00F52BE8" w:rsidRPr="0036077E" w:rsidRDefault="00F52BE8" w:rsidP="00580D3D">
            <w:pPr>
              <w:pStyle w:val="ListNumber"/>
              <w:numPr>
                <w:ilvl w:val="0"/>
                <w:numId w:val="0"/>
              </w:numPr>
              <w:rPr>
                <w:rFonts w:cs="Arial"/>
              </w:rPr>
            </w:pPr>
            <w:r w:rsidRPr="0036077E">
              <w:rPr>
                <w:rFonts w:cs="Arial"/>
              </w:rPr>
              <w:t>Project Inception Meeting</w:t>
            </w:r>
          </w:p>
        </w:tc>
        <w:tc>
          <w:tcPr>
            <w:tcW w:w="3600" w:type="dxa"/>
            <w:shd w:val="clear" w:color="auto" w:fill="auto"/>
          </w:tcPr>
          <w:p w14:paraId="6F5D68DF" w14:textId="7C5A9F1B" w:rsidR="00F52BE8" w:rsidRPr="00580D3D" w:rsidRDefault="00836CB2" w:rsidP="00DE4CA9">
            <w:pPr>
              <w:pStyle w:val="ListNumber"/>
              <w:numPr>
                <w:ilvl w:val="0"/>
                <w:numId w:val="0"/>
              </w:numPr>
              <w:rPr>
                <w:rFonts w:cs="Arial"/>
                <w:color w:val="000000" w:themeColor="text1"/>
              </w:rPr>
            </w:pPr>
            <w:r w:rsidRPr="00580D3D">
              <w:rPr>
                <w:rFonts w:cs="Arial"/>
                <w:color w:val="000000" w:themeColor="text1"/>
              </w:rPr>
              <w:t xml:space="preserve">w/c </w:t>
            </w:r>
            <w:r w:rsidR="00DE4CA9">
              <w:rPr>
                <w:rFonts w:cs="Arial"/>
                <w:color w:val="000000" w:themeColor="text1"/>
              </w:rPr>
              <w:t>22</w:t>
            </w:r>
            <w:r w:rsidR="00800FFE" w:rsidRPr="00580D3D">
              <w:rPr>
                <w:rFonts w:cs="Arial"/>
                <w:color w:val="000000" w:themeColor="text1"/>
              </w:rPr>
              <w:t xml:space="preserve"> Nov</w:t>
            </w:r>
            <w:r w:rsidR="00366B8E" w:rsidRPr="00580D3D">
              <w:rPr>
                <w:rFonts w:cs="Arial"/>
                <w:color w:val="000000" w:themeColor="text1"/>
              </w:rPr>
              <w:t>ember</w:t>
            </w:r>
            <w:r w:rsidR="00800FFE" w:rsidRPr="00580D3D">
              <w:rPr>
                <w:rFonts w:cs="Arial"/>
                <w:color w:val="000000" w:themeColor="text1"/>
              </w:rPr>
              <w:t xml:space="preserve"> </w:t>
            </w:r>
            <w:r w:rsidR="000546AF" w:rsidRPr="00580D3D">
              <w:rPr>
                <w:rFonts w:cs="Arial"/>
                <w:color w:val="000000" w:themeColor="text1"/>
              </w:rPr>
              <w:t>2021</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333F6C">
      <w:pPr>
        <w:keepNext/>
        <w:spacing w:before="240"/>
        <w:jc w:val="both"/>
        <w:rPr>
          <w:b/>
        </w:rPr>
      </w:pPr>
      <w:r>
        <w:rPr>
          <w:b/>
        </w:rPr>
        <w:t>Clarifications &amp; Queries</w:t>
      </w:r>
    </w:p>
    <w:p w14:paraId="3C7FE943" w14:textId="47C40EE7" w:rsidR="00333F6C"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333F6C">
      <w:pPr>
        <w:spacing w:before="240"/>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lastRenderedPageBreak/>
        <w:t>Please submit the Form of Tender and Disclaimer certificate along with your proposal</w:t>
      </w:r>
      <w:r>
        <w:t>. If you are already registered on our eTendering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9CA8AEC" w14:textId="0A75813C" w:rsidR="00F52BE8" w:rsidRDefault="00F52BE8" w:rsidP="00333F6C">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5A4049FD" w14:textId="77777777" w:rsidR="00F52BE8" w:rsidRPr="0075067D" w:rsidRDefault="00F52BE8" w:rsidP="00333F6C">
      <w:pPr>
        <w:spacing w:before="240"/>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141B77D5" w14:textId="58EB9431" w:rsidR="00F52BE8" w:rsidRDefault="00F52BE8" w:rsidP="00F52BE8">
      <w:pPr>
        <w:pStyle w:val="ListNumber"/>
        <w:numPr>
          <w:ilvl w:val="0"/>
          <w:numId w:val="0"/>
        </w:numPr>
        <w:rPr>
          <w:b/>
        </w:rPr>
      </w:pPr>
      <w:r>
        <w:t>Once the contract has been awarded, any additional costs incurred which are not reflected in the tender submission will not be accepted for payment.</w:t>
      </w:r>
    </w:p>
    <w:p w14:paraId="7CD0E371" w14:textId="77777777" w:rsidR="00F52BE8" w:rsidRPr="00720321" w:rsidRDefault="00F52BE8" w:rsidP="00333F6C">
      <w:pPr>
        <w:pStyle w:val="ListNumber"/>
        <w:numPr>
          <w:ilvl w:val="0"/>
          <w:numId w:val="0"/>
        </w:numPr>
        <w:spacing w:before="240" w:after="240"/>
        <w:rPr>
          <w:b/>
        </w:rPr>
      </w:pPr>
      <w:r w:rsidRPr="00720321">
        <w:rPr>
          <w:b/>
        </w:rPr>
        <w:t>References</w:t>
      </w:r>
    </w:p>
    <w:p w14:paraId="7B403AF9" w14:textId="60A0FAE2" w:rsidR="00F52BE8" w:rsidRDefault="00F52BE8" w:rsidP="00F52BE8">
      <w:pPr>
        <w:pStyle w:val="ListNumber"/>
        <w:numPr>
          <w:ilvl w:val="0"/>
          <w:numId w:val="0"/>
        </w:numPr>
      </w:pPr>
      <w:r>
        <w:t>References provided as part of the tender may be approached during the tender stage</w:t>
      </w:r>
    </w:p>
    <w:p w14:paraId="6A236EA5" w14:textId="77777777" w:rsidR="00F52BE8" w:rsidRPr="00720321" w:rsidRDefault="00F52BE8" w:rsidP="00333F6C">
      <w:pPr>
        <w:pStyle w:val="ListNumber"/>
        <w:numPr>
          <w:ilvl w:val="0"/>
          <w:numId w:val="0"/>
        </w:numPr>
        <w:spacing w:before="240" w:after="240"/>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58E5EB3D" w14:textId="1AC59D33" w:rsidR="00F52BE8" w:rsidRDefault="00F52BE8" w:rsidP="00F52BE8">
      <w:pPr>
        <w:pStyle w:val="ListNumber"/>
        <w:numPr>
          <w:ilvl w:val="0"/>
          <w:numId w:val="0"/>
        </w:numPr>
      </w:pPr>
      <w:r>
        <w:rPr>
          <w:u w:val="single"/>
        </w:rPr>
        <w:lastRenderedPageBreak/>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6D798C">
        <w:tc>
          <w:tcPr>
            <w:tcW w:w="2132" w:type="dxa"/>
            <w:shd w:val="clear" w:color="auto" w:fill="auto"/>
          </w:tcPr>
          <w:p w14:paraId="077E5E5A" w14:textId="77777777" w:rsidR="00F52BE8" w:rsidRPr="0036077E" w:rsidRDefault="00F52BE8" w:rsidP="006D798C">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6D798C">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6D798C">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6D798C">
            <w:pPr>
              <w:pStyle w:val="ListNumber"/>
              <w:numPr>
                <w:ilvl w:val="0"/>
                <w:numId w:val="0"/>
              </w:numPr>
              <w:rPr>
                <w:b/>
                <w:i/>
                <w:sz w:val="22"/>
                <w:szCs w:val="22"/>
              </w:rPr>
            </w:pPr>
            <w:r w:rsidRPr="0036077E">
              <w:rPr>
                <w:b/>
                <w:i/>
                <w:sz w:val="22"/>
                <w:szCs w:val="22"/>
              </w:rPr>
              <w:t>Rational for amendment</w:t>
            </w:r>
          </w:p>
        </w:tc>
      </w:tr>
      <w:tr w:rsidR="00F52BE8" w14:paraId="227E1E3C" w14:textId="77777777" w:rsidTr="006D798C">
        <w:tc>
          <w:tcPr>
            <w:tcW w:w="2132" w:type="dxa"/>
            <w:shd w:val="clear" w:color="auto" w:fill="auto"/>
          </w:tcPr>
          <w:p w14:paraId="66D4C252" w14:textId="77777777" w:rsidR="00F52BE8" w:rsidRDefault="00F52BE8" w:rsidP="006D798C">
            <w:pPr>
              <w:pStyle w:val="ListNumber"/>
              <w:numPr>
                <w:ilvl w:val="0"/>
                <w:numId w:val="0"/>
              </w:numPr>
            </w:pPr>
          </w:p>
        </w:tc>
        <w:tc>
          <w:tcPr>
            <w:tcW w:w="2132" w:type="dxa"/>
            <w:shd w:val="clear" w:color="auto" w:fill="auto"/>
          </w:tcPr>
          <w:p w14:paraId="0B2FA008" w14:textId="77777777" w:rsidR="00F52BE8" w:rsidRDefault="00F52BE8" w:rsidP="006D798C">
            <w:pPr>
              <w:pStyle w:val="ListNumber"/>
              <w:numPr>
                <w:ilvl w:val="0"/>
                <w:numId w:val="0"/>
              </w:numPr>
            </w:pPr>
          </w:p>
        </w:tc>
        <w:tc>
          <w:tcPr>
            <w:tcW w:w="2132" w:type="dxa"/>
            <w:shd w:val="clear" w:color="auto" w:fill="auto"/>
          </w:tcPr>
          <w:p w14:paraId="3D1AF706" w14:textId="77777777" w:rsidR="00F52BE8" w:rsidRDefault="00F52BE8" w:rsidP="006D798C">
            <w:pPr>
              <w:pStyle w:val="ListNumber"/>
              <w:numPr>
                <w:ilvl w:val="0"/>
                <w:numId w:val="0"/>
              </w:numPr>
            </w:pPr>
          </w:p>
        </w:tc>
        <w:tc>
          <w:tcPr>
            <w:tcW w:w="2132" w:type="dxa"/>
            <w:shd w:val="clear" w:color="auto" w:fill="auto"/>
          </w:tcPr>
          <w:p w14:paraId="4E8369C9" w14:textId="77777777" w:rsidR="00F52BE8" w:rsidRDefault="00F52BE8" w:rsidP="006D798C">
            <w:pPr>
              <w:pStyle w:val="ListNumber"/>
              <w:numPr>
                <w:ilvl w:val="0"/>
                <w:numId w:val="0"/>
              </w:numPr>
            </w:pPr>
          </w:p>
        </w:tc>
      </w:tr>
      <w:tr w:rsidR="00F52BE8" w14:paraId="7B927835" w14:textId="77777777" w:rsidTr="006D798C">
        <w:tc>
          <w:tcPr>
            <w:tcW w:w="2132" w:type="dxa"/>
            <w:shd w:val="clear" w:color="auto" w:fill="auto"/>
          </w:tcPr>
          <w:p w14:paraId="5B5AB1F2" w14:textId="77777777" w:rsidR="00F52BE8" w:rsidRDefault="00F52BE8" w:rsidP="006D798C">
            <w:pPr>
              <w:pStyle w:val="ListNumber"/>
              <w:numPr>
                <w:ilvl w:val="0"/>
                <w:numId w:val="0"/>
              </w:numPr>
            </w:pPr>
          </w:p>
        </w:tc>
        <w:tc>
          <w:tcPr>
            <w:tcW w:w="2132" w:type="dxa"/>
            <w:shd w:val="clear" w:color="auto" w:fill="auto"/>
          </w:tcPr>
          <w:p w14:paraId="41697C10" w14:textId="77777777" w:rsidR="00F52BE8" w:rsidRDefault="00F52BE8" w:rsidP="006D798C">
            <w:pPr>
              <w:pStyle w:val="ListNumber"/>
              <w:numPr>
                <w:ilvl w:val="0"/>
                <w:numId w:val="0"/>
              </w:numPr>
            </w:pPr>
          </w:p>
        </w:tc>
        <w:tc>
          <w:tcPr>
            <w:tcW w:w="2132" w:type="dxa"/>
            <w:shd w:val="clear" w:color="auto" w:fill="auto"/>
          </w:tcPr>
          <w:p w14:paraId="06C941EA" w14:textId="77777777" w:rsidR="00F52BE8" w:rsidRDefault="00F52BE8" w:rsidP="006D798C">
            <w:pPr>
              <w:pStyle w:val="ListNumber"/>
              <w:numPr>
                <w:ilvl w:val="0"/>
                <w:numId w:val="0"/>
              </w:numPr>
            </w:pPr>
          </w:p>
        </w:tc>
        <w:tc>
          <w:tcPr>
            <w:tcW w:w="2132" w:type="dxa"/>
            <w:shd w:val="clear" w:color="auto" w:fill="auto"/>
          </w:tcPr>
          <w:p w14:paraId="71F26826" w14:textId="77777777" w:rsidR="00F52BE8" w:rsidRDefault="00F52BE8" w:rsidP="006D798C">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6D798C">
        <w:tc>
          <w:tcPr>
            <w:tcW w:w="1368" w:type="dxa"/>
            <w:shd w:val="clear" w:color="auto" w:fill="auto"/>
          </w:tcPr>
          <w:p w14:paraId="12C4BB0C" w14:textId="77777777" w:rsidR="00F52BE8" w:rsidRDefault="00F52BE8" w:rsidP="006D798C">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6D798C">
            <w:pPr>
              <w:pStyle w:val="ListNumber"/>
              <w:numPr>
                <w:ilvl w:val="0"/>
                <w:numId w:val="0"/>
              </w:numPr>
            </w:pPr>
            <w:r>
              <w:t>Description</w:t>
            </w:r>
          </w:p>
        </w:tc>
        <w:tc>
          <w:tcPr>
            <w:tcW w:w="3560" w:type="dxa"/>
            <w:shd w:val="clear" w:color="auto" w:fill="auto"/>
          </w:tcPr>
          <w:p w14:paraId="1483686B" w14:textId="77777777" w:rsidR="00F52BE8" w:rsidRDefault="00F52BE8" w:rsidP="006D798C">
            <w:pPr>
              <w:pStyle w:val="ListNumber"/>
              <w:numPr>
                <w:ilvl w:val="0"/>
                <w:numId w:val="0"/>
              </w:numPr>
            </w:pPr>
            <w:r>
              <w:t>Applicable exemption under FOIA 2000</w:t>
            </w:r>
          </w:p>
        </w:tc>
      </w:tr>
      <w:tr w:rsidR="00F52BE8" w14:paraId="04BD892D" w14:textId="77777777" w:rsidTr="006D798C">
        <w:tc>
          <w:tcPr>
            <w:tcW w:w="1368" w:type="dxa"/>
            <w:shd w:val="clear" w:color="auto" w:fill="auto"/>
          </w:tcPr>
          <w:p w14:paraId="71FC3E42" w14:textId="77777777" w:rsidR="00F52BE8" w:rsidRDefault="00F52BE8" w:rsidP="006D798C">
            <w:pPr>
              <w:pStyle w:val="ListNumber"/>
              <w:numPr>
                <w:ilvl w:val="0"/>
                <w:numId w:val="0"/>
              </w:numPr>
            </w:pPr>
          </w:p>
        </w:tc>
        <w:tc>
          <w:tcPr>
            <w:tcW w:w="3600" w:type="dxa"/>
            <w:shd w:val="clear" w:color="auto" w:fill="auto"/>
          </w:tcPr>
          <w:p w14:paraId="74ED4E9A" w14:textId="77777777" w:rsidR="00F52BE8" w:rsidRDefault="00F52BE8" w:rsidP="006D798C">
            <w:pPr>
              <w:pStyle w:val="ListNumber"/>
              <w:numPr>
                <w:ilvl w:val="0"/>
                <w:numId w:val="0"/>
              </w:numPr>
            </w:pPr>
          </w:p>
        </w:tc>
        <w:tc>
          <w:tcPr>
            <w:tcW w:w="3560" w:type="dxa"/>
            <w:shd w:val="clear" w:color="auto" w:fill="auto"/>
          </w:tcPr>
          <w:p w14:paraId="4EED680D" w14:textId="77777777" w:rsidR="00F52BE8" w:rsidRDefault="00F52BE8" w:rsidP="006D798C">
            <w:pPr>
              <w:pStyle w:val="ListNumber"/>
              <w:numPr>
                <w:ilvl w:val="0"/>
                <w:numId w:val="0"/>
              </w:numPr>
            </w:pPr>
          </w:p>
        </w:tc>
      </w:tr>
      <w:tr w:rsidR="00F52BE8" w14:paraId="3063880C" w14:textId="77777777" w:rsidTr="006D798C">
        <w:tc>
          <w:tcPr>
            <w:tcW w:w="1368" w:type="dxa"/>
            <w:shd w:val="clear" w:color="auto" w:fill="auto"/>
          </w:tcPr>
          <w:p w14:paraId="76443DA4" w14:textId="77777777" w:rsidR="00F52BE8" w:rsidRDefault="00F52BE8" w:rsidP="006D798C">
            <w:pPr>
              <w:pStyle w:val="ListNumber"/>
              <w:numPr>
                <w:ilvl w:val="0"/>
                <w:numId w:val="0"/>
              </w:numPr>
            </w:pPr>
          </w:p>
        </w:tc>
        <w:tc>
          <w:tcPr>
            <w:tcW w:w="3600" w:type="dxa"/>
            <w:shd w:val="clear" w:color="auto" w:fill="auto"/>
          </w:tcPr>
          <w:p w14:paraId="32FDA28F" w14:textId="77777777" w:rsidR="00F52BE8" w:rsidRDefault="00F52BE8" w:rsidP="006D798C">
            <w:pPr>
              <w:pStyle w:val="ListNumber"/>
              <w:numPr>
                <w:ilvl w:val="0"/>
                <w:numId w:val="0"/>
              </w:numPr>
            </w:pPr>
          </w:p>
        </w:tc>
        <w:tc>
          <w:tcPr>
            <w:tcW w:w="3560" w:type="dxa"/>
            <w:shd w:val="clear" w:color="auto" w:fill="auto"/>
          </w:tcPr>
          <w:p w14:paraId="475203AB" w14:textId="77777777" w:rsidR="00F52BE8" w:rsidRDefault="00F52BE8" w:rsidP="006D798C">
            <w:pPr>
              <w:pStyle w:val="ListNumber"/>
              <w:numPr>
                <w:ilvl w:val="0"/>
                <w:numId w:val="0"/>
              </w:numPr>
            </w:pPr>
          </w:p>
        </w:tc>
      </w:tr>
      <w:tr w:rsidR="00F52BE8" w14:paraId="45F2445D" w14:textId="77777777" w:rsidTr="006D798C">
        <w:tc>
          <w:tcPr>
            <w:tcW w:w="1368" w:type="dxa"/>
            <w:shd w:val="clear" w:color="auto" w:fill="auto"/>
          </w:tcPr>
          <w:p w14:paraId="7566EE6D" w14:textId="77777777" w:rsidR="00F52BE8" w:rsidRDefault="00F52BE8" w:rsidP="006D798C">
            <w:pPr>
              <w:pStyle w:val="ListNumber"/>
              <w:numPr>
                <w:ilvl w:val="0"/>
                <w:numId w:val="0"/>
              </w:numPr>
            </w:pPr>
          </w:p>
        </w:tc>
        <w:tc>
          <w:tcPr>
            <w:tcW w:w="3600" w:type="dxa"/>
            <w:shd w:val="clear" w:color="auto" w:fill="auto"/>
          </w:tcPr>
          <w:p w14:paraId="08D5C309" w14:textId="77777777" w:rsidR="00F52BE8" w:rsidRDefault="00F52BE8" w:rsidP="006D798C">
            <w:pPr>
              <w:pStyle w:val="ListNumber"/>
              <w:numPr>
                <w:ilvl w:val="0"/>
                <w:numId w:val="0"/>
              </w:numPr>
            </w:pPr>
          </w:p>
        </w:tc>
        <w:tc>
          <w:tcPr>
            <w:tcW w:w="3560" w:type="dxa"/>
            <w:shd w:val="clear" w:color="auto" w:fill="auto"/>
          </w:tcPr>
          <w:p w14:paraId="0BA7F86E" w14:textId="77777777" w:rsidR="00F52BE8" w:rsidRDefault="00F52BE8" w:rsidP="006D798C">
            <w:pPr>
              <w:pStyle w:val="ListNumber"/>
              <w:numPr>
                <w:ilvl w:val="0"/>
                <w:numId w:val="0"/>
              </w:numPr>
            </w:pPr>
          </w:p>
        </w:tc>
      </w:tr>
    </w:tbl>
    <w:p w14:paraId="15CF487A" w14:textId="77777777" w:rsidR="006D798C" w:rsidRDefault="006D798C"/>
    <w:sectPr w:rsidR="006D798C">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F21790" w:rsidRDefault="00F21790">
      <w:pPr>
        <w:spacing w:after="0"/>
      </w:pPr>
      <w:r>
        <w:separator/>
      </w:r>
    </w:p>
  </w:endnote>
  <w:endnote w:type="continuationSeparator" w:id="0">
    <w:p w14:paraId="54DCA1D3" w14:textId="77777777" w:rsidR="00F21790" w:rsidRDefault="00F21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F21790" w:rsidRDefault="00F21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F21790" w:rsidRPr="00673759" w:rsidRDefault="00F21790" w:rsidP="006D798C">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F21790" w:rsidRDefault="00F21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F21790" w:rsidRDefault="00F21790">
      <w:pPr>
        <w:spacing w:after="0"/>
      </w:pPr>
      <w:r>
        <w:separator/>
      </w:r>
    </w:p>
  </w:footnote>
  <w:footnote w:type="continuationSeparator" w:id="0">
    <w:p w14:paraId="525C1B00" w14:textId="77777777" w:rsidR="00F21790" w:rsidRDefault="00F217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F21790" w:rsidRDefault="00F21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F21790" w:rsidRDefault="00F21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F21790" w:rsidRDefault="00F21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DEC"/>
    <w:multiLevelType w:val="hybridMultilevel"/>
    <w:tmpl w:val="7E805970"/>
    <w:lvl w:ilvl="0" w:tplc="A62EB8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586663"/>
    <w:multiLevelType w:val="hybridMultilevel"/>
    <w:tmpl w:val="4A6C8346"/>
    <w:lvl w:ilvl="0" w:tplc="5800690E">
      <w:start w:val="1"/>
      <w:numFmt w:val="bullet"/>
      <w:lvlText w:val=""/>
      <w:lvlJc w:val="left"/>
      <w:pPr>
        <w:ind w:left="720" w:hanging="360"/>
      </w:pPr>
      <w:rPr>
        <w:rFonts w:ascii="Symbol" w:hAnsi="Symbol" w:hint="default"/>
        <w:color w:val="7030A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578C8"/>
    <w:multiLevelType w:val="multilevel"/>
    <w:tmpl w:val="06BCB2EA"/>
    <w:lvl w:ilvl="0">
      <w:start w:val="1"/>
      <w:numFmt w:val="bullet"/>
      <w:pStyle w:val="NormalWhite"/>
      <w:lvlText w:val=""/>
      <w:lvlJc w:val="left"/>
      <w:pPr>
        <w:tabs>
          <w:tab w:val="num" w:pos="720"/>
        </w:tabs>
        <w:ind w:left="720" w:hanging="360"/>
      </w:pPr>
      <w:rPr>
        <w:rFonts w:ascii="Symbol" w:hAnsi="Symbol" w:hint="default"/>
        <w:color w:val="7030A0"/>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5B7231"/>
    <w:multiLevelType w:val="hybridMultilevel"/>
    <w:tmpl w:val="3AF8A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6404BF"/>
    <w:multiLevelType w:val="multilevel"/>
    <w:tmpl w:val="6B38D004"/>
    <w:lvl w:ilvl="0">
      <w:start w:val="1"/>
      <w:numFmt w:val="bullet"/>
      <w:lvlText w:val=""/>
      <w:lvlJc w:val="left"/>
      <w:pPr>
        <w:tabs>
          <w:tab w:val="num" w:pos="720"/>
        </w:tabs>
        <w:ind w:left="720" w:hanging="360"/>
      </w:pPr>
      <w:rPr>
        <w:rFonts w:ascii="Symbol" w:hAnsi="Symbol" w:hint="default"/>
        <w:color w:val="7030A0"/>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402D4"/>
    <w:multiLevelType w:val="hybridMultilevel"/>
    <w:tmpl w:val="63EA9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35FAA"/>
    <w:multiLevelType w:val="hybridMultilevel"/>
    <w:tmpl w:val="57CC9048"/>
    <w:lvl w:ilvl="0" w:tplc="5800690E">
      <w:start w:val="1"/>
      <w:numFmt w:val="bullet"/>
      <w:lvlText w:val=""/>
      <w:lvlJc w:val="left"/>
      <w:pPr>
        <w:ind w:left="720" w:hanging="360"/>
      </w:pPr>
      <w:rPr>
        <w:rFonts w:ascii="Symbol" w:hAnsi="Symbol" w:hint="default"/>
        <w:color w:val="7030A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D5E7C"/>
    <w:multiLevelType w:val="hybridMultilevel"/>
    <w:tmpl w:val="CC22B79E"/>
    <w:lvl w:ilvl="0" w:tplc="5800690E">
      <w:start w:val="1"/>
      <w:numFmt w:val="bullet"/>
      <w:lvlText w:val=""/>
      <w:lvlJc w:val="left"/>
      <w:pPr>
        <w:ind w:left="720" w:hanging="360"/>
      </w:pPr>
      <w:rPr>
        <w:rFonts w:ascii="Symbol" w:hAnsi="Symbol" w:hint="default"/>
        <w:color w:val="7030A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C064C7C"/>
    <w:multiLevelType w:val="hybridMultilevel"/>
    <w:tmpl w:val="F620E2BE"/>
    <w:lvl w:ilvl="0" w:tplc="5800690E">
      <w:start w:val="1"/>
      <w:numFmt w:val="bullet"/>
      <w:lvlText w:val=""/>
      <w:lvlJc w:val="left"/>
      <w:pPr>
        <w:ind w:left="720" w:hanging="360"/>
      </w:pPr>
      <w:rPr>
        <w:rFonts w:ascii="Symbol" w:hAnsi="Symbol" w:hint="default"/>
        <w:color w:val="7030A0"/>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8"/>
  </w:num>
  <w:num w:numId="4">
    <w:abstractNumId w:val="22"/>
  </w:num>
  <w:num w:numId="5">
    <w:abstractNumId w:val="13"/>
  </w:num>
  <w:num w:numId="6">
    <w:abstractNumId w:val="1"/>
  </w:num>
  <w:num w:numId="7">
    <w:abstractNumId w:val="19"/>
  </w:num>
  <w:num w:numId="8">
    <w:abstractNumId w:val="6"/>
  </w:num>
  <w:num w:numId="9">
    <w:abstractNumId w:val="9"/>
  </w:num>
  <w:num w:numId="10">
    <w:abstractNumId w:val="16"/>
  </w:num>
  <w:num w:numId="11">
    <w:abstractNumId w:val="28"/>
  </w:num>
  <w:num w:numId="12">
    <w:abstractNumId w:val="7"/>
  </w:num>
  <w:num w:numId="13">
    <w:abstractNumId w:val="3"/>
  </w:num>
  <w:num w:numId="14">
    <w:abstractNumId w:val="14"/>
  </w:num>
  <w:num w:numId="15">
    <w:abstractNumId w:val="31"/>
  </w:num>
  <w:num w:numId="16">
    <w:abstractNumId w:val="2"/>
  </w:num>
  <w:num w:numId="17">
    <w:abstractNumId w:val="27"/>
  </w:num>
  <w:num w:numId="18">
    <w:abstractNumId w:val="12"/>
  </w:num>
  <w:num w:numId="19">
    <w:abstractNumId w:val="10"/>
  </w:num>
  <w:num w:numId="20">
    <w:abstractNumId w:val="2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6"/>
  </w:num>
  <w:num w:numId="24">
    <w:abstractNumId w:val="3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5"/>
  </w:num>
  <w:num w:numId="28">
    <w:abstractNumId w:val="29"/>
    <w:lvlOverride w:ilvl="0">
      <w:startOverride w:val="1"/>
    </w:lvlOverride>
  </w:num>
  <w:num w:numId="29">
    <w:abstractNumId w:val="25"/>
  </w:num>
  <w:num w:numId="30">
    <w:abstractNumId w:val="23"/>
  </w:num>
  <w:num w:numId="31">
    <w:abstractNumId w:val="23"/>
  </w:num>
  <w:num w:numId="32">
    <w:abstractNumId w:val="30"/>
  </w:num>
  <w:num w:numId="33">
    <w:abstractNumId w:val="17"/>
  </w:num>
  <w:num w:numId="34">
    <w:abstractNumId w:val="5"/>
  </w:num>
  <w:num w:numId="35">
    <w:abstractNumId w:val="15"/>
  </w:num>
  <w:num w:numId="36">
    <w:abstractNumId w:val="15"/>
    <w:lvlOverride w:ilvl="0">
      <w:startOverride w:val="1"/>
    </w:lvlOverride>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22FC"/>
    <w:rsid w:val="000076E6"/>
    <w:rsid w:val="0002077C"/>
    <w:rsid w:val="00026853"/>
    <w:rsid w:val="000400C3"/>
    <w:rsid w:val="000443B0"/>
    <w:rsid w:val="000465F2"/>
    <w:rsid w:val="00046DD9"/>
    <w:rsid w:val="000546AF"/>
    <w:rsid w:val="000673F4"/>
    <w:rsid w:val="00075A01"/>
    <w:rsid w:val="00094416"/>
    <w:rsid w:val="000A3A59"/>
    <w:rsid w:val="000A3EB5"/>
    <w:rsid w:val="000D3877"/>
    <w:rsid w:val="000E37EF"/>
    <w:rsid w:val="000F6A5A"/>
    <w:rsid w:val="00103AA7"/>
    <w:rsid w:val="001071D7"/>
    <w:rsid w:val="00110896"/>
    <w:rsid w:val="00132437"/>
    <w:rsid w:val="00136CEB"/>
    <w:rsid w:val="00142157"/>
    <w:rsid w:val="001645AC"/>
    <w:rsid w:val="00171B42"/>
    <w:rsid w:val="0018355F"/>
    <w:rsid w:val="001845B5"/>
    <w:rsid w:val="001A5D12"/>
    <w:rsid w:val="001B226F"/>
    <w:rsid w:val="001B3684"/>
    <w:rsid w:val="001B6C90"/>
    <w:rsid w:val="001C36E1"/>
    <w:rsid w:val="001D1429"/>
    <w:rsid w:val="001D274E"/>
    <w:rsid w:val="001F3F1F"/>
    <w:rsid w:val="002067E4"/>
    <w:rsid w:val="0021056B"/>
    <w:rsid w:val="00212F77"/>
    <w:rsid w:val="00226FF5"/>
    <w:rsid w:val="00227B05"/>
    <w:rsid w:val="002343C7"/>
    <w:rsid w:val="00242347"/>
    <w:rsid w:val="00243C6B"/>
    <w:rsid w:val="00251404"/>
    <w:rsid w:val="0026655A"/>
    <w:rsid w:val="00266CE7"/>
    <w:rsid w:val="0029334B"/>
    <w:rsid w:val="002937E9"/>
    <w:rsid w:val="00296648"/>
    <w:rsid w:val="002A17EF"/>
    <w:rsid w:val="002A3BD3"/>
    <w:rsid w:val="002D2F61"/>
    <w:rsid w:val="002D6E29"/>
    <w:rsid w:val="002E1EF3"/>
    <w:rsid w:val="002F636A"/>
    <w:rsid w:val="003038AA"/>
    <w:rsid w:val="00312189"/>
    <w:rsid w:val="00333F6C"/>
    <w:rsid w:val="00362F01"/>
    <w:rsid w:val="003630E5"/>
    <w:rsid w:val="00364E4E"/>
    <w:rsid w:val="00366B8E"/>
    <w:rsid w:val="0037090C"/>
    <w:rsid w:val="00371BD9"/>
    <w:rsid w:val="003B29B3"/>
    <w:rsid w:val="003B3ECA"/>
    <w:rsid w:val="003D62AB"/>
    <w:rsid w:val="003E29FA"/>
    <w:rsid w:val="003F7720"/>
    <w:rsid w:val="004055C8"/>
    <w:rsid w:val="00424241"/>
    <w:rsid w:val="004244F2"/>
    <w:rsid w:val="004355F7"/>
    <w:rsid w:val="00435B91"/>
    <w:rsid w:val="00441DEC"/>
    <w:rsid w:val="00474F81"/>
    <w:rsid w:val="00476DB4"/>
    <w:rsid w:val="004A3578"/>
    <w:rsid w:val="004D21E8"/>
    <w:rsid w:val="004D663D"/>
    <w:rsid w:val="004F208E"/>
    <w:rsid w:val="0051512D"/>
    <w:rsid w:val="0052217F"/>
    <w:rsid w:val="0052648C"/>
    <w:rsid w:val="005366BD"/>
    <w:rsid w:val="00546460"/>
    <w:rsid w:val="00580D3D"/>
    <w:rsid w:val="00583575"/>
    <w:rsid w:val="00586F43"/>
    <w:rsid w:val="00590EC9"/>
    <w:rsid w:val="00591ADB"/>
    <w:rsid w:val="0059498A"/>
    <w:rsid w:val="005B1AFD"/>
    <w:rsid w:val="005B55E8"/>
    <w:rsid w:val="005B7E7F"/>
    <w:rsid w:val="005D46C8"/>
    <w:rsid w:val="0060465E"/>
    <w:rsid w:val="0061148F"/>
    <w:rsid w:val="00631239"/>
    <w:rsid w:val="00642340"/>
    <w:rsid w:val="00645F00"/>
    <w:rsid w:val="00651AD2"/>
    <w:rsid w:val="0065726B"/>
    <w:rsid w:val="0065783A"/>
    <w:rsid w:val="00664E24"/>
    <w:rsid w:val="00680F3B"/>
    <w:rsid w:val="00694D27"/>
    <w:rsid w:val="006A16CB"/>
    <w:rsid w:val="006C4343"/>
    <w:rsid w:val="006C71D6"/>
    <w:rsid w:val="006D11D4"/>
    <w:rsid w:val="006D355D"/>
    <w:rsid w:val="006D798C"/>
    <w:rsid w:val="006F406A"/>
    <w:rsid w:val="006F5E77"/>
    <w:rsid w:val="00725F78"/>
    <w:rsid w:val="0073594E"/>
    <w:rsid w:val="00796395"/>
    <w:rsid w:val="00796BF4"/>
    <w:rsid w:val="00796DB4"/>
    <w:rsid w:val="007A02EE"/>
    <w:rsid w:val="007C02B6"/>
    <w:rsid w:val="007C0888"/>
    <w:rsid w:val="007C1A5B"/>
    <w:rsid w:val="007C51B2"/>
    <w:rsid w:val="007C5465"/>
    <w:rsid w:val="007E2475"/>
    <w:rsid w:val="007F03AF"/>
    <w:rsid w:val="007F0439"/>
    <w:rsid w:val="007F256F"/>
    <w:rsid w:val="008009B7"/>
    <w:rsid w:val="00800FFE"/>
    <w:rsid w:val="00836CB2"/>
    <w:rsid w:val="00847992"/>
    <w:rsid w:val="00851A06"/>
    <w:rsid w:val="00853A76"/>
    <w:rsid w:val="00857C68"/>
    <w:rsid w:val="00863EB7"/>
    <w:rsid w:val="00872379"/>
    <w:rsid w:val="0087317B"/>
    <w:rsid w:val="00882C9B"/>
    <w:rsid w:val="00894962"/>
    <w:rsid w:val="008A4966"/>
    <w:rsid w:val="008C1372"/>
    <w:rsid w:val="008C3301"/>
    <w:rsid w:val="008E22CA"/>
    <w:rsid w:val="008F2C76"/>
    <w:rsid w:val="008F3972"/>
    <w:rsid w:val="008F40E7"/>
    <w:rsid w:val="00907369"/>
    <w:rsid w:val="00907461"/>
    <w:rsid w:val="00910C62"/>
    <w:rsid w:val="00913344"/>
    <w:rsid w:val="00915AA2"/>
    <w:rsid w:val="00934641"/>
    <w:rsid w:val="0094317F"/>
    <w:rsid w:val="0095139E"/>
    <w:rsid w:val="00970A2E"/>
    <w:rsid w:val="00982D17"/>
    <w:rsid w:val="009878A7"/>
    <w:rsid w:val="00992733"/>
    <w:rsid w:val="00996093"/>
    <w:rsid w:val="009A2BDE"/>
    <w:rsid w:val="009E3012"/>
    <w:rsid w:val="00A11691"/>
    <w:rsid w:val="00A275C6"/>
    <w:rsid w:val="00A42399"/>
    <w:rsid w:val="00A643D9"/>
    <w:rsid w:val="00A65CA7"/>
    <w:rsid w:val="00A96C63"/>
    <w:rsid w:val="00AA7455"/>
    <w:rsid w:val="00AB39AC"/>
    <w:rsid w:val="00AB39D6"/>
    <w:rsid w:val="00AC58C9"/>
    <w:rsid w:val="00AD0487"/>
    <w:rsid w:val="00AD0ACB"/>
    <w:rsid w:val="00B046C5"/>
    <w:rsid w:val="00B10124"/>
    <w:rsid w:val="00B51B80"/>
    <w:rsid w:val="00B61E6E"/>
    <w:rsid w:val="00B86C8A"/>
    <w:rsid w:val="00BB12BF"/>
    <w:rsid w:val="00BB1AEC"/>
    <w:rsid w:val="00BC1899"/>
    <w:rsid w:val="00BF026E"/>
    <w:rsid w:val="00C00B64"/>
    <w:rsid w:val="00C25098"/>
    <w:rsid w:val="00C276C4"/>
    <w:rsid w:val="00C359C6"/>
    <w:rsid w:val="00C36354"/>
    <w:rsid w:val="00C52B1A"/>
    <w:rsid w:val="00C91936"/>
    <w:rsid w:val="00C92C40"/>
    <w:rsid w:val="00CA776C"/>
    <w:rsid w:val="00CB13D1"/>
    <w:rsid w:val="00CB7444"/>
    <w:rsid w:val="00CC05A9"/>
    <w:rsid w:val="00CC3AAE"/>
    <w:rsid w:val="00CC7AD9"/>
    <w:rsid w:val="00CD2E2B"/>
    <w:rsid w:val="00CD3AB1"/>
    <w:rsid w:val="00CE48D0"/>
    <w:rsid w:val="00CE59EE"/>
    <w:rsid w:val="00D13800"/>
    <w:rsid w:val="00D152EE"/>
    <w:rsid w:val="00D213EB"/>
    <w:rsid w:val="00D22CBB"/>
    <w:rsid w:val="00D26D2D"/>
    <w:rsid w:val="00D35728"/>
    <w:rsid w:val="00D36C30"/>
    <w:rsid w:val="00D3716D"/>
    <w:rsid w:val="00D409EF"/>
    <w:rsid w:val="00D56AB9"/>
    <w:rsid w:val="00D74997"/>
    <w:rsid w:val="00D95B4E"/>
    <w:rsid w:val="00DA55FB"/>
    <w:rsid w:val="00DB72D9"/>
    <w:rsid w:val="00DE4CA9"/>
    <w:rsid w:val="00DE6991"/>
    <w:rsid w:val="00E067BF"/>
    <w:rsid w:val="00E1428F"/>
    <w:rsid w:val="00E16231"/>
    <w:rsid w:val="00E33770"/>
    <w:rsid w:val="00E56F0E"/>
    <w:rsid w:val="00E7658E"/>
    <w:rsid w:val="00E80BFB"/>
    <w:rsid w:val="00E81232"/>
    <w:rsid w:val="00E83CC7"/>
    <w:rsid w:val="00E905CF"/>
    <w:rsid w:val="00EA0F84"/>
    <w:rsid w:val="00EA6897"/>
    <w:rsid w:val="00EC1F17"/>
    <w:rsid w:val="00EC75FB"/>
    <w:rsid w:val="00EE0BE4"/>
    <w:rsid w:val="00EE2A59"/>
    <w:rsid w:val="00EE3337"/>
    <w:rsid w:val="00EF45EC"/>
    <w:rsid w:val="00F17825"/>
    <w:rsid w:val="00F21790"/>
    <w:rsid w:val="00F26B55"/>
    <w:rsid w:val="00F50E47"/>
    <w:rsid w:val="00F52BE8"/>
    <w:rsid w:val="00F551C8"/>
    <w:rsid w:val="00F55D3A"/>
    <w:rsid w:val="00F57000"/>
    <w:rsid w:val="00F6076C"/>
    <w:rsid w:val="00F728FD"/>
    <w:rsid w:val="00F84C6E"/>
    <w:rsid w:val="00F95E39"/>
    <w:rsid w:val="00FA2370"/>
    <w:rsid w:val="00FA654D"/>
    <w:rsid w:val="00FB563E"/>
    <w:rsid w:val="00FC655B"/>
    <w:rsid w:val="00FD1F8D"/>
    <w:rsid w:val="00FF7E69"/>
    <w:rsid w:val="67CEE4D6"/>
    <w:rsid w:val="6DF41A57"/>
    <w:rsid w:val="71E3548C"/>
    <w:rsid w:val="75FAB3DF"/>
    <w:rsid w:val="7C93D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paragraph" w:styleId="Heading4">
    <w:name w:val="heading 4"/>
    <w:basedOn w:val="Normal"/>
    <w:next w:val="Normal"/>
    <w:link w:val="Heading4Char"/>
    <w:uiPriority w:val="9"/>
    <w:semiHidden/>
    <w:unhideWhenUsed/>
    <w:qFormat/>
    <w:rsid w:val="00F84C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customStyle="1" w:styleId="NormalWhite">
    <w:name w:val="NormalWhite"/>
    <w:basedOn w:val="Normal"/>
    <w:rsid w:val="007A02EE"/>
    <w:pPr>
      <w:numPr>
        <w:numId w:val="35"/>
      </w:numPr>
    </w:pPr>
  </w:style>
  <w:style w:type="paragraph" w:styleId="NormalWeb">
    <w:name w:val="Normal (Web)"/>
    <w:basedOn w:val="Normal"/>
    <w:uiPriority w:val="99"/>
    <w:unhideWhenUsed/>
    <w:rsid w:val="00E56F0E"/>
    <w:pPr>
      <w:spacing w:before="100" w:beforeAutospacing="1" w:after="100" w:afterAutospacing="1"/>
    </w:pPr>
    <w:rPr>
      <w:rFonts w:ascii="Times New Roman" w:hAnsi="Times New Roman"/>
      <w:szCs w:val="24"/>
      <w:lang w:val="en-US"/>
    </w:rPr>
  </w:style>
  <w:style w:type="character" w:styleId="Strong">
    <w:name w:val="Strong"/>
    <w:basedOn w:val="DefaultParagraphFont"/>
    <w:uiPriority w:val="22"/>
    <w:qFormat/>
    <w:rsid w:val="00E56F0E"/>
    <w:rPr>
      <w:b/>
      <w:bCs/>
    </w:rPr>
  </w:style>
  <w:style w:type="character" w:customStyle="1" w:styleId="Heading4Char">
    <w:name w:val="Heading 4 Char"/>
    <w:basedOn w:val="DefaultParagraphFont"/>
    <w:link w:val="Heading4"/>
    <w:uiPriority w:val="9"/>
    <w:semiHidden/>
    <w:rsid w:val="00F84C6E"/>
    <w:rPr>
      <w:rFonts w:asciiTheme="majorHAnsi" w:eastAsiaTheme="majorEastAsia" w:hAnsiTheme="majorHAnsi" w:cstheme="majorBidi"/>
      <w:i/>
      <w:iCs/>
      <w:color w:val="2E74B5" w:themeColor="accent1" w:themeShade="BF"/>
      <w:sz w:val="24"/>
      <w:szCs w:val="20"/>
      <w:lang w:val="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25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56F"/>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F45EC"/>
    <w:rPr>
      <w:b/>
      <w:bCs/>
    </w:rPr>
  </w:style>
  <w:style w:type="character" w:customStyle="1" w:styleId="CommentSubjectChar">
    <w:name w:val="Comment Subject Char"/>
    <w:basedOn w:val="CommentTextChar"/>
    <w:link w:val="CommentSubject"/>
    <w:uiPriority w:val="99"/>
    <w:semiHidden/>
    <w:rsid w:val="00EF45EC"/>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238">
      <w:bodyDiv w:val="1"/>
      <w:marLeft w:val="0"/>
      <w:marRight w:val="0"/>
      <w:marTop w:val="0"/>
      <w:marBottom w:val="0"/>
      <w:divBdr>
        <w:top w:val="none" w:sz="0" w:space="0" w:color="auto"/>
        <w:left w:val="none" w:sz="0" w:space="0" w:color="auto"/>
        <w:bottom w:val="none" w:sz="0" w:space="0" w:color="auto"/>
        <w:right w:val="none" w:sz="0" w:space="0" w:color="auto"/>
      </w:divBdr>
    </w:div>
    <w:div w:id="344135313">
      <w:bodyDiv w:val="1"/>
      <w:marLeft w:val="0"/>
      <w:marRight w:val="0"/>
      <w:marTop w:val="0"/>
      <w:marBottom w:val="0"/>
      <w:divBdr>
        <w:top w:val="none" w:sz="0" w:space="0" w:color="auto"/>
        <w:left w:val="none" w:sz="0" w:space="0" w:color="auto"/>
        <w:bottom w:val="none" w:sz="0" w:space="0" w:color="auto"/>
        <w:right w:val="none" w:sz="0" w:space="0" w:color="auto"/>
      </w:divBdr>
    </w:div>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45182615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696810342">
      <w:bodyDiv w:val="1"/>
      <w:marLeft w:val="0"/>
      <w:marRight w:val="0"/>
      <w:marTop w:val="0"/>
      <w:marBottom w:val="0"/>
      <w:divBdr>
        <w:top w:val="none" w:sz="0" w:space="0" w:color="auto"/>
        <w:left w:val="none" w:sz="0" w:space="0" w:color="auto"/>
        <w:bottom w:val="none" w:sz="0" w:space="0" w:color="auto"/>
        <w:right w:val="none" w:sz="0" w:space="0" w:color="auto"/>
      </w:divBdr>
    </w:div>
    <w:div w:id="795561835">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305574899">
      <w:bodyDiv w:val="1"/>
      <w:marLeft w:val="0"/>
      <w:marRight w:val="0"/>
      <w:marTop w:val="0"/>
      <w:marBottom w:val="0"/>
      <w:divBdr>
        <w:top w:val="none" w:sz="0" w:space="0" w:color="auto"/>
        <w:left w:val="none" w:sz="0" w:space="0" w:color="auto"/>
        <w:bottom w:val="none" w:sz="0" w:space="0" w:color="auto"/>
        <w:right w:val="none" w:sz="0" w:space="0" w:color="auto"/>
      </w:divBdr>
    </w:div>
    <w:div w:id="1504978158">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 w:id="20655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orr.gov.uk/guidance-compliance/rail/health-safety/strategy/our-strategic-risk-chapt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rr.gov.uk/monitoring-regulation/rail/promoting-health-safety" TargetMode="External"/><Relationship Id="rId17" Type="http://schemas.openxmlformats.org/officeDocument/2006/relationships/hyperlink" Target="https://orr.app.box.com/file/61809081982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r.gov.uk/guidance-compliance/rail/health-safety/strategy/health-safety-regulatory-approac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rr.app.box.com/file/656967122352" TargetMode="External"/><Relationship Id="rId23" Type="http://schemas.openxmlformats.org/officeDocument/2006/relationships/footer" Target="footer2.xml"/><Relationship Id="rId10" Type="http://schemas.openxmlformats.org/officeDocument/2006/relationships/hyperlink" Target="https://www.orr.gov.uk/about/how-we-work/strategy-duties" TargetMode="External"/><Relationship Id="rId19" Type="http://schemas.openxmlformats.org/officeDocument/2006/relationships/hyperlink" Target="https://www.orr.gov.uk/guidance-compliance/rail/health-safety/strategy/our-strategic-risk-chapters" TargetMode="Externa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yperlink" Target="https://orr.app.box.com/file/65395638608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FEFE0-1D20-4A06-9144-4F91192E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5435</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2</cp:revision>
  <dcterms:created xsi:type="dcterms:W3CDTF">2021-10-19T13:33:00Z</dcterms:created>
  <dcterms:modified xsi:type="dcterms:W3CDTF">2021-10-19T13:33:00Z</dcterms:modified>
</cp:coreProperties>
</file>