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AD" w:rsidP="006475AD" w:rsidRDefault="006475AD" w14:paraId="0254643D" w14:textId="77777777">
      <w:pPr>
        <w:jc w:val="center"/>
        <w:rPr>
          <w:rFonts w:cs="Arial"/>
          <w:b/>
          <w:sz w:val="48"/>
          <w:szCs w:val="48"/>
        </w:rPr>
      </w:pPr>
    </w:p>
    <w:p w:rsidR="006475AD" w:rsidP="006475AD" w:rsidRDefault="006475AD" w14:paraId="0254643E" w14:textId="77777777">
      <w:pPr>
        <w:jc w:val="center"/>
        <w:rPr>
          <w:rFonts w:cs="Arial"/>
          <w:b/>
          <w:sz w:val="48"/>
          <w:szCs w:val="48"/>
        </w:rPr>
      </w:pPr>
    </w:p>
    <w:p w:rsidR="006475AD" w:rsidP="006475AD" w:rsidRDefault="006475AD" w14:paraId="0254643F" w14:textId="77777777">
      <w:pPr>
        <w:jc w:val="center"/>
        <w:rPr>
          <w:rFonts w:cs="Arial"/>
          <w:b/>
          <w:sz w:val="48"/>
          <w:szCs w:val="48"/>
        </w:rPr>
      </w:pPr>
    </w:p>
    <w:p w:rsidRPr="006475AD" w:rsidR="006475AD" w:rsidP="006475AD" w:rsidRDefault="000A1A0F" w14:paraId="02546440" w14:textId="729E21FA">
      <w:pPr>
        <w:jc w:val="center"/>
        <w:rPr>
          <w:rFonts w:cs="Arial"/>
          <w:b/>
          <w:color w:val="0000FF"/>
          <w:sz w:val="48"/>
          <w:szCs w:val="48"/>
        </w:rPr>
      </w:pPr>
      <w:r>
        <w:rPr>
          <w:rFonts w:cs="Arial"/>
          <w:b/>
          <w:color w:val="0000FF"/>
          <w:sz w:val="48"/>
          <w:szCs w:val="48"/>
        </w:rPr>
        <w:t>SCHEDULE 20 to CSS/0135</w:t>
      </w:r>
    </w:p>
    <w:p w:rsidR="006475AD" w:rsidP="006475AD" w:rsidRDefault="006475AD" w14:paraId="02546441" w14:textId="77777777">
      <w:pPr>
        <w:jc w:val="center"/>
        <w:rPr>
          <w:rFonts w:cs="Arial"/>
          <w:b/>
          <w:sz w:val="48"/>
          <w:szCs w:val="48"/>
        </w:rPr>
      </w:pPr>
    </w:p>
    <w:p w:rsidR="006475AD" w:rsidP="006475AD" w:rsidRDefault="006475AD" w14:paraId="02546442" w14:textId="77777777">
      <w:pPr>
        <w:jc w:val="center"/>
        <w:rPr>
          <w:rFonts w:cs="Arial"/>
          <w:b/>
          <w:sz w:val="48"/>
          <w:szCs w:val="48"/>
        </w:rPr>
      </w:pPr>
    </w:p>
    <w:p w:rsidR="006475AD" w:rsidP="006475AD" w:rsidRDefault="006475AD" w14:paraId="02546443" w14:textId="77777777">
      <w:pPr>
        <w:jc w:val="center"/>
        <w:rPr>
          <w:rFonts w:cs="Arial"/>
          <w:b/>
          <w:sz w:val="48"/>
          <w:szCs w:val="48"/>
        </w:rPr>
      </w:pPr>
    </w:p>
    <w:p w:rsidR="006475AD" w:rsidP="006475AD" w:rsidRDefault="006475AD" w14:paraId="02546444" w14:textId="77777777">
      <w:pPr>
        <w:jc w:val="center"/>
        <w:rPr>
          <w:rFonts w:cs="Arial"/>
          <w:b/>
          <w:sz w:val="48"/>
          <w:szCs w:val="48"/>
        </w:rPr>
      </w:pPr>
      <w:r>
        <w:rPr>
          <w:rFonts w:cs="Arial"/>
          <w:b/>
          <w:sz w:val="48"/>
          <w:szCs w:val="48"/>
        </w:rPr>
        <w:t>GAINSHARE FRAMEWORK AGREEMENT</w:t>
      </w:r>
    </w:p>
    <w:p w:rsidR="006475AD" w:rsidP="006475AD" w:rsidRDefault="006475AD" w14:paraId="02546445" w14:textId="77777777">
      <w:pPr>
        <w:jc w:val="center"/>
        <w:rPr>
          <w:rFonts w:cs="Arial"/>
          <w:b/>
          <w:sz w:val="48"/>
          <w:szCs w:val="48"/>
        </w:rPr>
      </w:pPr>
    </w:p>
    <w:p w:rsidR="006475AD" w:rsidP="006475AD" w:rsidRDefault="006475AD" w14:paraId="02546446" w14:textId="77777777">
      <w:pPr>
        <w:jc w:val="center"/>
        <w:rPr>
          <w:rFonts w:cs="Arial"/>
          <w:b/>
          <w:sz w:val="48"/>
          <w:szCs w:val="48"/>
        </w:rPr>
      </w:pPr>
    </w:p>
    <w:p w:rsidR="006475AD" w:rsidP="006475AD" w:rsidRDefault="006475AD" w14:paraId="02546447" w14:textId="77777777">
      <w:pPr>
        <w:jc w:val="center"/>
        <w:rPr>
          <w:rFonts w:cs="Arial"/>
          <w:b/>
          <w:sz w:val="48"/>
          <w:szCs w:val="48"/>
        </w:rPr>
      </w:pPr>
    </w:p>
    <w:p w:rsidR="007063D4" w:rsidP="007063D4" w:rsidRDefault="006475AD" w14:paraId="02546448" w14:textId="77777777">
      <w:pPr>
        <w:jc w:val="center"/>
        <w:rPr>
          <w:rFonts w:cs="Arial"/>
          <w:b/>
          <w:szCs w:val="22"/>
        </w:rPr>
      </w:pPr>
      <w:r>
        <w:rPr>
          <w:rFonts w:cs="Arial"/>
          <w:b/>
          <w:szCs w:val="22"/>
        </w:rPr>
        <w:br w:type="page"/>
      </w:r>
    </w:p>
    <w:p w:rsidR="007063D4" w:rsidP="007063D4" w:rsidRDefault="007063D4" w14:paraId="02546449" w14:textId="77777777">
      <w:pPr>
        <w:jc w:val="center"/>
        <w:rPr>
          <w:rFonts w:cs="Arial"/>
          <w:b/>
          <w:szCs w:val="22"/>
        </w:rPr>
      </w:pPr>
    </w:p>
    <w:p w:rsidR="007063D4" w:rsidP="00966D10" w:rsidRDefault="007063D4" w14:paraId="0254644A" w14:textId="77777777">
      <w:pPr>
        <w:jc w:val="center"/>
        <w:outlineLvl w:val="0"/>
        <w:rPr>
          <w:rFonts w:cs="Arial"/>
          <w:b/>
          <w:szCs w:val="22"/>
        </w:rPr>
      </w:pPr>
      <w:r w:rsidRPr="0029404A">
        <w:rPr>
          <w:rFonts w:cs="Arial"/>
          <w:b/>
          <w:szCs w:val="22"/>
        </w:rPr>
        <w:t>GAINSHARE FRAMEWORK AGREEMENT</w:t>
      </w:r>
    </w:p>
    <w:p w:rsidRPr="0029404A" w:rsidR="007063D4" w:rsidP="007063D4" w:rsidRDefault="007063D4" w14:paraId="0254644B" w14:textId="77777777">
      <w:pPr>
        <w:jc w:val="center"/>
        <w:rPr>
          <w:rFonts w:cs="Arial"/>
          <w:szCs w:val="22"/>
        </w:rPr>
      </w:pPr>
    </w:p>
    <w:p w:rsidRPr="0029404A" w:rsidR="007063D4" w:rsidP="007063D4" w:rsidRDefault="007063D4" w14:paraId="0254644C" w14:textId="77777777">
      <w:pPr>
        <w:jc w:val="center"/>
        <w:rPr>
          <w:rFonts w:cs="Arial"/>
          <w:szCs w:val="22"/>
        </w:rPr>
      </w:pPr>
    </w:p>
    <w:p w:rsidRPr="004930A9" w:rsidR="007063D4" w:rsidP="007063D4" w:rsidRDefault="007063D4" w14:paraId="0254644D" w14:textId="797D24E3">
      <w:pPr>
        <w:jc w:val="both"/>
        <w:rPr>
          <w:rFonts w:cs="Arial"/>
          <w:szCs w:val="22"/>
        </w:rPr>
      </w:pPr>
      <w:r w:rsidRPr="004930A9">
        <w:rPr>
          <w:rFonts w:cs="Arial"/>
          <w:szCs w:val="22"/>
        </w:rPr>
        <w:t>This agreement is made between …………. a</w:t>
      </w:r>
      <w:r>
        <w:rPr>
          <w:rFonts w:cs="Arial"/>
          <w:szCs w:val="22"/>
        </w:rPr>
        <w:t xml:space="preserve">nd the </w:t>
      </w:r>
      <w:r w:rsidRPr="001730F6" w:rsidR="001730F6">
        <w:rPr>
          <w:rFonts w:cs="Arial"/>
          <w:szCs w:val="22"/>
          <w:highlight w:val="yellow"/>
        </w:rPr>
        <w:t>CSS-Boats</w:t>
      </w:r>
      <w:r w:rsidR="000A1A0F">
        <w:rPr>
          <w:rFonts w:cs="Arial"/>
          <w:szCs w:val="22"/>
        </w:rPr>
        <w:t xml:space="preserve"> team</w:t>
      </w:r>
    </w:p>
    <w:p w:rsidRPr="004930A9" w:rsidR="007063D4" w:rsidP="007063D4" w:rsidRDefault="007063D4" w14:paraId="0254644E" w14:textId="77777777">
      <w:pPr>
        <w:rPr>
          <w:rFonts w:cs="Arial"/>
          <w:szCs w:val="22"/>
        </w:rPr>
      </w:pPr>
    </w:p>
    <w:p w:rsidRPr="004930A9" w:rsidR="007063D4" w:rsidP="007063D4" w:rsidRDefault="007063D4" w14:paraId="0254644F" w14:textId="77777777">
      <w:pPr>
        <w:rPr>
          <w:rFonts w:cs="Arial"/>
          <w:szCs w:val="22"/>
        </w:rPr>
      </w:pPr>
      <w:r w:rsidRPr="004930A9">
        <w:rPr>
          <w:rFonts w:cs="Arial"/>
          <w:szCs w:val="22"/>
        </w:rPr>
        <w:t>Whereas:</w:t>
      </w:r>
    </w:p>
    <w:p w:rsidRPr="004930A9" w:rsidR="007063D4" w:rsidP="007063D4" w:rsidRDefault="007063D4" w14:paraId="02546450" w14:textId="77777777">
      <w:pPr>
        <w:rPr>
          <w:rFonts w:cs="Arial"/>
          <w:szCs w:val="22"/>
        </w:rPr>
      </w:pPr>
    </w:p>
    <w:p w:rsidRPr="004930A9" w:rsidR="007063D4" w:rsidP="007063D4" w:rsidRDefault="000A1A0F" w14:paraId="02546451" w14:textId="689EFBBF">
      <w:pPr>
        <w:jc w:val="both"/>
        <w:rPr>
          <w:rFonts w:cs="Arial"/>
          <w:szCs w:val="22"/>
        </w:rPr>
      </w:pPr>
      <w:r>
        <w:rPr>
          <w:rFonts w:cs="Arial"/>
          <w:szCs w:val="22"/>
        </w:rPr>
        <w:t>Contract CSS/0135</w:t>
      </w:r>
      <w:r w:rsidRPr="004930A9" w:rsidR="007063D4">
        <w:rPr>
          <w:rFonts w:cs="Arial"/>
          <w:szCs w:val="22"/>
        </w:rPr>
        <w:t xml:space="preserve"> (herein after called “the Contract”) was entered into between the Secretary of State for Defence, acting t</w:t>
      </w:r>
      <w:r w:rsidR="005B641B">
        <w:rPr>
          <w:rFonts w:cs="Arial"/>
          <w:szCs w:val="22"/>
        </w:rPr>
        <w:t xml:space="preserve">hrough the Ministry of Defence </w:t>
      </w:r>
      <w:r w:rsidRPr="004930A9" w:rsidR="007063D4">
        <w:rPr>
          <w:rFonts w:cs="Arial"/>
          <w:szCs w:val="22"/>
        </w:rPr>
        <w:t xml:space="preserve">and ………………… on the …………………….. </w:t>
      </w:r>
      <w:r>
        <w:rPr>
          <w:rFonts w:cs="Arial"/>
          <w:szCs w:val="22"/>
        </w:rPr>
        <w:t>(hereinafter called “the Authority</w:t>
      </w:r>
      <w:r w:rsidRPr="004930A9" w:rsidR="007063D4">
        <w:rPr>
          <w:rFonts w:cs="Arial"/>
          <w:szCs w:val="22"/>
        </w:rPr>
        <w:t>” and “</w:t>
      </w:r>
      <w:r>
        <w:rPr>
          <w:rFonts w:cs="Arial"/>
          <w:szCs w:val="22"/>
        </w:rPr>
        <w:t>the Contractor</w:t>
      </w:r>
      <w:bookmarkStart w:name="_GoBack" w:id="0"/>
      <w:bookmarkEnd w:id="0"/>
      <w:r w:rsidRPr="004930A9" w:rsidR="007063D4">
        <w:rPr>
          <w:rFonts w:cs="Arial"/>
          <w:szCs w:val="22"/>
        </w:rPr>
        <w:t xml:space="preserve">.” or individually “a party” and collectively “the parties”). </w:t>
      </w:r>
    </w:p>
    <w:p w:rsidRPr="0029404A" w:rsidR="007063D4" w:rsidP="007063D4" w:rsidRDefault="007063D4" w14:paraId="02546452" w14:textId="77777777">
      <w:pPr>
        <w:rPr>
          <w:rFonts w:cs="Arial"/>
          <w:szCs w:val="22"/>
        </w:rPr>
      </w:pPr>
    </w:p>
    <w:p w:rsidRPr="0029404A" w:rsidR="007063D4" w:rsidP="007063D4" w:rsidRDefault="007063D4" w14:paraId="02546453" w14:textId="77777777">
      <w:pPr>
        <w:pStyle w:val="BodyText2"/>
        <w:jc w:val="both"/>
        <w:rPr>
          <w:rFonts w:cs="Arial"/>
          <w:szCs w:val="22"/>
        </w:rPr>
      </w:pPr>
      <w:r w:rsidRPr="004930A9">
        <w:rPr>
          <w:rFonts w:ascii="Arial" w:hAnsi="Arial" w:cs="Arial"/>
          <w:sz w:val="22"/>
          <w:szCs w:val="22"/>
        </w:rPr>
        <w:t>The parties, in entering into this agreement have mutually recognised the objective of reducing, wherever possible, the cost to the public purse of the performance of the Contract.  The parties therefore wish to proceed jointly, where there is a mutual involvement and benefit with a view to</w:t>
      </w:r>
      <w:r w:rsidRPr="0029404A">
        <w:rPr>
          <w:rFonts w:cs="Arial"/>
          <w:szCs w:val="22"/>
        </w:rPr>
        <w:t xml:space="preserve">:  </w:t>
      </w:r>
    </w:p>
    <w:p w:rsidRPr="0029404A" w:rsidR="007063D4" w:rsidP="007063D4" w:rsidRDefault="007063D4" w14:paraId="02546454" w14:textId="77777777">
      <w:pPr>
        <w:rPr>
          <w:rFonts w:cs="Arial"/>
          <w:szCs w:val="22"/>
        </w:rPr>
      </w:pPr>
    </w:p>
    <w:p w:rsidRPr="0029404A" w:rsidR="007063D4" w:rsidP="007063D4" w:rsidRDefault="007063D4" w14:paraId="02546455" w14:textId="77777777">
      <w:pPr>
        <w:numPr>
          <w:ilvl w:val="0"/>
          <w:numId w:val="7"/>
        </w:numPr>
        <w:overflowPunct/>
        <w:autoSpaceDE/>
        <w:autoSpaceDN/>
        <w:adjustRightInd/>
        <w:textAlignment w:val="auto"/>
        <w:rPr>
          <w:rFonts w:cs="Arial"/>
          <w:szCs w:val="22"/>
        </w:rPr>
      </w:pPr>
      <w:r w:rsidRPr="0029404A">
        <w:rPr>
          <w:rFonts w:cs="Arial"/>
          <w:szCs w:val="22"/>
        </w:rPr>
        <w:t>Improving the process of procurement of the Project with a view to reducing the overall cost to MOD for the Project as originally contracted for and;</w:t>
      </w:r>
    </w:p>
    <w:p w:rsidRPr="0029404A" w:rsidR="007063D4" w:rsidP="007063D4" w:rsidRDefault="007063D4" w14:paraId="02546456" w14:textId="77777777">
      <w:pPr>
        <w:rPr>
          <w:rFonts w:cs="Arial"/>
          <w:szCs w:val="22"/>
        </w:rPr>
      </w:pPr>
    </w:p>
    <w:p w:rsidRPr="0029404A" w:rsidR="007063D4" w:rsidP="007063D4" w:rsidRDefault="007063D4" w14:paraId="02546457" w14:textId="77777777">
      <w:pPr>
        <w:numPr>
          <w:ilvl w:val="0"/>
          <w:numId w:val="7"/>
        </w:numPr>
        <w:overflowPunct/>
        <w:autoSpaceDE/>
        <w:autoSpaceDN/>
        <w:adjustRightInd/>
        <w:textAlignment w:val="auto"/>
        <w:rPr>
          <w:rFonts w:cs="Arial"/>
          <w:szCs w:val="22"/>
        </w:rPr>
      </w:pPr>
      <w:r w:rsidRPr="0029404A">
        <w:rPr>
          <w:rFonts w:cs="Arial"/>
          <w:szCs w:val="22"/>
        </w:rPr>
        <w:t>Agreeing how the benefits from such improvements will be shared between them (known as “Gainsharing”).</w:t>
      </w:r>
    </w:p>
    <w:p w:rsidRPr="004930A9" w:rsidR="007063D4" w:rsidP="007063D4" w:rsidRDefault="007063D4" w14:paraId="02546458" w14:textId="77777777">
      <w:pPr>
        <w:rPr>
          <w:rFonts w:cs="Arial"/>
          <w:szCs w:val="22"/>
        </w:rPr>
      </w:pPr>
    </w:p>
    <w:p w:rsidRPr="004930A9" w:rsidR="007063D4" w:rsidP="007063D4" w:rsidRDefault="007063D4" w14:paraId="02546459" w14:textId="77777777">
      <w:pPr>
        <w:rPr>
          <w:rFonts w:cs="Arial"/>
          <w:szCs w:val="22"/>
        </w:rPr>
      </w:pPr>
      <w:r w:rsidRPr="004930A9">
        <w:rPr>
          <w:rFonts w:cs="Arial"/>
          <w:szCs w:val="22"/>
        </w:rPr>
        <w:t>Hence, the Parties agree that:</w:t>
      </w:r>
    </w:p>
    <w:p w:rsidRPr="0029404A" w:rsidR="007063D4" w:rsidP="007063D4" w:rsidRDefault="007063D4" w14:paraId="0254645A" w14:textId="77777777">
      <w:pPr>
        <w:rPr>
          <w:rFonts w:cs="Arial"/>
          <w:szCs w:val="22"/>
        </w:rPr>
      </w:pPr>
    </w:p>
    <w:p w:rsidRPr="0029404A" w:rsidR="007063D4" w:rsidP="007063D4" w:rsidRDefault="007063D4" w14:paraId="0254645B" w14:textId="77777777">
      <w:pPr>
        <w:jc w:val="both"/>
        <w:rPr>
          <w:rFonts w:cs="Arial"/>
          <w:szCs w:val="22"/>
        </w:rPr>
      </w:pPr>
      <w:r w:rsidRPr="0029404A">
        <w:rPr>
          <w:rFonts w:cs="Arial"/>
          <w:szCs w:val="22"/>
        </w:rPr>
        <w:t>1.</w:t>
      </w:r>
      <w:r w:rsidRPr="0029404A">
        <w:rPr>
          <w:rFonts w:cs="Arial"/>
          <w:szCs w:val="22"/>
        </w:rPr>
        <w:tab/>
      </w:r>
      <w:r w:rsidRPr="0029404A">
        <w:rPr>
          <w:rFonts w:cs="Arial"/>
          <w:szCs w:val="22"/>
        </w:rPr>
        <w:t>This agreement aims to encourage both Parties to think radically and imaginatively about the way the Project is to be delivered, with a view to identify opportunities which would generate benefit to both of the Parties.</w:t>
      </w:r>
    </w:p>
    <w:p w:rsidRPr="0029404A" w:rsidR="007063D4" w:rsidP="007063D4" w:rsidRDefault="007063D4" w14:paraId="0254645C" w14:textId="77777777">
      <w:pPr>
        <w:rPr>
          <w:rFonts w:cs="Arial"/>
          <w:szCs w:val="22"/>
        </w:rPr>
      </w:pPr>
    </w:p>
    <w:p w:rsidRPr="0029404A" w:rsidR="007063D4" w:rsidP="007063D4" w:rsidRDefault="007063D4" w14:paraId="0254645D" w14:textId="77777777">
      <w:pPr>
        <w:jc w:val="both"/>
        <w:rPr>
          <w:rFonts w:cs="Arial"/>
          <w:szCs w:val="22"/>
        </w:rPr>
      </w:pPr>
      <w:r w:rsidRPr="0029404A">
        <w:rPr>
          <w:rFonts w:cs="Arial"/>
          <w:szCs w:val="22"/>
        </w:rPr>
        <w:t>2.</w:t>
      </w:r>
      <w:r w:rsidRPr="0029404A">
        <w:rPr>
          <w:rFonts w:cs="Arial"/>
          <w:szCs w:val="22"/>
        </w:rPr>
        <w:tab/>
      </w:r>
      <w:r w:rsidRPr="0029404A">
        <w:rPr>
          <w:rFonts w:cs="Arial"/>
          <w:szCs w:val="22"/>
        </w:rPr>
        <w:t>A Gainshare opportunity can be initiated by either Party.  Once conceived the initiating Party shall produce a draft proposal (including detail of expected benefit and rough order of magnitude costs) for consideration at the next management meeting where both Parties can assess the Opportunity.</w:t>
      </w:r>
    </w:p>
    <w:p w:rsidRPr="0029404A" w:rsidR="007063D4" w:rsidP="007063D4" w:rsidRDefault="007063D4" w14:paraId="0254645E" w14:textId="77777777">
      <w:pPr>
        <w:tabs>
          <w:tab w:val="num" w:pos="1134"/>
        </w:tabs>
        <w:ind w:left="1134"/>
        <w:jc w:val="both"/>
        <w:rPr>
          <w:rFonts w:cs="Arial"/>
          <w:szCs w:val="22"/>
        </w:rPr>
      </w:pPr>
    </w:p>
    <w:p w:rsidRPr="0029404A" w:rsidR="007063D4" w:rsidP="6F569B90" w:rsidRDefault="007063D4" w14:paraId="0254645F" w14:textId="3EAFC01A">
      <w:pPr>
        <w:jc w:val="both"/>
        <w:rPr>
          <w:rFonts w:cs="Arial"/>
        </w:rPr>
      </w:pPr>
      <w:r w:rsidRPr="6F569B90">
        <w:rPr>
          <w:rFonts w:cs="Arial"/>
        </w:rPr>
        <w:t>3</w:t>
      </w:r>
      <w:r w:rsidRPr="6F569B90">
        <w:rPr>
          <w:rFonts w:cs="Arial"/>
        </w:rPr>
        <w:t xml:space="preserve">. </w:t>
      </w:r>
      <w:r w:rsidRPr="0029404A">
        <w:rPr>
          <w:rFonts w:cs="Arial"/>
          <w:szCs w:val="22"/>
        </w:rPr>
        <w:tab/>
      </w:r>
      <w:r w:rsidRPr="6F569B90">
        <w:rPr>
          <w:rFonts w:cs="Arial"/>
        </w:rPr>
        <w:t>If it is agreed that the idea should be progressed, both Parties shall commit resources as are required to develop the idea into a viable proposal with full technical, programme and commercial details including benefit-sharing proposal.  DEFCON 502 and DEFCON 503 shall be the mechanism by which the proposals are prepared and implemented.</w:t>
      </w:r>
    </w:p>
    <w:p w:rsidRPr="0029404A" w:rsidR="007063D4" w:rsidP="007063D4" w:rsidRDefault="007063D4" w14:paraId="02546460" w14:textId="77777777">
      <w:pPr>
        <w:tabs>
          <w:tab w:val="num" w:pos="1134"/>
        </w:tabs>
        <w:ind w:left="1134"/>
        <w:jc w:val="both"/>
        <w:rPr>
          <w:rFonts w:cs="Arial"/>
          <w:szCs w:val="22"/>
        </w:rPr>
      </w:pPr>
    </w:p>
    <w:p w:rsidRPr="0029404A" w:rsidR="007063D4" w:rsidP="007063D4" w:rsidRDefault="007063D4" w14:paraId="02546461" w14:textId="77777777">
      <w:pPr>
        <w:jc w:val="both"/>
        <w:rPr>
          <w:rFonts w:cs="Arial"/>
          <w:szCs w:val="22"/>
        </w:rPr>
      </w:pPr>
      <w:r w:rsidRPr="0029404A">
        <w:rPr>
          <w:rFonts w:cs="Arial"/>
          <w:szCs w:val="22"/>
        </w:rPr>
        <w:t>4.</w:t>
      </w:r>
      <w:r w:rsidRPr="0029404A">
        <w:rPr>
          <w:rFonts w:cs="Arial"/>
          <w:szCs w:val="22"/>
        </w:rPr>
        <w:tab/>
      </w:r>
      <w:r w:rsidRPr="0029404A">
        <w:rPr>
          <w:rFonts w:cs="Arial"/>
          <w:szCs w:val="22"/>
        </w:rPr>
        <w:t>The Parties agree in principle that reductions in cost to the MOD of the Project or other benefits resulting from the implementation of the provisions of this Agreement will be shared on a ratio which would require agreement on a case by case basis.</w:t>
      </w:r>
    </w:p>
    <w:p w:rsidRPr="0029404A" w:rsidR="007063D4" w:rsidP="007063D4" w:rsidRDefault="007063D4" w14:paraId="02546462" w14:textId="77777777">
      <w:pPr>
        <w:tabs>
          <w:tab w:val="num" w:pos="1134"/>
        </w:tabs>
        <w:ind w:left="1134"/>
        <w:rPr>
          <w:rFonts w:cs="Arial"/>
          <w:szCs w:val="22"/>
        </w:rPr>
      </w:pPr>
    </w:p>
    <w:p w:rsidRPr="0029404A" w:rsidR="007063D4" w:rsidP="007063D4" w:rsidRDefault="007063D4" w14:paraId="02546463" w14:textId="77777777">
      <w:pPr>
        <w:jc w:val="both"/>
        <w:rPr>
          <w:rFonts w:cs="Arial"/>
          <w:szCs w:val="22"/>
        </w:rPr>
      </w:pPr>
      <w:r w:rsidRPr="0029404A">
        <w:rPr>
          <w:rFonts w:cs="Arial"/>
          <w:szCs w:val="22"/>
        </w:rPr>
        <w:t>5.</w:t>
      </w:r>
      <w:r w:rsidRPr="0029404A">
        <w:rPr>
          <w:rFonts w:cs="Arial"/>
          <w:szCs w:val="22"/>
        </w:rPr>
        <w:tab/>
      </w:r>
      <w:r w:rsidRPr="0029404A">
        <w:rPr>
          <w:rFonts w:cs="Arial"/>
          <w:szCs w:val="22"/>
        </w:rPr>
        <w:t>If the value of a saving or the ratio by which they and the additional cost will be shared cannot be agreed by negotiations then the scope and the price of the Contract will remain unchanged for with regard to that proposed change.</w:t>
      </w:r>
    </w:p>
    <w:p w:rsidR="007063D4" w:rsidP="007063D4" w:rsidRDefault="007063D4" w14:paraId="02546464" w14:textId="77777777">
      <w:pPr>
        <w:jc w:val="both"/>
        <w:rPr>
          <w:rFonts w:cs="Arial"/>
          <w:szCs w:val="22"/>
        </w:rPr>
      </w:pPr>
    </w:p>
    <w:p w:rsidRPr="0029404A" w:rsidR="007063D4" w:rsidP="007063D4" w:rsidRDefault="007063D4" w14:paraId="02546465" w14:textId="77777777">
      <w:pPr>
        <w:jc w:val="both"/>
        <w:rPr>
          <w:rFonts w:cs="Arial"/>
          <w:szCs w:val="22"/>
        </w:rPr>
      </w:pPr>
      <w:r w:rsidRPr="0029404A">
        <w:rPr>
          <w:rFonts w:cs="Arial"/>
          <w:szCs w:val="22"/>
        </w:rPr>
        <w:t>6.</w:t>
      </w:r>
      <w:r w:rsidRPr="0029404A">
        <w:rPr>
          <w:rFonts w:cs="Arial"/>
          <w:szCs w:val="22"/>
        </w:rPr>
        <w:tab/>
      </w:r>
      <w:r w:rsidRPr="0029404A">
        <w:rPr>
          <w:rFonts w:cs="Arial"/>
          <w:szCs w:val="22"/>
        </w:rPr>
        <w:t>The Parties will also agree any changes to the terms of the Contract necessary for the implementation of a proposal, e.g. changes to the Schedule of Requirements and payment terms.  In reaching such an agreement the Parties will have as their objectives the minimising of any interference to the Schedule originally agreed for the performance of the Contract and any adverse effect on the Contractor’s cash flow that originally provided under the Contract.</w:t>
      </w:r>
    </w:p>
    <w:p w:rsidR="007063D4" w:rsidP="007063D4" w:rsidRDefault="007063D4" w14:paraId="02546466" w14:textId="77777777">
      <w:pPr>
        <w:tabs>
          <w:tab w:val="num" w:pos="1134"/>
        </w:tabs>
        <w:ind w:left="1134"/>
        <w:jc w:val="both"/>
      </w:pPr>
    </w:p>
    <w:p w:rsidRPr="0029404A" w:rsidR="007063D4" w:rsidP="007063D4" w:rsidRDefault="007063D4" w14:paraId="02546467" w14:textId="77777777">
      <w:pPr>
        <w:jc w:val="both"/>
        <w:rPr>
          <w:szCs w:val="22"/>
        </w:rPr>
      </w:pPr>
      <w:r>
        <w:t>7.</w:t>
      </w:r>
      <w:r>
        <w:tab/>
      </w:r>
      <w:r w:rsidRPr="0029404A">
        <w:rPr>
          <w:szCs w:val="22"/>
        </w:rPr>
        <w:t>Following agreement of the matters described at paragraphs 3 to 5 above, the Contract shall be amended so as to give effect to this agreement.</w:t>
      </w:r>
    </w:p>
    <w:p w:rsidRPr="0029404A" w:rsidR="007063D4" w:rsidP="007063D4" w:rsidRDefault="007063D4" w14:paraId="02546468" w14:textId="77777777">
      <w:pPr>
        <w:tabs>
          <w:tab w:val="num" w:pos="1134"/>
        </w:tabs>
        <w:ind w:left="1134"/>
        <w:jc w:val="both"/>
        <w:rPr>
          <w:szCs w:val="22"/>
        </w:rPr>
      </w:pPr>
    </w:p>
    <w:p w:rsidRPr="0029404A" w:rsidR="007063D4" w:rsidP="007063D4" w:rsidRDefault="007063D4" w14:paraId="02546469" w14:textId="77777777">
      <w:pPr>
        <w:jc w:val="both"/>
        <w:rPr>
          <w:szCs w:val="22"/>
        </w:rPr>
      </w:pPr>
      <w:r w:rsidRPr="0029404A">
        <w:rPr>
          <w:szCs w:val="22"/>
        </w:rPr>
        <w:lastRenderedPageBreak/>
        <w:t>8.</w:t>
      </w:r>
      <w:r w:rsidRPr="0029404A">
        <w:rPr>
          <w:szCs w:val="22"/>
        </w:rPr>
        <w:tab/>
      </w:r>
      <w:r w:rsidRPr="0029404A">
        <w:rPr>
          <w:szCs w:val="22"/>
        </w:rPr>
        <w:t>The value of the savings will be agreed by negotiation between the Parties.  MOD price Conditions DEFCON 643, DEFCON 648A, DEFCON 650A, DEFCON 651A and DEFCON 652 will not apply to the proposals that are the subject of this Framework Agreement.  However, all proposals shall be open to assessment and the MOD, for the purposes for such assessment, shall be entitled to seek Pricing and Forecasting Group (PFG) review.</w:t>
      </w:r>
    </w:p>
    <w:p w:rsidRPr="0029404A" w:rsidR="007063D4" w:rsidP="007063D4" w:rsidRDefault="007063D4" w14:paraId="0254646A" w14:textId="77777777">
      <w:pPr>
        <w:tabs>
          <w:tab w:val="num" w:pos="1134"/>
        </w:tabs>
        <w:ind w:left="1134"/>
        <w:rPr>
          <w:szCs w:val="22"/>
        </w:rPr>
      </w:pPr>
    </w:p>
    <w:p w:rsidRPr="0029404A" w:rsidR="007063D4" w:rsidP="007063D4" w:rsidRDefault="007063D4" w14:paraId="0254646B" w14:textId="77777777">
      <w:pPr>
        <w:jc w:val="both"/>
        <w:rPr>
          <w:szCs w:val="22"/>
        </w:rPr>
      </w:pPr>
      <w:r w:rsidRPr="0029404A">
        <w:rPr>
          <w:szCs w:val="22"/>
        </w:rPr>
        <w:t>9.</w:t>
      </w:r>
      <w:r w:rsidRPr="0029404A">
        <w:rPr>
          <w:szCs w:val="22"/>
        </w:rPr>
        <w:tab/>
      </w:r>
      <w:r w:rsidRPr="0029404A">
        <w:rPr>
          <w:szCs w:val="22"/>
        </w:rPr>
        <w:t>All proposals presented by either Party will be given proper consideration by the other Party and any further changes may be dealt with in the manner detailed above.</w:t>
      </w:r>
    </w:p>
    <w:p w:rsidRPr="0029404A" w:rsidR="007063D4" w:rsidP="007063D4" w:rsidRDefault="007063D4" w14:paraId="0254646C" w14:textId="77777777">
      <w:pPr>
        <w:tabs>
          <w:tab w:val="num" w:pos="567"/>
          <w:tab w:val="num" w:pos="1134"/>
        </w:tabs>
        <w:ind w:left="1134"/>
        <w:jc w:val="both"/>
        <w:rPr>
          <w:szCs w:val="22"/>
        </w:rPr>
      </w:pPr>
    </w:p>
    <w:p w:rsidRPr="0029404A" w:rsidR="007063D4" w:rsidP="007063D4" w:rsidRDefault="007063D4" w14:paraId="0254646D" w14:textId="77777777">
      <w:pPr>
        <w:jc w:val="both"/>
        <w:rPr>
          <w:szCs w:val="22"/>
        </w:rPr>
      </w:pPr>
      <w:r w:rsidRPr="0029404A">
        <w:rPr>
          <w:szCs w:val="22"/>
        </w:rPr>
        <w:t>10.</w:t>
      </w:r>
      <w:r w:rsidRPr="0029404A">
        <w:rPr>
          <w:szCs w:val="22"/>
        </w:rPr>
        <w:tab/>
      </w:r>
      <w:r w:rsidRPr="0029404A">
        <w:rPr>
          <w:szCs w:val="22"/>
        </w:rPr>
        <w:t>The following potential Gainshare opportunities have been identified at the commencement of this Contract and both Parties agree to investigate them without delay after the commencement of the Contract:</w:t>
      </w:r>
    </w:p>
    <w:p w:rsidRPr="0029404A" w:rsidR="007063D4" w:rsidP="007063D4" w:rsidRDefault="007063D4" w14:paraId="0254646E" w14:textId="77777777">
      <w:pPr>
        <w:tabs>
          <w:tab w:val="num" w:pos="567"/>
        </w:tabs>
        <w:rPr>
          <w:szCs w:val="22"/>
        </w:rPr>
      </w:pPr>
    </w:p>
    <w:p w:rsidRPr="0029404A" w:rsidR="007063D4" w:rsidP="007063D4" w:rsidRDefault="007063D4" w14:paraId="0254646F" w14:textId="77777777">
      <w:pPr>
        <w:tabs>
          <w:tab w:val="num" w:pos="567"/>
        </w:tabs>
        <w:rPr>
          <w:szCs w:val="22"/>
        </w:rPr>
      </w:pPr>
    </w:p>
    <w:p w:rsidRPr="0029404A" w:rsidR="007063D4" w:rsidP="007063D4" w:rsidRDefault="007063D4" w14:paraId="02546470" w14:textId="77777777">
      <w:pPr>
        <w:tabs>
          <w:tab w:val="num" w:pos="567"/>
        </w:tabs>
        <w:rPr>
          <w:szCs w:val="22"/>
        </w:rPr>
      </w:pPr>
    </w:p>
    <w:p w:rsidRPr="0029404A" w:rsidR="007063D4" w:rsidP="007063D4" w:rsidRDefault="007063D4" w14:paraId="02546471" w14:textId="77777777">
      <w:pPr>
        <w:pStyle w:val="Header"/>
        <w:tabs>
          <w:tab w:val="num" w:pos="567"/>
        </w:tabs>
        <w:rPr>
          <w:szCs w:val="22"/>
        </w:rPr>
      </w:pPr>
    </w:p>
    <w:p w:rsidRPr="0029404A" w:rsidR="007063D4" w:rsidP="007063D4" w:rsidRDefault="007063D4" w14:paraId="02546472" w14:textId="77777777">
      <w:pPr>
        <w:jc w:val="both"/>
        <w:rPr>
          <w:szCs w:val="22"/>
        </w:rPr>
      </w:pPr>
    </w:p>
    <w:p w:rsidRPr="0029404A" w:rsidR="007063D4" w:rsidP="007063D4" w:rsidRDefault="007063D4" w14:paraId="02546473" w14:textId="0A6EFA42">
      <w:pPr>
        <w:rPr>
          <w:szCs w:val="22"/>
        </w:rPr>
      </w:pPr>
      <w:r w:rsidRPr="6F569B90">
        <w:rPr/>
        <w:t xml:space="preserve"> Signed for and on behalf of</w:t>
      </w:r>
      <w:r w:rsidRPr="6F569B90">
        <w:rPr/>
        <w:t xml:space="preserve">                                                 </w:t>
      </w:r>
      <w:r w:rsidRPr="0029404A">
        <w:rPr>
          <w:szCs w:val="22"/>
        </w:rPr>
        <w:tab/>
      </w:r>
      <w:r w:rsidRPr="0029404A">
        <w:rPr>
          <w:szCs w:val="22"/>
        </w:rPr>
        <w:tab/>
      </w:r>
      <w:r w:rsidRPr="0029404A">
        <w:rPr>
          <w:szCs w:val="22"/>
        </w:rPr>
        <w:tab/>
      </w:r>
      <w:r w:rsidRPr="0029404A">
        <w:rPr>
          <w:szCs w:val="22"/>
        </w:rPr>
        <w:tab/>
      </w:r>
      <w:r w:rsidRPr="6F569B90">
        <w:rPr/>
        <w:t>Signed for and on behalf of</w:t>
      </w:r>
      <w:r w:rsidRPr="0029404A">
        <w:rPr>
          <w:szCs w:val="22"/>
        </w:rPr>
        <w:tab/>
      </w:r>
    </w:p>
    <w:p w:rsidRPr="0029404A" w:rsidR="007063D4" w:rsidP="007063D4" w:rsidRDefault="007063D4" w14:paraId="02546474" w14:textId="77777777">
      <w:pPr>
        <w:rPr>
          <w:szCs w:val="22"/>
        </w:rPr>
      </w:pPr>
    </w:p>
    <w:p w:rsidRPr="0029404A" w:rsidR="007063D4" w:rsidP="007063D4" w:rsidRDefault="007063D4" w14:paraId="02546475" w14:textId="77777777">
      <w:pPr>
        <w:rPr>
          <w:szCs w:val="22"/>
        </w:rPr>
      </w:pPr>
    </w:p>
    <w:p w:rsidRPr="0029404A" w:rsidR="007063D4" w:rsidP="007063D4" w:rsidRDefault="007063D4" w14:paraId="02546476" w14:textId="77777777">
      <w:pPr>
        <w:rPr>
          <w:szCs w:val="22"/>
        </w:rPr>
      </w:pPr>
    </w:p>
    <w:p w:rsidRPr="0029404A" w:rsidR="007063D4" w:rsidP="007063D4" w:rsidRDefault="005B641B" w14:paraId="02546477" w14:textId="77777777">
      <w:pPr>
        <w:rPr>
          <w:szCs w:val="22"/>
        </w:rPr>
      </w:pPr>
      <w:r>
        <w:rPr>
          <w:szCs w:val="22"/>
        </w:rPr>
        <w:tab/>
      </w:r>
      <w:r>
        <w:rPr>
          <w:szCs w:val="22"/>
        </w:rPr>
        <w:tab/>
      </w:r>
      <w:r>
        <w:rPr>
          <w:szCs w:val="22"/>
        </w:rPr>
        <w:tab/>
      </w:r>
      <w:r>
        <w:rPr>
          <w:szCs w:val="22"/>
        </w:rPr>
        <w:tab/>
      </w:r>
      <w:r>
        <w:rPr>
          <w:szCs w:val="22"/>
        </w:rPr>
        <w:tab/>
      </w:r>
      <w:r w:rsidRPr="0029404A" w:rsidR="007063D4">
        <w:rPr>
          <w:szCs w:val="22"/>
        </w:rPr>
        <w:tab/>
      </w:r>
      <w:r w:rsidRPr="0029404A" w:rsidR="007063D4">
        <w:rPr>
          <w:szCs w:val="22"/>
        </w:rPr>
        <w:tab/>
      </w:r>
      <w:r w:rsidRPr="0029404A" w:rsidR="007063D4">
        <w:rPr>
          <w:szCs w:val="22"/>
        </w:rPr>
        <w:tab/>
      </w:r>
      <w:r w:rsidRPr="0029404A" w:rsidR="007063D4">
        <w:rPr>
          <w:szCs w:val="22"/>
        </w:rPr>
        <w:tab/>
      </w:r>
      <w:r w:rsidRPr="0029404A" w:rsidR="007063D4">
        <w:rPr>
          <w:szCs w:val="22"/>
        </w:rPr>
        <w:t>………….. Limited</w:t>
      </w:r>
    </w:p>
    <w:p w:rsidRPr="0029404A" w:rsidR="007063D4" w:rsidP="007063D4" w:rsidRDefault="007063D4" w14:paraId="02546478" w14:textId="77777777">
      <w:pPr>
        <w:rPr>
          <w:szCs w:val="22"/>
        </w:rPr>
      </w:pPr>
      <w:r w:rsidRPr="0029404A">
        <w:rPr>
          <w:szCs w:val="22"/>
        </w:rPr>
        <w:t xml:space="preserve">Defence </w:t>
      </w:r>
      <w:r>
        <w:rPr>
          <w:szCs w:val="22"/>
        </w:rPr>
        <w:t>Equipment &amp; Support</w:t>
      </w:r>
    </w:p>
    <w:p w:rsidRPr="0029404A" w:rsidR="007063D4" w:rsidP="007063D4" w:rsidRDefault="007063D4" w14:paraId="02546479" w14:textId="77777777">
      <w:pPr>
        <w:rPr>
          <w:szCs w:val="22"/>
        </w:rPr>
      </w:pPr>
    </w:p>
    <w:p w:rsidRPr="0029404A" w:rsidR="007063D4" w:rsidP="007063D4" w:rsidRDefault="007063D4" w14:paraId="0254647A" w14:textId="77777777">
      <w:pPr>
        <w:rPr>
          <w:szCs w:val="22"/>
        </w:rPr>
      </w:pPr>
    </w:p>
    <w:p w:rsidRPr="0029404A" w:rsidR="007063D4" w:rsidP="007063D4" w:rsidRDefault="007063D4" w14:paraId="0254647B" w14:textId="77777777">
      <w:pPr>
        <w:rPr>
          <w:szCs w:val="22"/>
        </w:rPr>
      </w:pPr>
    </w:p>
    <w:p w:rsidRPr="0029404A" w:rsidR="007063D4" w:rsidP="007063D4" w:rsidRDefault="005B641B" w14:paraId="0254647C" w14:textId="77777777">
      <w:pPr>
        <w:rPr>
          <w:szCs w:val="22"/>
        </w:rPr>
      </w:pPr>
      <w:r>
        <w:rPr>
          <w:szCs w:val="22"/>
        </w:rPr>
        <w:tab/>
      </w:r>
      <w:r>
        <w:rPr>
          <w:szCs w:val="22"/>
        </w:rPr>
        <w:tab/>
      </w:r>
      <w:r>
        <w:rPr>
          <w:szCs w:val="22"/>
        </w:rPr>
        <w:tab/>
      </w:r>
      <w:r>
        <w:rPr>
          <w:szCs w:val="22"/>
        </w:rPr>
        <w:tab/>
      </w:r>
      <w:r>
        <w:rPr>
          <w:szCs w:val="22"/>
        </w:rPr>
        <w:tab/>
      </w:r>
      <w:r w:rsidRPr="0029404A" w:rsidR="007063D4">
        <w:rPr>
          <w:szCs w:val="22"/>
        </w:rPr>
        <w:tab/>
      </w:r>
      <w:r w:rsidRPr="0029404A" w:rsidR="007063D4">
        <w:rPr>
          <w:szCs w:val="22"/>
        </w:rPr>
        <w:tab/>
      </w:r>
      <w:r w:rsidRPr="0029404A" w:rsidR="007063D4">
        <w:rPr>
          <w:szCs w:val="22"/>
        </w:rPr>
        <w:tab/>
      </w:r>
      <w:r w:rsidRPr="0029404A" w:rsidR="007063D4">
        <w:rPr>
          <w:szCs w:val="22"/>
        </w:rPr>
        <w:tab/>
      </w:r>
      <w:r w:rsidRPr="0029404A" w:rsidR="007063D4">
        <w:rPr>
          <w:szCs w:val="22"/>
        </w:rPr>
        <w:t>………….. Limited</w:t>
      </w:r>
    </w:p>
    <w:p w:rsidRPr="0029404A" w:rsidR="007063D4" w:rsidP="007063D4" w:rsidRDefault="007063D4" w14:paraId="0254647D" w14:textId="77777777">
      <w:pPr>
        <w:rPr>
          <w:szCs w:val="22"/>
        </w:rPr>
      </w:pPr>
      <w:r w:rsidRPr="0029404A">
        <w:rPr>
          <w:szCs w:val="22"/>
        </w:rPr>
        <w:t xml:space="preserve">Defence </w:t>
      </w:r>
      <w:r>
        <w:rPr>
          <w:szCs w:val="22"/>
        </w:rPr>
        <w:t>Equipment &amp; Support</w:t>
      </w:r>
    </w:p>
    <w:p w:rsidR="007063D4" w:rsidP="007063D4" w:rsidRDefault="007063D4" w14:paraId="0254647E" w14:textId="77777777"/>
    <w:p w:rsidRPr="0032105C" w:rsidR="001816EC" w:rsidP="007063D4" w:rsidRDefault="001816EC" w14:paraId="0254647F" w14:textId="77777777"/>
    <w:sectPr w:rsidRPr="0032105C" w:rsidR="001816EC" w:rsidSect="007F00F7">
      <w:headerReference w:type="even" r:id="rId7"/>
      <w:footerReference w:type="default" r:id="rId8"/>
      <w:headerReference w:type="first" r:id="rId9"/>
      <w:endnotePr>
        <w:numFmt w:val="decimal"/>
      </w:endnotePr>
      <w:pgSz w:w="11907" w:h="16840" w:orient="portrait"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0E" w:rsidRDefault="00592E0E" w14:paraId="02546482" w14:textId="77777777"/>
  </w:endnote>
  <w:endnote w:type="continuationSeparator" w:id="0">
    <w:p w:rsidR="00592E0E" w:rsidRDefault="00592E0E" w14:paraId="025464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42E" w:rsidP="00634C13" w:rsidRDefault="0097142E" w14:paraId="02546485" w14:textId="49D1ABDB">
    <w:pPr>
      <w:pStyle w:val="Footer"/>
      <w:jc w:val="center"/>
    </w:pPr>
    <w:r>
      <w:t xml:space="preserve">Schedule 15 – Page </w:t>
    </w:r>
    <w:r>
      <w:rPr>
        <w:rStyle w:val="PageNumber"/>
      </w:rPr>
      <w:fldChar w:fldCharType="begin"/>
    </w:r>
    <w:r>
      <w:rPr>
        <w:rStyle w:val="PageNumber"/>
      </w:rPr>
      <w:instrText xml:space="preserve"> PAGE </w:instrText>
    </w:r>
    <w:r>
      <w:rPr>
        <w:rStyle w:val="PageNumber"/>
      </w:rPr>
      <w:fldChar w:fldCharType="separate"/>
    </w:r>
    <w:r w:rsidR="000A1A0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1A0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0E" w:rsidRDefault="00592E0E" w14:paraId="02546480" w14:textId="77777777">
      <w:r>
        <w:continuationSeparator/>
      </w:r>
    </w:p>
  </w:footnote>
  <w:footnote w:type="continuationSeparator" w:id="0">
    <w:p w:rsidR="00592E0E" w:rsidRDefault="00592E0E" w14:paraId="025464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42E" w:rsidRDefault="000A1A0F" w14:paraId="02546484" w14:textId="77777777">
    <w:pPr>
      <w:pStyle w:val="Header"/>
    </w:pPr>
    <w:r>
      <w:rPr>
        <w:noProof/>
      </w:rPr>
      <w:pict w14:anchorId="02546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85.35pt;height:194.1pt;rotation:315;z-index:-251658240;mso-position-horizontal:center;mso-position-horizontal-relative:margin;mso-position-vertical:center;mso-position-vertical-relative:margin" o:spid="_x0000_s2050"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42E" w:rsidRDefault="000A1A0F" w14:paraId="02546486" w14:textId="77777777">
    <w:pPr>
      <w:pStyle w:val="Header"/>
    </w:pPr>
    <w:r>
      <w:rPr>
        <w:noProof/>
      </w:rPr>
      <w:pict w14:anchorId="02546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85.35pt;height:194.1pt;rotation:315;z-index:-251659264;mso-position-horizontal:center;mso-position-horizontal-relative:margin;mso-position-vertical:center;mso-position-vertical-relative:margin" o:spid="_x0000_s2049"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8CA"/>
    <w:multiLevelType w:val="hybridMultilevel"/>
    <w:tmpl w:val="8B803F9C"/>
    <w:lvl w:ilvl="0" w:tplc="CFFA23D6">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1816EC"/>
    <w:rsid w:val="00046B25"/>
    <w:rsid w:val="000A1A0F"/>
    <w:rsid w:val="000E7767"/>
    <w:rsid w:val="001730F6"/>
    <w:rsid w:val="00175A02"/>
    <w:rsid w:val="001816EC"/>
    <w:rsid w:val="001A457C"/>
    <w:rsid w:val="001D7CF0"/>
    <w:rsid w:val="002F1875"/>
    <w:rsid w:val="003024CD"/>
    <w:rsid w:val="003142CC"/>
    <w:rsid w:val="00320A4C"/>
    <w:rsid w:val="0032105C"/>
    <w:rsid w:val="003B0C98"/>
    <w:rsid w:val="003F0C94"/>
    <w:rsid w:val="00402F29"/>
    <w:rsid w:val="00420386"/>
    <w:rsid w:val="004B78F6"/>
    <w:rsid w:val="004E494A"/>
    <w:rsid w:val="00555C6E"/>
    <w:rsid w:val="00592E0E"/>
    <w:rsid w:val="00595ADA"/>
    <w:rsid w:val="005B641B"/>
    <w:rsid w:val="00634C13"/>
    <w:rsid w:val="006475AD"/>
    <w:rsid w:val="0065530D"/>
    <w:rsid w:val="00657346"/>
    <w:rsid w:val="006945B7"/>
    <w:rsid w:val="007063D4"/>
    <w:rsid w:val="00714F7D"/>
    <w:rsid w:val="00716B16"/>
    <w:rsid w:val="007438C5"/>
    <w:rsid w:val="007867F9"/>
    <w:rsid w:val="007F00F7"/>
    <w:rsid w:val="007F246D"/>
    <w:rsid w:val="008A68F0"/>
    <w:rsid w:val="00966D10"/>
    <w:rsid w:val="0097142E"/>
    <w:rsid w:val="00986D04"/>
    <w:rsid w:val="00993FB4"/>
    <w:rsid w:val="009C331A"/>
    <w:rsid w:val="009D228F"/>
    <w:rsid w:val="00A04EDC"/>
    <w:rsid w:val="00AB2FCE"/>
    <w:rsid w:val="00AE1654"/>
    <w:rsid w:val="00B177DA"/>
    <w:rsid w:val="00BB1473"/>
    <w:rsid w:val="00C47E20"/>
    <w:rsid w:val="00C85344"/>
    <w:rsid w:val="00D32979"/>
    <w:rsid w:val="00E6537D"/>
    <w:rsid w:val="00E83EEB"/>
    <w:rsid w:val="00EC6D5A"/>
    <w:rsid w:val="00EF60C7"/>
    <w:rsid w:val="00F36C83"/>
    <w:rsid w:val="6F569B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54643D"/>
  <w15:chartTrackingRefBased/>
  <w15:docId w15:val="{A21EEF24-CD2B-4EA7-B3BA-A300A5B224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dditionalMarking" w:customStyle="1">
    <w:name w:val="Additional Marking"/>
    <w:rsid w:val="001D7CF0"/>
    <w:rPr>
      <w:b/>
      <w:caps/>
    </w:rPr>
  </w:style>
  <w:style w:type="paragraph" w:styleId="AddressBlock" w:customStyle="1">
    <w:name w:val="Address Block"/>
    <w:basedOn w:val="Normal"/>
    <w:rsid w:val="001D7CF0"/>
    <w:rPr>
      <w:sz w:val="20"/>
    </w:rPr>
  </w:style>
  <w:style w:type="paragraph" w:styleId="DWListAlphabetical" w:customStyle="1">
    <w:name w:val="DW List Alphabetical"/>
    <w:basedOn w:val="DWNormal"/>
    <w:rsid w:val="001D7CF0"/>
    <w:pPr>
      <w:numPr>
        <w:numId w:val="4"/>
      </w:numPr>
      <w:tabs>
        <w:tab w:val="clear" w:pos="567"/>
      </w:tabs>
    </w:pPr>
  </w:style>
  <w:style w:type="paragraph" w:styleId="DWNormal" w:customStyle="1">
    <w:name w:val="DW Normal"/>
    <w:basedOn w:val="Normal"/>
    <w:rsid w:val="001D7CF0"/>
  </w:style>
  <w:style w:type="paragraph" w:styleId="DWAnnex" w:customStyle="1">
    <w:name w:val="DW Annex"/>
    <w:basedOn w:val="DWNormal"/>
    <w:rsid w:val="001D7CF0"/>
    <w:rPr>
      <w:b/>
      <w:caps/>
    </w:rPr>
  </w:style>
  <w:style w:type="paragraph" w:styleId="Appointment" w:customStyle="1">
    <w:name w:val="Appointment"/>
    <w:basedOn w:val="DWNormal"/>
    <w:next w:val="DWNormal"/>
    <w:rsid w:val="001D7CF0"/>
    <w:pPr>
      <w:spacing w:before="120"/>
    </w:pPr>
    <w:rPr>
      <w:i/>
    </w:rPr>
  </w:style>
  <w:style w:type="paragraph" w:styleId="Compliments" w:customStyle="1">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styleId="DWFlag" w:customStyle="1">
    <w:name w:val="DW Flag"/>
    <w:rsid w:val="001D7CF0"/>
    <w:rPr>
      <w:b/>
    </w:rPr>
  </w:style>
  <w:style w:type="paragraph" w:styleId="Footer">
    <w:name w:val="footer"/>
    <w:basedOn w:val="DWNormal"/>
    <w:rsid w:val="001D7CF0"/>
    <w:pPr>
      <w:spacing w:before="220"/>
    </w:pPr>
  </w:style>
  <w:style w:type="character" w:styleId="FooterCaption" w:customStyle="1">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styleId="DWHdgGroup" w:customStyle="1">
    <w:name w:val="DW Hdg Group"/>
    <w:basedOn w:val="DWNormal"/>
    <w:next w:val="DWPara"/>
    <w:rsid w:val="001D7CF0"/>
    <w:pPr>
      <w:keepNext/>
      <w:spacing w:after="220"/>
    </w:pPr>
    <w:rPr>
      <w:b/>
      <w:caps/>
    </w:rPr>
  </w:style>
  <w:style w:type="paragraph" w:styleId="DWPara" w:customStyle="1">
    <w:name w:val="DW Para"/>
    <w:basedOn w:val="DWNormal"/>
    <w:rsid w:val="001D7CF0"/>
    <w:pPr>
      <w:spacing w:after="220"/>
    </w:pPr>
  </w:style>
  <w:style w:type="paragraph" w:styleId="Header">
    <w:name w:val="header"/>
    <w:aliases w:val="h"/>
    <w:basedOn w:val="DWNormal"/>
    <w:rsid w:val="001D7CF0"/>
    <w:pPr>
      <w:spacing w:after="220"/>
    </w:pPr>
  </w:style>
  <w:style w:type="character" w:styleId="HeaderCaption" w:customStyle="1">
    <w:name w:val="Header Caption"/>
    <w:rsid w:val="001D7CF0"/>
    <w:rPr>
      <w:sz w:val="12"/>
    </w:rPr>
  </w:style>
  <w:style w:type="character" w:styleId="HiddenText" w:customStyle="1">
    <w:name w:val="Hidden Text"/>
    <w:rPr>
      <w:vanish/>
    </w:rPr>
  </w:style>
  <w:style w:type="paragraph" w:styleId="DWHdgMain" w:customStyle="1">
    <w:name w:val="DW Hdg Main"/>
    <w:basedOn w:val="DWHdgGroup"/>
    <w:next w:val="DWHdgGroup"/>
    <w:rsid w:val="001D7CF0"/>
    <w:pPr>
      <w:jc w:val="center"/>
    </w:pPr>
  </w:style>
  <w:style w:type="character" w:styleId="MarginalNote" w:customStyle="1">
    <w:name w:val="Marginal Note"/>
    <w:rsid w:val="001D7CF0"/>
    <w:rPr>
      <w:rFonts w:ascii="Arial" w:hAnsi="Arial"/>
      <w:sz w:val="16"/>
    </w:rPr>
  </w:style>
  <w:style w:type="paragraph" w:styleId="DWName" w:customStyle="1">
    <w:name w:val="DW Name"/>
    <w:basedOn w:val="DWNormal"/>
    <w:next w:val="Normal"/>
    <w:rsid w:val="001D7CF0"/>
    <w:pPr>
      <w:keepNext/>
      <w:spacing w:before="220"/>
    </w:pPr>
    <w:rPr>
      <w:caps/>
    </w:rPr>
  </w:style>
  <w:style w:type="paragraph" w:styleId="DWListNumerical" w:customStyle="1">
    <w:name w:val="DW List Numerical"/>
    <w:basedOn w:val="DWNormal"/>
    <w:rsid w:val="001D7CF0"/>
    <w:pPr>
      <w:numPr>
        <w:numId w:val="2"/>
      </w:numPr>
      <w:tabs>
        <w:tab w:val="clear" w:pos="567"/>
      </w:tabs>
    </w:pPr>
  </w:style>
  <w:style w:type="paragraph" w:styleId="Originator" w:customStyle="1">
    <w:name w:val="Originator"/>
    <w:basedOn w:val="DWNormal"/>
    <w:next w:val="Normal"/>
    <w:rsid w:val="001D7CF0"/>
    <w:pPr>
      <w:spacing w:after="220"/>
    </w:pPr>
  </w:style>
  <w:style w:type="character" w:styleId="DWHdgPara" w:customStyle="1">
    <w:name w:val="DW Hdg Para"/>
    <w:rsid w:val="001D7CF0"/>
    <w:rPr>
      <w:b/>
      <w:u w:val="none"/>
    </w:rPr>
  </w:style>
  <w:style w:type="character" w:styleId="PostTown" w:customStyle="1">
    <w:name w:val="Post Town"/>
    <w:rsid w:val="001D7CF0"/>
    <w:rPr>
      <w:smallCaps/>
    </w:rPr>
  </w:style>
  <w:style w:type="character" w:styleId="ProtectiveMarking" w:customStyle="1">
    <w:name w:val="Protective Marking"/>
    <w:rsid w:val="001D7CF0"/>
    <w:rPr>
      <w:b/>
      <w:caps/>
    </w:rPr>
  </w:style>
  <w:style w:type="character" w:styleId="ReferenceDate" w:customStyle="1">
    <w:name w:val="Reference/Date"/>
    <w:rsid w:val="001D7CF0"/>
    <w:rPr>
      <w:rFonts w:ascii="Arial" w:hAnsi="Arial"/>
      <w:spacing w:val="0"/>
      <w:sz w:val="20"/>
    </w:rPr>
  </w:style>
  <w:style w:type="character" w:styleId="DWHdgSubject" w:customStyle="1">
    <w:name w:val="DW Hdg Subject"/>
    <w:rsid w:val="001D7CF0"/>
    <w:rPr>
      <w:u w:val="single"/>
    </w:rPr>
  </w:style>
  <w:style w:type="paragraph" w:styleId="DWTable" w:customStyle="1">
    <w:name w:val="DW Table"/>
    <w:basedOn w:val="DWNormal"/>
    <w:rsid w:val="001D7CF0"/>
    <w:rPr>
      <w:sz w:val="20"/>
    </w:rPr>
  </w:style>
  <w:style w:type="paragraph" w:styleId="TableBox" w:customStyle="1">
    <w:name w:val="Table Box"/>
    <w:basedOn w:val="DWTable"/>
    <w:next w:val="DWPara"/>
    <w:rsid w:val="001D7CF0"/>
  </w:style>
  <w:style w:type="paragraph" w:styleId="DWTablePara" w:customStyle="1">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1D7CF0"/>
    <w:pPr>
      <w:spacing w:after="100"/>
      <w:jc w:val="center"/>
    </w:pPr>
  </w:style>
  <w:style w:type="paragraph" w:styleId="DWTableHdg" w:customStyle="1">
    <w:name w:val="DW Table Hdg"/>
    <w:basedOn w:val="DWTable"/>
    <w:next w:val="DWTableCol"/>
    <w:rsid w:val="001D7CF0"/>
    <w:pPr>
      <w:spacing w:before="100" w:after="100"/>
      <w:jc w:val="center"/>
    </w:pPr>
    <w:rPr>
      <w:b/>
    </w:rPr>
  </w:style>
  <w:style w:type="paragraph" w:styleId="TelFaxBlock" w:customStyle="1">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styleId="UnitTitle" w:customStyle="1">
    <w:name w:val="Unit Title"/>
    <w:basedOn w:val="AddressBlock"/>
    <w:next w:val="AddressBlock"/>
    <w:rsid w:val="001D7CF0"/>
    <w:rPr>
      <w:b/>
      <w:sz w:val="22"/>
    </w:rPr>
  </w:style>
  <w:style w:type="paragraph" w:styleId="DWSignature" w:customStyle="1">
    <w:name w:val="DW Signature"/>
    <w:basedOn w:val="DWNormal"/>
    <w:next w:val="DWName"/>
    <w:rsid w:val="001D7CF0"/>
    <w:pPr>
      <w:spacing w:before="160"/>
    </w:pPr>
  </w:style>
  <w:style w:type="character" w:styleId="PageNumber">
    <w:name w:val="page number"/>
    <w:basedOn w:val="DefaultParagraphFont"/>
    <w:rsid w:val="001D7CF0"/>
  </w:style>
  <w:style w:type="paragraph" w:styleId="DWParaNum1" w:customStyle="1">
    <w:name w:val="DW Para Num1"/>
    <w:basedOn w:val="DWPara"/>
    <w:rsid w:val="001D7CF0"/>
    <w:pPr>
      <w:numPr>
        <w:numId w:val="5"/>
      </w:numPr>
      <w:tabs>
        <w:tab w:val="clear" w:pos="567"/>
      </w:tabs>
    </w:pPr>
  </w:style>
  <w:style w:type="paragraph" w:styleId="DWParaNum2" w:customStyle="1">
    <w:name w:val="DW Para Num2"/>
    <w:basedOn w:val="DWPara"/>
    <w:rsid w:val="001D7CF0"/>
    <w:pPr>
      <w:numPr>
        <w:ilvl w:val="1"/>
        <w:numId w:val="5"/>
      </w:numPr>
      <w:tabs>
        <w:tab w:val="clear" w:pos="1134"/>
      </w:tabs>
    </w:pPr>
  </w:style>
  <w:style w:type="paragraph" w:styleId="DWParaNum3" w:customStyle="1">
    <w:name w:val="DW Para Num3"/>
    <w:basedOn w:val="DWPara"/>
    <w:rsid w:val="001D7CF0"/>
    <w:pPr>
      <w:numPr>
        <w:ilvl w:val="2"/>
        <w:numId w:val="5"/>
      </w:numPr>
      <w:tabs>
        <w:tab w:val="clear" w:pos="1701"/>
      </w:tabs>
    </w:pPr>
  </w:style>
  <w:style w:type="paragraph" w:styleId="DWParaNum4" w:customStyle="1">
    <w:name w:val="DW Para Num4"/>
    <w:basedOn w:val="DWPara"/>
    <w:rsid w:val="001D7CF0"/>
    <w:pPr>
      <w:numPr>
        <w:ilvl w:val="3"/>
        <w:numId w:val="5"/>
      </w:numPr>
      <w:tabs>
        <w:tab w:val="clear" w:pos="2268"/>
      </w:tabs>
    </w:pPr>
  </w:style>
  <w:style w:type="paragraph" w:styleId="DWParaNum5" w:customStyle="1">
    <w:name w:val="DW Para Num5"/>
    <w:basedOn w:val="DWPara"/>
    <w:rsid w:val="001D7CF0"/>
    <w:pPr>
      <w:numPr>
        <w:ilvl w:val="4"/>
        <w:numId w:val="5"/>
      </w:numPr>
      <w:tabs>
        <w:tab w:val="clear" w:pos="2835"/>
      </w:tabs>
    </w:pPr>
  </w:style>
  <w:style w:type="paragraph" w:styleId="DWParaPB1" w:customStyle="1">
    <w:name w:val="DW Para PB1"/>
    <w:basedOn w:val="DWPara"/>
    <w:rsid w:val="001D7CF0"/>
    <w:pPr>
      <w:numPr>
        <w:numId w:val="1"/>
      </w:numPr>
      <w:tabs>
        <w:tab w:val="clear" w:pos="567"/>
      </w:tabs>
    </w:pPr>
  </w:style>
  <w:style w:type="paragraph" w:styleId="DWParaPB2" w:customStyle="1">
    <w:name w:val="DW Para PB2"/>
    <w:basedOn w:val="DWPara"/>
    <w:rsid w:val="001D7CF0"/>
    <w:pPr>
      <w:numPr>
        <w:ilvl w:val="1"/>
        <w:numId w:val="1"/>
      </w:numPr>
      <w:tabs>
        <w:tab w:val="clear" w:pos="1134"/>
      </w:tabs>
    </w:pPr>
  </w:style>
  <w:style w:type="paragraph" w:styleId="DWParaPB3" w:customStyle="1">
    <w:name w:val="DW Para PB3"/>
    <w:basedOn w:val="DWPara"/>
    <w:rsid w:val="001D7CF0"/>
    <w:pPr>
      <w:numPr>
        <w:ilvl w:val="2"/>
        <w:numId w:val="1"/>
      </w:numPr>
      <w:tabs>
        <w:tab w:val="clear" w:pos="1701"/>
      </w:tabs>
    </w:pPr>
  </w:style>
  <w:style w:type="paragraph" w:styleId="DWParaPB4" w:customStyle="1">
    <w:name w:val="DW Para PB4"/>
    <w:basedOn w:val="DWPara"/>
    <w:rsid w:val="001D7CF0"/>
    <w:pPr>
      <w:numPr>
        <w:ilvl w:val="3"/>
        <w:numId w:val="1"/>
      </w:numPr>
      <w:tabs>
        <w:tab w:val="clear" w:pos="2268"/>
      </w:tabs>
    </w:pPr>
  </w:style>
  <w:style w:type="paragraph" w:styleId="DWParaPB5" w:customStyle="1">
    <w:name w:val="DW Para PB5"/>
    <w:basedOn w:val="DWPara"/>
    <w:rsid w:val="001D7CF0"/>
    <w:pPr>
      <w:numPr>
        <w:ilvl w:val="4"/>
        <w:numId w:val="1"/>
      </w:numPr>
      <w:tabs>
        <w:tab w:val="clear" w:pos="2835"/>
      </w:tabs>
    </w:pPr>
  </w:style>
  <w:style w:type="paragraph" w:styleId="DWTableParaNum1" w:customStyle="1">
    <w:name w:val="DW Table Para Num1"/>
    <w:basedOn w:val="DWTablePara"/>
    <w:rsid w:val="001D7CF0"/>
    <w:pPr>
      <w:numPr>
        <w:numId w:val="3"/>
      </w:numPr>
      <w:tabs>
        <w:tab w:val="left" w:pos="369"/>
      </w:tabs>
    </w:pPr>
  </w:style>
  <w:style w:type="paragraph" w:styleId="DWTableParaNum2" w:customStyle="1">
    <w:name w:val="DW Table Para Num2"/>
    <w:basedOn w:val="DWTablePara"/>
    <w:rsid w:val="001D7CF0"/>
    <w:pPr>
      <w:numPr>
        <w:ilvl w:val="1"/>
        <w:numId w:val="3"/>
      </w:numPr>
      <w:tabs>
        <w:tab w:val="left" w:pos="737"/>
      </w:tabs>
    </w:pPr>
  </w:style>
  <w:style w:type="paragraph" w:styleId="DWTableParaNum3" w:customStyle="1">
    <w:name w:val="DW Table Para Num3"/>
    <w:basedOn w:val="DWTablePara"/>
    <w:rsid w:val="001D7CF0"/>
    <w:pPr>
      <w:numPr>
        <w:ilvl w:val="2"/>
        <w:numId w:val="3"/>
      </w:numPr>
      <w:tabs>
        <w:tab w:val="left" w:pos="1106"/>
      </w:tabs>
    </w:pPr>
  </w:style>
  <w:style w:type="paragraph" w:styleId="DWTableParaNum4" w:customStyle="1">
    <w:name w:val="DW Table Para Num4"/>
    <w:basedOn w:val="DWTablePara"/>
    <w:rsid w:val="001D7CF0"/>
    <w:pPr>
      <w:numPr>
        <w:ilvl w:val="3"/>
        <w:numId w:val="3"/>
      </w:numPr>
      <w:tabs>
        <w:tab w:val="left" w:pos="1474"/>
      </w:tabs>
    </w:pPr>
  </w:style>
  <w:style w:type="paragraph" w:styleId="DWTableParaNum5" w:customStyle="1">
    <w:name w:val="DW Table Para Num5"/>
    <w:basedOn w:val="DWTablePara"/>
    <w:rsid w:val="001D7CF0"/>
    <w:pPr>
      <w:numPr>
        <w:ilvl w:val="4"/>
        <w:numId w:val="3"/>
      </w:numPr>
      <w:tabs>
        <w:tab w:val="left" w:pos="1843"/>
      </w:tabs>
    </w:pPr>
  </w:style>
  <w:style w:type="paragraph" w:styleId="DWParaBul1" w:customStyle="1">
    <w:name w:val="DW Para Bul1"/>
    <w:basedOn w:val="DWPara"/>
    <w:rsid w:val="001D7CF0"/>
    <w:pPr>
      <w:numPr>
        <w:numId w:val="6"/>
      </w:numPr>
      <w:tabs>
        <w:tab w:val="clear" w:pos="567"/>
      </w:tabs>
    </w:pPr>
  </w:style>
  <w:style w:type="paragraph" w:styleId="DWParaBul2" w:customStyle="1">
    <w:name w:val="DW Para Bul2"/>
    <w:basedOn w:val="DWPara"/>
    <w:rsid w:val="001D7CF0"/>
    <w:pPr>
      <w:numPr>
        <w:ilvl w:val="1"/>
        <w:numId w:val="6"/>
      </w:numPr>
      <w:tabs>
        <w:tab w:val="clear" w:pos="1134"/>
      </w:tabs>
    </w:pPr>
  </w:style>
  <w:style w:type="paragraph" w:styleId="DWParaBul3" w:customStyle="1">
    <w:name w:val="DW Para Bul3"/>
    <w:basedOn w:val="DWPara"/>
    <w:rsid w:val="001D7CF0"/>
    <w:pPr>
      <w:numPr>
        <w:ilvl w:val="2"/>
        <w:numId w:val="6"/>
      </w:numPr>
      <w:tabs>
        <w:tab w:val="clear" w:pos="1701"/>
      </w:tabs>
    </w:pPr>
  </w:style>
  <w:style w:type="paragraph" w:styleId="DWParaBul4" w:customStyle="1">
    <w:name w:val="DW Para Bul4"/>
    <w:basedOn w:val="DWPara"/>
    <w:rsid w:val="001D7CF0"/>
    <w:pPr>
      <w:numPr>
        <w:ilvl w:val="3"/>
        <w:numId w:val="6"/>
      </w:numPr>
      <w:tabs>
        <w:tab w:val="clear" w:pos="2268"/>
      </w:tabs>
    </w:pPr>
  </w:style>
  <w:style w:type="paragraph" w:styleId="DWParaBul5" w:customStyle="1">
    <w:name w:val="DW Para Bul5"/>
    <w:basedOn w:val="DWPara"/>
    <w:rsid w:val="001D7CF0"/>
    <w:pPr>
      <w:numPr>
        <w:ilvl w:val="4"/>
        <w:numId w:val="6"/>
      </w:numPr>
      <w:tabs>
        <w:tab w:val="clear" w:pos="2835"/>
      </w:tabs>
    </w:pPr>
  </w:style>
  <w:style w:type="paragraph" w:styleId="FooterFilename" w:customStyle="1">
    <w:name w:val="Footer Filename"/>
    <w:basedOn w:val="Footer"/>
    <w:rsid w:val="001D7CF0"/>
    <w:pPr>
      <w:tabs>
        <w:tab w:val="center" w:pos="4815"/>
        <w:tab w:val="right" w:pos="9645"/>
      </w:tabs>
      <w:spacing w:before="120"/>
    </w:pPr>
    <w:rPr>
      <w:sz w:val="12"/>
    </w:rPr>
  </w:style>
  <w:style w:type="paragraph" w:styleId="BodyText2">
    <w:name w:val="Body Text 2"/>
    <w:basedOn w:val="Normal"/>
    <w:rsid w:val="007063D4"/>
    <w:pPr>
      <w:overflowPunct/>
      <w:autoSpaceDE/>
      <w:autoSpaceDN/>
      <w:adjustRightInd/>
      <w:jc w:val="center"/>
      <w:textAlignment w:val="auto"/>
    </w:pPr>
    <w:rPr>
      <w:rFonts w:ascii="Times New Roman" w:hAnsi="Times New Roman"/>
      <w:kern w:val="0"/>
      <w:sz w:val="24"/>
      <w:szCs w:val="24"/>
    </w:rPr>
  </w:style>
  <w:style w:type="paragraph" w:styleId="DocumentMap">
    <w:name w:val="Document Map"/>
    <w:basedOn w:val="Normal"/>
    <w:semiHidden/>
    <w:rsid w:val="00966D10"/>
    <w:pPr>
      <w:shd w:val="clear" w:color="auto" w:fill="000080"/>
    </w:pPr>
    <w:rPr>
      <w:rFonts w:ascii="Tahoma" w:hAnsi="Tahoma" w:cs="Tahoma"/>
      <w:sz w:val="20"/>
    </w:rPr>
  </w:style>
  <w:style w:type="paragraph" w:styleId="BalloonText">
    <w:name w:val="Balloon Text"/>
    <w:basedOn w:val="Normal"/>
    <w:semiHidden/>
    <w:rsid w:val="008A6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Props1.xml><?xml version="1.0" encoding="utf-8"?>
<ds:datastoreItem xmlns:ds="http://schemas.openxmlformats.org/officeDocument/2006/customXml" ds:itemID="{E91E246E-0F2E-4E42-BF41-084345B25E68}"/>
</file>

<file path=customXml/itemProps2.xml><?xml version="1.0" encoding="utf-8"?>
<ds:datastoreItem xmlns:ds="http://schemas.openxmlformats.org/officeDocument/2006/customXml" ds:itemID="{62A262C6-5B1A-4CD6-B6B4-7E5FDB200B2E}"/>
</file>

<file path=customXml/itemProps3.xml><?xml version="1.0" encoding="utf-8"?>
<ds:datastoreItem xmlns:ds="http://schemas.openxmlformats.org/officeDocument/2006/customXml" ds:itemID="{A0D8800E-DFC2-47FA-A30A-4346661BB8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Ministry of Defence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 BASS/30034 - Schedule 15 (Gainshare)</dc:title>
  <dc:subject/>
  <dc:creator>WilsonK371</dc:creator>
  <cp:keywords/>
  <dc:description/>
  <cp:lastModifiedBy>Trowbridge, Garrie C1 (DES Ships CSS-Boats1c)</cp:lastModifiedBy>
  <cp:revision>4</cp:revision>
  <cp:lastPrinted>2012-05-24T22:51:00Z</cp:lastPrinted>
  <dcterms:created xsi:type="dcterms:W3CDTF">2018-11-13T10:30:00Z</dcterms:created>
  <dcterms:modified xsi:type="dcterms:W3CDTF">2019-04-29T13:58:06Z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wnerOOB">
    <vt:lpwstr>DE&amp;S Ships - Fleet Wide Equipment</vt:lpwstr>
  </property>
  <property fmtid="{D5CDD505-2E9C-101B-9397-08002B2CF9AE}" pid="3" name="fileplanIDOOB">
    <vt:lpwstr>04_Deliver</vt:lpwstr>
  </property>
  <property fmtid="{D5CDD505-2E9C-101B-9397-08002B2CF9AE}" pid="4" name="Additional Metadata">
    <vt:lpwstr>Draft Contract_x000d_
Schedule 15 (Gainshare)</vt:lpwstr>
  </property>
  <property fmtid="{D5CDD505-2E9C-101B-9397-08002B2CF9AE}" pid="5" name="UKProtectiveMarking">
    <vt:lpwstr>PROTECT</vt:lpwstr>
  </property>
  <property fmtid="{D5CDD505-2E9C-101B-9397-08002B2CF9AE}" pid="6" name="ContentType">
    <vt:lpwstr>MOD Document</vt:lpwstr>
  </property>
  <property fmtid="{D5CDD505-2E9C-101B-9397-08002B2CF9AE}" pid="7" name="RetentionCategory">
    <vt:lpwstr>None</vt:lpwstr>
  </property>
  <property fmtid="{D5CDD505-2E9C-101B-9397-08002B2CF9AE}" pid="8" name="Subject CategoryOOB">
    <vt:lpwstr/>
  </property>
  <property fmtid="{D5CDD505-2E9C-101B-9397-08002B2CF9AE}" pid="9" name="DocumentVersion">
    <vt:lpwstr/>
  </property>
  <property fmtid="{D5CDD505-2E9C-101B-9397-08002B2CF9AE}" pid="10" name="CreatedOriginated">
    <vt:lpwstr>2012-02-13T00:00:00Z</vt:lpwstr>
  </property>
  <property fmtid="{D5CDD505-2E9C-101B-9397-08002B2CF9AE}" pid="11" name="SecurityDescriptors">
    <vt:lpwstr>None</vt:lpwstr>
  </property>
  <property fmtid="{D5CDD505-2E9C-101B-9397-08002B2CF9AE}" pid="12" name="Status">
    <vt:lpwstr>Draft</vt:lpwstr>
  </property>
  <property fmtid="{D5CDD505-2E9C-101B-9397-08002B2CF9AE}" pid="13" name="Metadata Level 2">
    <vt:lpwstr>ITT-ITN</vt:lpwstr>
  </property>
  <property fmtid="{D5CDD505-2E9C-101B-9397-08002B2CF9AE}" pid="14" name="fileplanIDPTH">
    <vt:lpwstr>Defence File Plan/04_Deliver</vt:lpwstr>
  </property>
  <property fmtid="{D5CDD505-2E9C-101B-9397-08002B2CF9AE}" pid="15" name="ContentTypeId">
    <vt:lpwstr>0x01010052ADBDF22A02EC45B6CBF0D0705B2A67</vt:lpwstr>
  </property>
  <property fmtid="{D5CDD505-2E9C-101B-9397-08002B2CF9AE}" pid="16" name="BoatsKeywords">
    <vt:lpwstr/>
  </property>
</Properties>
</file>