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PricewaterhouseCoopers LLP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bookmarkStart w:colFirst="0" w:colLast="0" w:name="bookmark=id.30j0zll" w:id="0"/>
      <w:bookmarkEnd w:id="0"/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3rd August 2023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CCTS23A06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of Simple Grants Managed Service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your submission of a bid for the above Procurement, on behalf of the Cabinet Office (the “Authority”), I am pleased to inform you that you ranked first in our evaluation and therefore we would like to award the contract to you.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9th day of August 2023 and the Expiry Date will be 7th day of August 2025. The total value for Discovery Phase 1 is £569,248.75 (ex VAT). The total contract value (ex VAT) is up to the value of £4,110,113.00.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Fund Administration &amp; Disbursement Services DPS (FAADS) RM6322 Lot 1: Fund Administration &amp; Disbursement Services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 (Attachment 5a) and forward to the Procurement Lead electronically via the e-Sourcing Suites’ messaging service by 14:00 Friday 4th August 2023. 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Cabinet Office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hd w:fill="ffff99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center" w:leader="none" w:pos="4153"/>
                <w:tab w:val="right" w:leader="none" w:pos="8306"/>
              </w:tabs>
              <w:spacing w:after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Rule="auto"/>
              <w:ind w:right="3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3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tabs>
                <w:tab w:val="center" w:leader="none" w:pos="4153"/>
                <w:tab w:val="right" w:leader="none" w:pos="8306"/>
              </w:tabs>
              <w:spacing w:after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3rd August 2023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GWG T32-Call Off Award letter v4.0 </w:t>
      <w:tab/>
      <w:tab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3rd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August 2023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ffff99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8F0BC5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645BF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8F0BC5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QNsOB1oxLYZQm8rrC+dzK0zrg==">CgMxLjAyCmlkLjMwajB6bGwyCWlkLmdqZGd4czIJaC4xZm9iOXRlOAByITFZNDNsSUpCU2RFUnpxM3BDdU5IWmRYMW5DcHVNcDV4MA==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2023-02-07T14:52:00Z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