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229" w:rsidRPr="003D4FF7" w:rsidRDefault="00732734">
      <w:pPr>
        <w:rPr>
          <w:b/>
          <w:u w:val="single"/>
        </w:rPr>
      </w:pPr>
      <w:r>
        <w:rPr>
          <w:b/>
          <w:u w:val="single"/>
        </w:rPr>
        <w:t xml:space="preserve">Prior Information Notice Questionnaire - </w:t>
      </w:r>
      <w:r w:rsidR="00027229" w:rsidRPr="003D4FF7">
        <w:rPr>
          <w:b/>
          <w:u w:val="single"/>
        </w:rPr>
        <w:t>Generation after next Materials - Centres of Excellence</w:t>
      </w:r>
    </w:p>
    <w:p w:rsidR="00CC56A2" w:rsidRPr="009814D9" w:rsidRDefault="009132D5">
      <w:pPr>
        <w:rPr>
          <w:b/>
        </w:rPr>
      </w:pPr>
      <w:r>
        <w:rPr>
          <w:b/>
        </w:rPr>
        <w:t>Purpose</w:t>
      </w:r>
      <w:r w:rsidR="009814D9">
        <w:rPr>
          <w:b/>
        </w:rPr>
        <w:t>:</w:t>
      </w:r>
    </w:p>
    <w:p w:rsidR="00CC56A2" w:rsidRDefault="00CC56A2">
      <w:r w:rsidRPr="009814D9">
        <w:t>The purpose of this Prior Information Notice</w:t>
      </w:r>
      <w:r w:rsidR="009814D9">
        <w:t xml:space="preserve"> (PIN)</w:t>
      </w:r>
      <w:r w:rsidR="00EC2535">
        <w:t xml:space="preserve"> q</w:t>
      </w:r>
      <w:r w:rsidR="00E173F5">
        <w:t>uestionnaire</w:t>
      </w:r>
      <w:r w:rsidRPr="009814D9">
        <w:t xml:space="preserve"> is to</w:t>
      </w:r>
      <w:r>
        <w:t>:</w:t>
      </w:r>
    </w:p>
    <w:p w:rsidR="00CC56A2" w:rsidRDefault="009814D9" w:rsidP="009814D9">
      <w:pPr>
        <w:pStyle w:val="ListParagraph"/>
        <w:numPr>
          <w:ilvl w:val="0"/>
          <w:numId w:val="13"/>
        </w:numPr>
      </w:pPr>
      <w:r>
        <w:t>S</w:t>
      </w:r>
      <w:r w:rsidR="00CC56A2" w:rsidRPr="009814D9">
        <w:t xml:space="preserve">hare information </w:t>
      </w:r>
      <w:r w:rsidR="009628DB" w:rsidRPr="009628DB">
        <w:t xml:space="preserve">on Dstl’s current thinking regarding </w:t>
      </w:r>
      <w:r w:rsidR="00CC56A2" w:rsidRPr="009814D9">
        <w:t>future collaborative working with current and potential new Centres of Excellence</w:t>
      </w:r>
      <w:r w:rsidR="00C031C1">
        <w:t>,</w:t>
      </w:r>
      <w:r w:rsidR="00CC56A2" w:rsidRPr="009814D9">
        <w:t xml:space="preserve"> in relation to </w:t>
      </w:r>
      <w:r w:rsidR="00CC56A2" w:rsidRPr="00CC56A2">
        <w:t>different aspects of Advanced Materials</w:t>
      </w:r>
      <w:r w:rsidR="00CC56A2">
        <w:t>.</w:t>
      </w:r>
    </w:p>
    <w:p w:rsidR="00CC56A2" w:rsidRDefault="009814D9" w:rsidP="009814D9">
      <w:pPr>
        <w:pStyle w:val="ListParagraph"/>
        <w:numPr>
          <w:ilvl w:val="0"/>
          <w:numId w:val="13"/>
        </w:numPr>
      </w:pPr>
      <w:r>
        <w:t>O</w:t>
      </w:r>
      <w:r w:rsidR="00CC56A2">
        <w:t xml:space="preserve">btain views and feedback on this </w:t>
      </w:r>
      <w:r w:rsidR="009628DB">
        <w:t>from the m</w:t>
      </w:r>
      <w:r w:rsidR="00CC56A2">
        <w:t>arket</w:t>
      </w:r>
      <w:r w:rsidR="000B109F">
        <w:t>, including responses to the questions detailed in this document</w:t>
      </w:r>
      <w:r w:rsidR="00CC56A2">
        <w:t>.</w:t>
      </w:r>
    </w:p>
    <w:p w:rsidR="00CC56A2" w:rsidRDefault="009814D9" w:rsidP="009814D9">
      <w:pPr>
        <w:pStyle w:val="ListParagraph"/>
        <w:numPr>
          <w:ilvl w:val="0"/>
          <w:numId w:val="13"/>
        </w:numPr>
      </w:pPr>
      <w:r>
        <w:t>P</w:t>
      </w:r>
      <w:r w:rsidR="00C031C1">
        <w:t xml:space="preserve">rovide the ability for the </w:t>
      </w:r>
      <w:r w:rsidR="009628DB">
        <w:t>m</w:t>
      </w:r>
      <w:r w:rsidR="00C031C1">
        <w:t>arket to h</w:t>
      </w:r>
      <w:r w:rsidR="00CC56A2">
        <w:t xml:space="preserve">ighlight areas of opportunity/innovation </w:t>
      </w:r>
      <w:r w:rsidR="00516B7D">
        <w:t xml:space="preserve">that </w:t>
      </w:r>
      <w:r w:rsidR="00CC56A2">
        <w:t>Dstl are not currently aware of.</w:t>
      </w:r>
    </w:p>
    <w:p w:rsidR="00CC56A2" w:rsidRPr="009814D9" w:rsidRDefault="009814D9" w:rsidP="009814D9">
      <w:pPr>
        <w:pStyle w:val="ListParagraph"/>
        <w:numPr>
          <w:ilvl w:val="0"/>
          <w:numId w:val="13"/>
        </w:numPr>
      </w:pPr>
      <w:r>
        <w:t>O</w:t>
      </w:r>
      <w:r w:rsidR="00F760BB">
        <w:t>b</w:t>
      </w:r>
      <w:r w:rsidR="00CC56A2">
        <w:t>t</w:t>
      </w:r>
      <w:r w:rsidR="00F760BB">
        <w:t>ain</w:t>
      </w:r>
      <w:r w:rsidR="00CC56A2">
        <w:t xml:space="preserve"> information from the market</w:t>
      </w:r>
      <w:r w:rsidR="00F760BB">
        <w:t xml:space="preserve"> in response to the </w:t>
      </w:r>
      <w:r w:rsidR="00F760BB" w:rsidRPr="009814D9">
        <w:t xml:space="preserve">Prior </w:t>
      </w:r>
      <w:r w:rsidR="00ED072E">
        <w:t>I</w:t>
      </w:r>
      <w:r w:rsidR="00F760BB" w:rsidRPr="009814D9">
        <w:t>nformation Notice Questionnaire.</w:t>
      </w:r>
    </w:p>
    <w:p w:rsidR="00F760BB" w:rsidRDefault="00F760BB" w:rsidP="009814D9">
      <w:pPr>
        <w:pStyle w:val="ListParagraph"/>
        <w:numPr>
          <w:ilvl w:val="0"/>
          <w:numId w:val="13"/>
        </w:numPr>
      </w:pPr>
      <w:r>
        <w:t>Use the feedback and information to inform and support the development of Dstl’</w:t>
      </w:r>
      <w:r w:rsidR="00C031C1">
        <w:t>s future Business C</w:t>
      </w:r>
      <w:r>
        <w:t>ase(s) and Procurement strategy.</w:t>
      </w:r>
    </w:p>
    <w:p w:rsidR="00CC56A2" w:rsidRDefault="009814D9">
      <w:pPr>
        <w:rPr>
          <w:b/>
        </w:rPr>
      </w:pPr>
      <w:r>
        <w:t>This PIN</w:t>
      </w:r>
      <w:r w:rsidR="00EC2535">
        <w:t xml:space="preserve"> questionnaire</w:t>
      </w:r>
      <w:r>
        <w:t xml:space="preserve"> is not a request for a full proposal or bid nor should it be taken to be a call for competition, it is purely to obtain information f</w:t>
      </w:r>
      <w:r w:rsidR="00C2227E">
        <w:t>rom</w:t>
      </w:r>
      <w:r>
        <w:t xml:space="preserve"> early engagement with the market.</w:t>
      </w:r>
    </w:p>
    <w:p w:rsidR="00F32170" w:rsidRPr="00F32170" w:rsidRDefault="00F32170">
      <w:pPr>
        <w:rPr>
          <w:b/>
        </w:rPr>
      </w:pPr>
      <w:r w:rsidRPr="00F32170">
        <w:rPr>
          <w:b/>
        </w:rPr>
        <w:t>Background:</w:t>
      </w:r>
    </w:p>
    <w:p w:rsidR="00002E08" w:rsidRDefault="00F74E04">
      <w:r>
        <w:t xml:space="preserve">The </w:t>
      </w:r>
      <w:r w:rsidR="00F51F5B">
        <w:t xml:space="preserve">Dstl </w:t>
      </w:r>
      <w:r>
        <w:t>Materials for Strategic Advantage</w:t>
      </w:r>
      <w:r w:rsidR="00E45E66">
        <w:t xml:space="preserve"> Science and Technology</w:t>
      </w:r>
      <w:r>
        <w:t xml:space="preserve"> </w:t>
      </w:r>
      <w:r w:rsidR="00E45E66">
        <w:t>(</w:t>
      </w:r>
      <w:r>
        <w:t>S&amp;T</w:t>
      </w:r>
      <w:r w:rsidR="00E45E66">
        <w:t>)</w:t>
      </w:r>
      <w:r>
        <w:t xml:space="preserve"> Programme </w:t>
      </w:r>
      <w:r w:rsidR="00661818">
        <w:t xml:space="preserve">is </w:t>
      </w:r>
      <w:r>
        <w:t>exploring different ways of working to deliver future research. To supplement existing</w:t>
      </w:r>
      <w:r w:rsidR="00C031C1">
        <w:t xml:space="preserve"> routes to market</w:t>
      </w:r>
      <w:r>
        <w:t xml:space="preserve">, Dstl is exploring </w:t>
      </w:r>
      <w:r w:rsidR="00C031C1">
        <w:t xml:space="preserve">working collaboratively </w:t>
      </w:r>
      <w:r>
        <w:t>with UK Centre</w:t>
      </w:r>
      <w:r w:rsidR="009F261D">
        <w:t xml:space="preserve">s of Excellence </w:t>
      </w:r>
      <w:r w:rsidR="00516B7D">
        <w:t xml:space="preserve">on </w:t>
      </w:r>
      <w:r w:rsidR="009F261D">
        <w:t>different as</w:t>
      </w:r>
      <w:r>
        <w:t>p</w:t>
      </w:r>
      <w:r w:rsidR="009F261D">
        <w:t>e</w:t>
      </w:r>
      <w:r>
        <w:t xml:space="preserve">cts </w:t>
      </w:r>
      <w:r w:rsidR="00C665E3">
        <w:t xml:space="preserve">/ topics </w:t>
      </w:r>
      <w:r>
        <w:t>of Advanced Materials.</w:t>
      </w:r>
      <w:r w:rsidR="009B296A">
        <w:t xml:space="preserve"> </w:t>
      </w:r>
      <w:r w:rsidR="00017441">
        <w:t xml:space="preserve"> The Purpose of this PIN</w:t>
      </w:r>
      <w:r w:rsidR="00E173F5">
        <w:t xml:space="preserve"> questionnaire</w:t>
      </w:r>
      <w:r w:rsidR="00017441">
        <w:t xml:space="preserve"> is to assist Dstl in preparing a</w:t>
      </w:r>
      <w:r w:rsidR="00C031C1">
        <w:t xml:space="preserve"> Business Case and Procurement Strategy for this future requirement</w:t>
      </w:r>
      <w:r w:rsidR="0007618A">
        <w:t>. The PIN</w:t>
      </w:r>
      <w:r w:rsidR="00E173F5">
        <w:t xml:space="preserve"> questionnaire</w:t>
      </w:r>
      <w:r w:rsidR="0007618A">
        <w:t xml:space="preserve"> is seeking </w:t>
      </w:r>
      <w:r w:rsidR="00C031C1">
        <w:t>feedback and advice from the market</w:t>
      </w:r>
      <w:r w:rsidR="0007618A">
        <w:t xml:space="preserve"> to help understand the value add and potential cost of the approach</w:t>
      </w:r>
      <w:r w:rsidR="00C031C1">
        <w:t>; this is not a request for proposals or tenders at this stage</w:t>
      </w:r>
      <w:r w:rsidR="0007618A">
        <w:t xml:space="preserve">. </w:t>
      </w:r>
      <w:r w:rsidR="00002E08">
        <w:t>Any information provided will</w:t>
      </w:r>
      <w:r w:rsidR="00CC4BC7">
        <w:t xml:space="preserve"> be treated as a public disclosure </w:t>
      </w:r>
      <w:r w:rsidR="00E45E66">
        <w:t xml:space="preserve">which will provide </w:t>
      </w:r>
      <w:r w:rsidR="000B109F">
        <w:t>Dstl</w:t>
      </w:r>
      <w:r w:rsidR="00E45E66">
        <w:t xml:space="preserve"> with the </w:t>
      </w:r>
      <w:r w:rsidR="00367126">
        <w:t xml:space="preserve">right </w:t>
      </w:r>
      <w:r w:rsidR="00F56CA1">
        <w:t>to</w:t>
      </w:r>
      <w:r w:rsidR="00E45E66">
        <w:t xml:space="preserve"> </w:t>
      </w:r>
      <w:r w:rsidR="00CC4BC7">
        <w:t>free and unrestricted use</w:t>
      </w:r>
      <w:r w:rsidR="00367126">
        <w:t xml:space="preserve"> of </w:t>
      </w:r>
      <w:r w:rsidR="004850C5">
        <w:t>it</w:t>
      </w:r>
      <w:r w:rsidR="00CC4BC7">
        <w:t xml:space="preserve">. </w:t>
      </w:r>
      <w:r w:rsidR="00002E08">
        <w:t>If you have any concerns</w:t>
      </w:r>
      <w:r w:rsidR="00367126">
        <w:t xml:space="preserve"> with regards to</w:t>
      </w:r>
      <w:r w:rsidR="00002E08">
        <w:t xml:space="preserve"> this, please do contact </w:t>
      </w:r>
      <w:r w:rsidR="00367126">
        <w:t>us so that we can discuss this with you.</w:t>
      </w:r>
    </w:p>
    <w:p w:rsidR="00052BBB" w:rsidRDefault="00052BBB">
      <w:r>
        <w:t xml:space="preserve">The aims of </w:t>
      </w:r>
      <w:r w:rsidR="009628DB">
        <w:t xml:space="preserve">working collaboratively </w:t>
      </w:r>
      <w:r w:rsidR="00017441">
        <w:t xml:space="preserve">with </w:t>
      </w:r>
      <w:r w:rsidR="004850C5">
        <w:t>Centres of Excellence</w:t>
      </w:r>
      <w:r>
        <w:t xml:space="preserve"> include:</w:t>
      </w:r>
    </w:p>
    <w:p w:rsidR="00017441" w:rsidRDefault="00017441" w:rsidP="001D0C48">
      <w:pPr>
        <w:pStyle w:val="ListParagraph"/>
        <w:numPr>
          <w:ilvl w:val="0"/>
          <w:numId w:val="8"/>
        </w:numPr>
      </w:pPr>
      <w:r>
        <w:t>Accelerating the development of advanced materials for generation-after-next (GAN) defence capabilities</w:t>
      </w:r>
    </w:p>
    <w:p w:rsidR="00052BBB" w:rsidRDefault="00223AEB" w:rsidP="001D0C48">
      <w:pPr>
        <w:pStyle w:val="ListParagraph"/>
        <w:numPr>
          <w:ilvl w:val="0"/>
          <w:numId w:val="8"/>
        </w:numPr>
      </w:pPr>
      <w:r>
        <w:t>Engaging with and linking</w:t>
      </w:r>
      <w:r w:rsidR="00052BBB">
        <w:t xml:space="preserve"> to other entities in the ecosystem to support work and </w:t>
      </w:r>
      <w:r w:rsidR="00B57336">
        <w:t>transition</w:t>
      </w:r>
      <w:r w:rsidR="00052BBB">
        <w:t xml:space="preserve"> for onward development and exploitation</w:t>
      </w:r>
    </w:p>
    <w:p w:rsidR="00661818" w:rsidRDefault="00661818" w:rsidP="00661818">
      <w:pPr>
        <w:pStyle w:val="ListParagraph"/>
        <w:numPr>
          <w:ilvl w:val="0"/>
          <w:numId w:val="8"/>
        </w:numPr>
      </w:pPr>
      <w:r>
        <w:t>Contributing to stewardship of S&amp;T capability (</w:t>
      </w:r>
      <w:r w:rsidR="000B678C">
        <w:t>Suitable Qualif</w:t>
      </w:r>
      <w:r w:rsidR="00E81389">
        <w:t>ied and Experienced Personne</w:t>
      </w:r>
      <w:r w:rsidR="000B678C">
        <w:t>l (</w:t>
      </w:r>
      <w:r>
        <w:t>SQEP</w:t>
      </w:r>
      <w:r w:rsidR="000B678C">
        <w:t>)</w:t>
      </w:r>
      <w:r>
        <w:t xml:space="preserve"> and facilities)</w:t>
      </w:r>
    </w:p>
    <w:p w:rsidR="00052BBB" w:rsidRDefault="00052BBB" w:rsidP="001D0C48">
      <w:pPr>
        <w:pStyle w:val="ListParagraph"/>
        <w:numPr>
          <w:ilvl w:val="0"/>
          <w:numId w:val="8"/>
        </w:numPr>
      </w:pPr>
      <w:r>
        <w:t>Strengthening and achieving resilient access to expertise and expert advice for the UK.</w:t>
      </w:r>
    </w:p>
    <w:p w:rsidR="00D55BB4" w:rsidRDefault="009B296A">
      <w:r>
        <w:t>Owing to budgets and scope, it is envisaged that key topics of interest</w:t>
      </w:r>
      <w:r w:rsidR="00C665E3">
        <w:t xml:space="preserve">, and therefore collaboration with individual </w:t>
      </w:r>
      <w:r w:rsidR="004850C5">
        <w:t>Centres of Excellence</w:t>
      </w:r>
      <w:r w:rsidR="00C665E3">
        <w:t>,</w:t>
      </w:r>
      <w:r>
        <w:t xml:space="preserve"> will be cycled every ~5 years.</w:t>
      </w:r>
      <w:r w:rsidR="001D0C48">
        <w:t xml:space="preserve"> </w:t>
      </w:r>
      <w:r w:rsidR="00EF4C44">
        <w:t>Dstl encourage</w:t>
      </w:r>
      <w:r w:rsidR="00516B7D">
        <w:t>s</w:t>
      </w:r>
      <w:r w:rsidR="00EF4C44">
        <w:t xml:space="preserve"> and welcome</w:t>
      </w:r>
      <w:r w:rsidR="00516B7D">
        <w:t>s</w:t>
      </w:r>
      <w:r w:rsidR="00EF4C44">
        <w:t xml:space="preserve"> responses to this </w:t>
      </w:r>
      <w:r w:rsidR="00ED072E">
        <w:t>P</w:t>
      </w:r>
      <w:r w:rsidR="00EF4C44">
        <w:t xml:space="preserve">rior </w:t>
      </w:r>
      <w:r w:rsidR="00ED072E">
        <w:t>I</w:t>
      </w:r>
      <w:r w:rsidR="00EF4C44">
        <w:t xml:space="preserve">nformation </w:t>
      </w:r>
      <w:r w:rsidR="00ED072E">
        <w:t>N</w:t>
      </w:r>
      <w:r w:rsidR="00EF4C44">
        <w:t>otice</w:t>
      </w:r>
      <w:r w:rsidR="00E173F5">
        <w:t xml:space="preserve"> questionnaire </w:t>
      </w:r>
      <w:r w:rsidR="00EF4C44">
        <w:t xml:space="preserve">from </w:t>
      </w:r>
      <w:r w:rsidR="004850C5">
        <w:t>Centres of Excellence</w:t>
      </w:r>
      <w:r>
        <w:t xml:space="preserve"> that are either established or are in the detailed planning stages</w:t>
      </w:r>
      <w:r w:rsidR="00D55BB4">
        <w:t xml:space="preserve"> to achieve an initial operating capability </w:t>
      </w:r>
      <w:r w:rsidR="001D0C48">
        <w:t>(IOC</w:t>
      </w:r>
      <w:r w:rsidR="007E5DB7">
        <w:t>) before</w:t>
      </w:r>
      <w:r w:rsidR="00D55BB4">
        <w:t xml:space="preserve"> 2025</w:t>
      </w:r>
      <w:r>
        <w:t>.</w:t>
      </w:r>
      <w:r w:rsidR="009F261D">
        <w:t xml:space="preserve"> </w:t>
      </w:r>
    </w:p>
    <w:p w:rsidR="00EF4C44" w:rsidRDefault="00BE1929">
      <w:r>
        <w:t>We are considering currently</w:t>
      </w:r>
      <w:r w:rsidR="00D55BB4">
        <w:t xml:space="preserve"> </w:t>
      </w:r>
      <w:r w:rsidR="00C665E3">
        <w:t>two main purposes of working collaboratively with</w:t>
      </w:r>
      <w:r w:rsidR="00D55BB4">
        <w:t xml:space="preserve"> </w:t>
      </w:r>
      <w:r w:rsidR="004850C5">
        <w:t>Centres of Excellence</w:t>
      </w:r>
      <w:r w:rsidR="00D55BB4">
        <w:t xml:space="preserve"> </w:t>
      </w:r>
      <w:r w:rsidR="00947258">
        <w:t>that</w:t>
      </w:r>
      <w:r>
        <w:t xml:space="preserve"> </w:t>
      </w:r>
      <w:r w:rsidR="00EF4C44">
        <w:t>we would welcome your thoughts and feedback on, these being:–</w:t>
      </w:r>
    </w:p>
    <w:p w:rsidR="00EF4C44" w:rsidRDefault="00661818" w:rsidP="00BE1929">
      <w:pPr>
        <w:pStyle w:val="ListParagraph"/>
        <w:numPr>
          <w:ilvl w:val="0"/>
          <w:numId w:val="16"/>
        </w:numPr>
      </w:pPr>
      <w:r>
        <w:lastRenderedPageBreak/>
        <w:t>Establishing a</w:t>
      </w:r>
      <w:r w:rsidR="00D55BB4">
        <w:t xml:space="preserve"> technology focus in priority areas for defence materials research, </w:t>
      </w:r>
      <w:r w:rsidR="00C665E3">
        <w:t>primarily to support S&amp;T project delivery through a portfolio of funded projects</w:t>
      </w:r>
      <w:r>
        <w:t>, including access to specialist facilities</w:t>
      </w:r>
      <w:r w:rsidR="00C665E3">
        <w:t>.</w:t>
      </w:r>
    </w:p>
    <w:p w:rsidR="00EF4C44" w:rsidRDefault="00661818" w:rsidP="00BE1929">
      <w:pPr>
        <w:pStyle w:val="ListParagraph"/>
        <w:numPr>
          <w:ilvl w:val="0"/>
          <w:numId w:val="16"/>
        </w:numPr>
      </w:pPr>
      <w:r>
        <w:t xml:space="preserve">Support to the </w:t>
      </w:r>
      <w:r w:rsidR="00C665E3">
        <w:t xml:space="preserve">development </w:t>
      </w:r>
      <w:r>
        <w:t xml:space="preserve">of </w:t>
      </w:r>
      <w:r w:rsidR="008F1FA6">
        <w:t>SQEP</w:t>
      </w:r>
      <w:r>
        <w:t>, including the ability to access more wide-ranging materials facilities</w:t>
      </w:r>
      <w:r w:rsidR="00C665E3">
        <w:t>.</w:t>
      </w:r>
    </w:p>
    <w:p w:rsidR="004624E2" w:rsidRPr="004624E2" w:rsidRDefault="008F1FA6" w:rsidP="00C665E3">
      <w:r w:rsidRPr="004624E2">
        <w:t xml:space="preserve">Current thinking is that collaborative working with </w:t>
      </w:r>
      <w:r w:rsidR="00661818">
        <w:t>~3</w:t>
      </w:r>
      <w:r w:rsidR="009132D5">
        <w:t xml:space="preserve"> </w:t>
      </w:r>
      <w:r w:rsidRPr="004624E2">
        <w:t xml:space="preserve">individual </w:t>
      </w:r>
      <w:r w:rsidR="004850C5">
        <w:t>Centres of Excellence</w:t>
      </w:r>
      <w:r w:rsidR="009132D5">
        <w:t xml:space="preserve"> </w:t>
      </w:r>
      <w:r w:rsidR="00661818">
        <w:t>at any one time would be viable</w:t>
      </w:r>
      <w:r w:rsidRPr="004624E2">
        <w:t>.</w:t>
      </w:r>
      <w:r w:rsidR="004624E2" w:rsidRPr="004624E2">
        <w:t xml:space="preserve"> However, </w:t>
      </w:r>
      <w:r w:rsidR="00C665E3" w:rsidRPr="004624E2">
        <w:t>Dstl is interested in obtaining feedback to different models and ways of working; therefore there is a</w:t>
      </w:r>
      <w:r w:rsidR="004624E2" w:rsidRPr="004624E2">
        <w:t xml:space="preserve"> </w:t>
      </w:r>
      <w:r w:rsidR="00C665E3" w:rsidRPr="004624E2">
        <w:t>section in the Questionnaire to highlight opportunities that Dstl may not have considered but which could be useful collaborative working opportunities to help deliver the accelerated development of defence materials technology.</w:t>
      </w:r>
    </w:p>
    <w:p w:rsidR="009F261D" w:rsidRDefault="00B501E4" w:rsidP="00C665E3">
      <w:r w:rsidRPr="00C665E3">
        <w:rPr>
          <w:b/>
        </w:rPr>
        <w:t xml:space="preserve">Advanced Materials </w:t>
      </w:r>
      <w:r w:rsidR="009F261D" w:rsidRPr="00C665E3">
        <w:rPr>
          <w:b/>
        </w:rPr>
        <w:t xml:space="preserve">Technology-focused </w:t>
      </w:r>
      <w:r w:rsidR="004850C5">
        <w:rPr>
          <w:b/>
        </w:rPr>
        <w:t>Centres of Excellence</w:t>
      </w:r>
      <w:r w:rsidR="009F261D">
        <w:t>:</w:t>
      </w:r>
    </w:p>
    <w:p w:rsidR="00922862" w:rsidRDefault="00922862">
      <w:r>
        <w:t xml:space="preserve">The aim of </w:t>
      </w:r>
      <w:r w:rsidR="00EF4C44">
        <w:t xml:space="preserve">working collaboratively </w:t>
      </w:r>
      <w:r>
        <w:t>with Technolog</w:t>
      </w:r>
      <w:r w:rsidR="00F46BE8">
        <w:t xml:space="preserve">y-focused </w:t>
      </w:r>
      <w:r w:rsidR="004850C5">
        <w:t>Centres of Excellence</w:t>
      </w:r>
      <w:r w:rsidR="00F46BE8">
        <w:t xml:space="preserve"> is to </w:t>
      </w:r>
      <w:r w:rsidR="00B501E4">
        <w:t xml:space="preserve">access </w:t>
      </w:r>
      <w:r w:rsidR="00195B76">
        <w:t xml:space="preserve">leading </w:t>
      </w:r>
      <w:r w:rsidR="003949E3">
        <w:t>capabilities (</w:t>
      </w:r>
      <w:r w:rsidR="00195B76">
        <w:t xml:space="preserve">expertise </w:t>
      </w:r>
      <w:r w:rsidR="003949E3">
        <w:t>and equipment) to</w:t>
      </w:r>
      <w:r w:rsidR="00195B76">
        <w:t xml:space="preserve"> </w:t>
      </w:r>
      <w:r w:rsidR="00F46BE8">
        <w:t>deliver Science and Technology projects</w:t>
      </w:r>
      <w:r>
        <w:t xml:space="preserve"> </w:t>
      </w:r>
      <w:r w:rsidR="00F46BE8">
        <w:t>with Dstl</w:t>
      </w:r>
      <w:r>
        <w:t xml:space="preserve">. Although the exact mix of projects will be dependent on the technology area and customer priorities, it is envisaged that a Centre will be able to support </w:t>
      </w:r>
      <w:r w:rsidR="005B4967">
        <w:t xml:space="preserve">projects </w:t>
      </w:r>
      <w:r w:rsidR="00F46BE8">
        <w:t>across the TRL range 1-6</w:t>
      </w:r>
      <w:r w:rsidR="00C665E3">
        <w:rPr>
          <w:rStyle w:val="FootnoteReference"/>
        </w:rPr>
        <w:footnoteReference w:id="1"/>
      </w:r>
      <w:r w:rsidR="00EA4538">
        <w:t xml:space="preserve"> as the aim of </w:t>
      </w:r>
      <w:r w:rsidR="00EF4C44">
        <w:t xml:space="preserve">working collaboratively </w:t>
      </w:r>
      <w:r w:rsidR="00EA4538">
        <w:t xml:space="preserve">will be to both discover new approaches and accelerate the most promising Materials technology </w:t>
      </w:r>
      <w:r w:rsidR="00912044" w:rsidRPr="009B296A">
        <w:t xml:space="preserve">over </w:t>
      </w:r>
      <w:r w:rsidR="00912044" w:rsidRPr="001D0C48">
        <w:t>a 4-5 year timescale</w:t>
      </w:r>
      <w:r w:rsidR="003F72B9">
        <w:t>. It is envisaged that the primary focus of work will be in TRL ranges 1-4, with only the most promising developments</w:t>
      </w:r>
      <w:r w:rsidR="005D31D8">
        <w:t xml:space="preserve"> (e.g. 1-2)</w:t>
      </w:r>
      <w:r w:rsidR="003F72B9">
        <w:t xml:space="preserve"> to be accelerated to TRL6 (with cognisance of manufacturing needs and digital-ready considerations).</w:t>
      </w:r>
    </w:p>
    <w:p w:rsidR="00EA4538" w:rsidRDefault="004850C5">
      <w:r>
        <w:t>Centres of Excellence</w:t>
      </w:r>
      <w:r w:rsidR="00D36368">
        <w:t xml:space="preserve"> will b</w:t>
      </w:r>
      <w:r w:rsidR="005050B4">
        <w:t>e lead</w:t>
      </w:r>
      <w:r w:rsidR="003949E3">
        <w:t>ers</w:t>
      </w:r>
      <w:r w:rsidR="005050B4">
        <w:t xml:space="preserve"> </w:t>
      </w:r>
      <w:r w:rsidR="003949E3">
        <w:t xml:space="preserve">in the </w:t>
      </w:r>
      <w:r w:rsidR="005050B4">
        <w:t xml:space="preserve">research and development </w:t>
      </w:r>
      <w:r w:rsidR="003949E3">
        <w:t xml:space="preserve">of </w:t>
      </w:r>
      <w:r w:rsidR="005050B4">
        <w:t xml:space="preserve">the associated materials technology. </w:t>
      </w:r>
      <w:r w:rsidR="003F72B9" w:rsidRPr="003F72B9">
        <w:t>They will have (or as a Centre</w:t>
      </w:r>
      <w:r w:rsidR="003F72B9">
        <w:t xml:space="preserve"> of Excellence have access to)</w:t>
      </w:r>
      <w:r w:rsidR="005050B4">
        <w:t xml:space="preserve"> state of the art facilities </w:t>
      </w:r>
      <w:r w:rsidR="00813CBF">
        <w:t xml:space="preserve">associated with the specific area </w:t>
      </w:r>
      <w:r w:rsidR="005050B4">
        <w:t>and a track record of delivery, including through collaboration with industry and academia</w:t>
      </w:r>
      <w:r w:rsidR="00EA4538">
        <w:t xml:space="preserve">. </w:t>
      </w:r>
      <w:r>
        <w:t>Centres of Excellence</w:t>
      </w:r>
      <w:r w:rsidR="00EA4538">
        <w:t xml:space="preserve"> will be able to put in place appropriate agreements and mechanisms to respect and exploit Intellectual Property and to work collaboratively by design.</w:t>
      </w:r>
      <w:r w:rsidR="009D4DB5" w:rsidRPr="009D4DB5">
        <w:t xml:space="preserve"> It is anticipated that </w:t>
      </w:r>
      <w:r>
        <w:t>Centres of Excellence</w:t>
      </w:r>
      <w:r w:rsidR="009D4DB5" w:rsidRPr="009D4DB5">
        <w:t xml:space="preserve"> may need to evolve over time (e.g. new partners to help accelerate technology developments subject to Dstl’s approval); therefore </w:t>
      </w:r>
      <w:r>
        <w:t>Centres of Excellence</w:t>
      </w:r>
      <w:r w:rsidR="009D4DB5" w:rsidRPr="009D4DB5">
        <w:t xml:space="preserve"> should have the ability and agility to do this.</w:t>
      </w:r>
    </w:p>
    <w:p w:rsidR="00661818" w:rsidRDefault="00661818">
      <w:r>
        <w:t xml:space="preserve">The Advanced Materials Strategic Capability in Dstl does not run its own laboratories. </w:t>
      </w:r>
      <w:r>
        <w:rPr>
          <w:rFonts w:cs="Arial"/>
        </w:rPr>
        <w:t xml:space="preserve">Therefore, we are also exploring opportunities to develop mutually agreeable ways of working that may help our staff maintain their technical skill sets as part of collaborative working with </w:t>
      </w:r>
      <w:r w:rsidR="004850C5">
        <w:rPr>
          <w:rFonts w:cs="Arial"/>
        </w:rPr>
        <w:t>Centres of Excellence</w:t>
      </w:r>
      <w:r>
        <w:rPr>
          <w:rFonts w:cs="Arial"/>
        </w:rPr>
        <w:t xml:space="preserve">. </w:t>
      </w:r>
    </w:p>
    <w:p w:rsidR="00EA4538" w:rsidRDefault="00EA4538">
      <w:r>
        <w:t xml:space="preserve">The </w:t>
      </w:r>
      <w:r w:rsidR="00661818">
        <w:t xml:space="preserve">Advanced Materials </w:t>
      </w:r>
      <w:r>
        <w:t xml:space="preserve">technical areas of </w:t>
      </w:r>
      <w:r w:rsidR="00223AEB">
        <w:t>interest, which</w:t>
      </w:r>
      <w:r w:rsidR="00EF4C44">
        <w:t xml:space="preserve"> we would welcome your view and feedback on, including any wider scope/opportunity</w:t>
      </w:r>
      <w:r w:rsidR="008A676A">
        <w:t xml:space="preserve"> are</w:t>
      </w:r>
      <w:r w:rsidR="00052BBB">
        <w:t xml:space="preserve"> (order does not reflect a priority)</w:t>
      </w:r>
      <w:r>
        <w:t>:</w:t>
      </w:r>
    </w:p>
    <w:p w:rsidR="009F261D" w:rsidRPr="00F32170" w:rsidRDefault="009F261D" w:rsidP="00F32170">
      <w:pPr>
        <w:pStyle w:val="ListParagraph"/>
        <w:numPr>
          <w:ilvl w:val="0"/>
          <w:numId w:val="7"/>
        </w:numPr>
        <w:ind w:left="284"/>
        <w:rPr>
          <w:b/>
          <w:i/>
        </w:rPr>
      </w:pPr>
      <w:r w:rsidRPr="00F32170">
        <w:rPr>
          <w:b/>
          <w:i/>
        </w:rPr>
        <w:t>Materials for Extreme Environments:</w:t>
      </w:r>
    </w:p>
    <w:p w:rsidR="00560683" w:rsidRDefault="003949E3" w:rsidP="00560683">
      <w:pPr>
        <w:ind w:left="284"/>
      </w:pPr>
      <w:r w:rsidRPr="003949E3">
        <w:t xml:space="preserve">Interrogation and design of the processing – structure – properties – performance relationships </w:t>
      </w:r>
      <w:r>
        <w:t>in</w:t>
      </w:r>
      <w:r w:rsidRPr="003949E3">
        <w:t xml:space="preserve"> advanced materials (structural </w:t>
      </w:r>
      <w:r w:rsidR="003F182D">
        <w:t>and</w:t>
      </w:r>
      <w:r w:rsidR="003F182D" w:rsidRPr="003949E3">
        <w:t xml:space="preserve"> </w:t>
      </w:r>
      <w:r w:rsidR="00560683">
        <w:t>functional) through:</w:t>
      </w:r>
    </w:p>
    <w:p w:rsidR="00560683" w:rsidRDefault="003949E3" w:rsidP="00560683">
      <w:pPr>
        <w:ind w:left="284"/>
      </w:pPr>
      <w:r w:rsidRPr="003949E3">
        <w:lastRenderedPageBreak/>
        <w:t>(a) modelling and simulation;</w:t>
      </w:r>
    </w:p>
    <w:p w:rsidR="00560683" w:rsidRDefault="003949E3" w:rsidP="00560683">
      <w:pPr>
        <w:ind w:left="284"/>
      </w:pPr>
      <w:r w:rsidRPr="003949E3">
        <w:t>(b) state-of-the-art materials characterisation and testing facilities;</w:t>
      </w:r>
    </w:p>
    <w:p w:rsidR="00560683" w:rsidRDefault="003949E3" w:rsidP="00560683">
      <w:pPr>
        <w:ind w:left="284"/>
      </w:pPr>
      <w:r w:rsidRPr="003949E3">
        <w:t>(c) processing facilities across TRL-relevant scales (from laboratory to industrially relevant);</w:t>
      </w:r>
    </w:p>
    <w:p w:rsidR="00560683" w:rsidRDefault="001D036E" w:rsidP="00560683">
      <w:pPr>
        <w:ind w:left="284"/>
      </w:pPr>
      <w:r>
        <w:t>(d)</w:t>
      </w:r>
      <w:r w:rsidR="003949E3" w:rsidRPr="003949E3">
        <w:t xml:space="preserve"> component prototyping (depending on TRL goal)</w:t>
      </w:r>
      <w:r w:rsidR="00560683">
        <w:t>;</w:t>
      </w:r>
    </w:p>
    <w:p w:rsidR="00560683" w:rsidRDefault="001D036E" w:rsidP="00560683">
      <w:pPr>
        <w:ind w:left="284"/>
      </w:pPr>
      <w:r>
        <w:t>(e) digital tools to support materials assurance</w:t>
      </w:r>
      <w:r w:rsidR="00560683">
        <w:t>.</w:t>
      </w:r>
    </w:p>
    <w:p w:rsidR="003949E3" w:rsidRDefault="009B296A" w:rsidP="00560683">
      <w:pPr>
        <w:ind w:left="284"/>
      </w:pPr>
      <w:r>
        <w:t xml:space="preserve">Dstl is interested in hearing from </w:t>
      </w:r>
      <w:r w:rsidR="004850C5">
        <w:t>Centres of Excellence</w:t>
      </w:r>
      <w:r>
        <w:t xml:space="preserve"> with </w:t>
      </w:r>
      <w:r w:rsidR="008A676A">
        <w:t xml:space="preserve">existing or planned future </w:t>
      </w:r>
      <w:r>
        <w:t>expertise and facilities associated with any of the following extreme environments:</w:t>
      </w:r>
    </w:p>
    <w:p w:rsidR="003949E3" w:rsidRDefault="003949E3" w:rsidP="003949E3">
      <w:pPr>
        <w:pStyle w:val="ListParagraph"/>
        <w:numPr>
          <w:ilvl w:val="1"/>
          <w:numId w:val="1"/>
        </w:numPr>
      </w:pPr>
      <w:r>
        <w:t>Extremes of temperature, e.g. temperatures greater than 1000</w:t>
      </w:r>
      <w:r w:rsidR="00BE1929">
        <w:t xml:space="preserve"> </w:t>
      </w:r>
      <w:r>
        <w:t>°C, including in oxidising environments</w:t>
      </w:r>
    </w:p>
    <w:p w:rsidR="003949E3" w:rsidRDefault="003949E3" w:rsidP="003949E3">
      <w:pPr>
        <w:pStyle w:val="ListParagraph"/>
        <w:numPr>
          <w:ilvl w:val="1"/>
          <w:numId w:val="1"/>
        </w:numPr>
      </w:pPr>
      <w:r>
        <w:t>Polar to tropical operations and associated environmental challenges</w:t>
      </w:r>
    </w:p>
    <w:p w:rsidR="003949E3" w:rsidRDefault="003949E3" w:rsidP="003949E3">
      <w:pPr>
        <w:pStyle w:val="ListParagraph"/>
        <w:numPr>
          <w:ilvl w:val="1"/>
          <w:numId w:val="1"/>
        </w:numPr>
      </w:pPr>
      <w:r>
        <w:t>Vibration and fatigue</w:t>
      </w:r>
    </w:p>
    <w:p w:rsidR="003949E3" w:rsidRDefault="003949E3" w:rsidP="003949E3">
      <w:pPr>
        <w:pStyle w:val="ListParagraph"/>
        <w:numPr>
          <w:ilvl w:val="1"/>
          <w:numId w:val="1"/>
        </w:numPr>
      </w:pPr>
      <w:r>
        <w:t>Impact and shock</w:t>
      </w:r>
    </w:p>
    <w:p w:rsidR="003949E3" w:rsidRDefault="001D036E" w:rsidP="003949E3">
      <w:pPr>
        <w:pStyle w:val="ListParagraph"/>
        <w:numPr>
          <w:ilvl w:val="1"/>
          <w:numId w:val="1"/>
        </w:numPr>
      </w:pPr>
      <w:r>
        <w:t>R</w:t>
      </w:r>
      <w:r w:rsidR="003949E3">
        <w:t>adiation</w:t>
      </w:r>
    </w:p>
    <w:p w:rsidR="003949E3" w:rsidRDefault="003949E3" w:rsidP="003949E3">
      <w:pPr>
        <w:pStyle w:val="ListParagraph"/>
        <w:numPr>
          <w:ilvl w:val="1"/>
          <w:numId w:val="1"/>
        </w:numPr>
      </w:pPr>
      <w:r>
        <w:t>Vacuum (e.g. outgassing)</w:t>
      </w:r>
    </w:p>
    <w:p w:rsidR="003949E3" w:rsidRDefault="003949E3" w:rsidP="003949E3">
      <w:pPr>
        <w:pStyle w:val="ListParagraph"/>
        <w:numPr>
          <w:ilvl w:val="1"/>
          <w:numId w:val="1"/>
        </w:numPr>
      </w:pPr>
      <w:r>
        <w:t>Water depth</w:t>
      </w:r>
    </w:p>
    <w:p w:rsidR="003949E3" w:rsidRDefault="003949E3" w:rsidP="003949E3">
      <w:pPr>
        <w:pStyle w:val="ListParagraph"/>
        <w:numPr>
          <w:ilvl w:val="1"/>
          <w:numId w:val="1"/>
        </w:numPr>
      </w:pPr>
      <w:r>
        <w:t>Erosion and accretion, e.g. sand, dust, ice</w:t>
      </w:r>
    </w:p>
    <w:p w:rsidR="00B57336" w:rsidRDefault="00B57336" w:rsidP="00017441">
      <w:pPr>
        <w:pStyle w:val="ListParagraph"/>
        <w:numPr>
          <w:ilvl w:val="1"/>
          <w:numId w:val="1"/>
        </w:numPr>
      </w:pPr>
      <w:r>
        <w:t xml:space="preserve">Although not necessarily </w:t>
      </w:r>
      <w:r w:rsidR="00017441">
        <w:t xml:space="preserve">considered </w:t>
      </w:r>
      <w:r>
        <w:t xml:space="preserve">an ‘extreme’ environment, Dstl is also </w:t>
      </w:r>
      <w:r w:rsidR="00017441">
        <w:t>interested in understanding the implications of typical service life in a defence environment context on the performance of materials</w:t>
      </w:r>
    </w:p>
    <w:p w:rsidR="003949E3" w:rsidRDefault="003949E3" w:rsidP="00F32170"/>
    <w:p w:rsidR="009F261D" w:rsidRPr="00F32170" w:rsidRDefault="009F261D" w:rsidP="00F32170">
      <w:pPr>
        <w:pStyle w:val="ListParagraph"/>
        <w:numPr>
          <w:ilvl w:val="0"/>
          <w:numId w:val="7"/>
        </w:numPr>
        <w:ind w:left="284"/>
        <w:rPr>
          <w:b/>
          <w:i/>
        </w:rPr>
      </w:pPr>
      <w:r w:rsidRPr="00F32170">
        <w:rPr>
          <w:b/>
          <w:i/>
        </w:rPr>
        <w:t xml:space="preserve">Materials </w:t>
      </w:r>
      <w:r w:rsidR="00813CBF" w:rsidRPr="00F32170">
        <w:rPr>
          <w:b/>
          <w:i/>
        </w:rPr>
        <w:t>for the congested electromagnetic environment</w:t>
      </w:r>
      <w:r w:rsidRPr="00F32170">
        <w:rPr>
          <w:b/>
          <w:i/>
        </w:rPr>
        <w:t>:</w:t>
      </w:r>
    </w:p>
    <w:p w:rsidR="00B57336" w:rsidRDefault="00B57336" w:rsidP="00F32170">
      <w:pPr>
        <w:ind w:left="284"/>
      </w:pPr>
      <w:r>
        <w:t xml:space="preserve">Discovery; modelling, simulation and design; materials and component fabrication and prototyping; materials and component characterisation and testing; collaborative research and innovation </w:t>
      </w:r>
    </w:p>
    <w:p w:rsidR="009F261D" w:rsidRDefault="009F261D" w:rsidP="001D0C48">
      <w:pPr>
        <w:pStyle w:val="ListParagraph"/>
        <w:numPr>
          <w:ilvl w:val="0"/>
          <w:numId w:val="9"/>
        </w:numPr>
        <w:ind w:left="1418"/>
      </w:pPr>
      <w:r>
        <w:t>Metamaterials</w:t>
      </w:r>
    </w:p>
    <w:p w:rsidR="0002563A" w:rsidRDefault="0002563A" w:rsidP="00F32170">
      <w:pPr>
        <w:pStyle w:val="ListParagraph"/>
        <w:numPr>
          <w:ilvl w:val="1"/>
          <w:numId w:val="1"/>
        </w:numPr>
      </w:pPr>
      <w:r>
        <w:t>Functional, smart and animate materials</w:t>
      </w:r>
    </w:p>
    <w:p w:rsidR="009F261D" w:rsidRDefault="0002563A" w:rsidP="009F261D">
      <w:pPr>
        <w:pStyle w:val="ListParagraph"/>
        <w:numPr>
          <w:ilvl w:val="1"/>
          <w:numId w:val="1"/>
        </w:numPr>
      </w:pPr>
      <w:r>
        <w:t>Enabling advances in a</w:t>
      </w:r>
      <w:r w:rsidR="009F261D">
        <w:t>ntenna</w:t>
      </w:r>
      <w:r>
        <w:t xml:space="preserve"> functionality and integration into platforms, the soldier and infrastructure for communications, sensing and other electromagnetic activities</w:t>
      </w:r>
    </w:p>
    <w:p w:rsidR="00F32170" w:rsidRDefault="00F32170" w:rsidP="00F32170">
      <w:pPr>
        <w:ind w:left="1080"/>
      </w:pPr>
    </w:p>
    <w:p w:rsidR="009F261D" w:rsidRPr="00F32170" w:rsidRDefault="009F261D" w:rsidP="00F32170">
      <w:pPr>
        <w:pStyle w:val="ListParagraph"/>
        <w:numPr>
          <w:ilvl w:val="0"/>
          <w:numId w:val="7"/>
        </w:numPr>
        <w:ind w:left="284"/>
        <w:rPr>
          <w:b/>
          <w:i/>
        </w:rPr>
      </w:pPr>
      <w:r w:rsidRPr="00F32170">
        <w:rPr>
          <w:b/>
          <w:i/>
        </w:rPr>
        <w:t>Accelerated Materials Discovery</w:t>
      </w:r>
      <w:r w:rsidR="00F32170">
        <w:rPr>
          <w:b/>
          <w:i/>
        </w:rPr>
        <w:t>:</w:t>
      </w:r>
    </w:p>
    <w:p w:rsidR="00B57336" w:rsidRDefault="00555F43" w:rsidP="001D0C48">
      <w:r>
        <w:t>The rapid design and assessment of new or improved materials and associated manufacturing processes for generation after next defence capabilities in air, land, maritime, space or weapons domains. Improvement may not be just related to performance but could be to reduce the reliance o</w:t>
      </w:r>
      <w:r w:rsidR="00782800">
        <w:t>n</w:t>
      </w:r>
      <w:r>
        <w:t xml:space="preserve"> scarce or very expensive materials and elements</w:t>
      </w:r>
      <w:r w:rsidR="007A7C7E">
        <w:t xml:space="preserve"> and should include environmentally responsible approaches to the development of new materials for defence applications.</w:t>
      </w:r>
    </w:p>
    <w:p w:rsidR="00B57336" w:rsidRDefault="00555F43" w:rsidP="001D0C48">
      <w:r>
        <w:t>Accelerated materials discovery will employ the tools of:</w:t>
      </w:r>
    </w:p>
    <w:p w:rsidR="00B57336" w:rsidRDefault="00555F43" w:rsidP="001D0C48">
      <w:r>
        <w:t>(a) modelling and simulation at different length and temporal scales and supporting characterisation at those scales;</w:t>
      </w:r>
    </w:p>
    <w:p w:rsidR="00B57336" w:rsidRDefault="00555F43" w:rsidP="001D0C48">
      <w:r>
        <w:lastRenderedPageBreak/>
        <w:t>(b) high throughput and potentially accelerated materials characterisation and testing;</w:t>
      </w:r>
    </w:p>
    <w:p w:rsidR="00B57336" w:rsidRDefault="00555F43" w:rsidP="001D0C48">
      <w:r>
        <w:t>(c) sub-scale but relevant processing methods;</w:t>
      </w:r>
    </w:p>
    <w:p w:rsidR="00555F43" w:rsidRDefault="00555F43" w:rsidP="001D0C48">
      <w:r>
        <w:t>(d) digital tools to support prototype design studies. Structural, functional and multi-functional materials are all in scope, including</w:t>
      </w:r>
      <w:r w:rsidR="005A7E50">
        <w:t>,</w:t>
      </w:r>
      <w:r>
        <w:t xml:space="preserve"> </w:t>
      </w:r>
      <w:r w:rsidR="005A7E50">
        <w:t xml:space="preserve">but not limited to, </w:t>
      </w:r>
      <w:r>
        <w:t>ceramics, metals, polymers</w:t>
      </w:r>
      <w:r w:rsidR="00773472">
        <w:t>,</w:t>
      </w:r>
      <w:r>
        <w:t xml:space="preserve"> composites</w:t>
      </w:r>
      <w:r w:rsidR="00773472">
        <w:t>, adhesives and coatings</w:t>
      </w:r>
      <w:r>
        <w:t xml:space="preserve">. Properties of interest will depend on the application and could include, but not be limited to, mechanical (for </w:t>
      </w:r>
      <w:r w:rsidR="00782800">
        <w:t>relevant</w:t>
      </w:r>
      <w:r>
        <w:t xml:space="preserve"> loading types and strain rates), </w:t>
      </w:r>
      <w:r w:rsidR="007A7C7E">
        <w:t xml:space="preserve">acoustic, </w:t>
      </w:r>
      <w:r>
        <w:t xml:space="preserve">physical, thermal, optical, electrical, magnetic, </w:t>
      </w:r>
      <w:r w:rsidR="0034525D">
        <w:t>environmental (e.g. corrosion)</w:t>
      </w:r>
      <w:r>
        <w:t>.</w:t>
      </w:r>
    </w:p>
    <w:p w:rsidR="001E575D" w:rsidRPr="001E575D" w:rsidRDefault="001E575D" w:rsidP="001D0C48">
      <w:pPr>
        <w:rPr>
          <w:b/>
          <w:i/>
        </w:rPr>
      </w:pPr>
      <w:r w:rsidRPr="001E575D">
        <w:rPr>
          <w:b/>
          <w:i/>
        </w:rPr>
        <w:t xml:space="preserve">Note on Engineering </w:t>
      </w:r>
      <w:r>
        <w:rPr>
          <w:b/>
          <w:i/>
        </w:rPr>
        <w:t>B</w:t>
      </w:r>
      <w:r w:rsidRPr="001E575D">
        <w:rPr>
          <w:b/>
          <w:i/>
        </w:rPr>
        <w:t>iology:</w:t>
      </w:r>
    </w:p>
    <w:p w:rsidR="00F32170" w:rsidRPr="00F32170" w:rsidRDefault="001E575D" w:rsidP="000B678C">
      <w:pPr>
        <w:rPr>
          <w:rFonts w:cstheme="minorHAnsi"/>
        </w:rPr>
      </w:pPr>
      <w:r w:rsidRPr="001E575D">
        <w:t xml:space="preserve">As an emerging technology, engineering biology has the potential to transform many sectors and address major global grand challenges including materials-relevant issues </w:t>
      </w:r>
      <w:r>
        <w:t>such as</w:t>
      </w:r>
      <w:r w:rsidRPr="001E575D">
        <w:t xml:space="preserve"> decarbonisation, remediation, and recycling, as well as allowing production of novel precursors and facilitating control of microstructure. As such, we would </w:t>
      </w:r>
      <w:r>
        <w:t xml:space="preserve">also </w:t>
      </w:r>
      <w:r w:rsidRPr="001E575D">
        <w:t xml:space="preserve">be interested to see how links between </w:t>
      </w:r>
      <w:r>
        <w:t xml:space="preserve">potential </w:t>
      </w:r>
      <w:r w:rsidR="004850C5">
        <w:t>Centres of Excellence</w:t>
      </w:r>
      <w:r w:rsidRPr="001E575D">
        <w:t xml:space="preserve"> and local engineering biology expertise could be exploited</w:t>
      </w:r>
      <w:r>
        <w:t xml:space="preserve">, although we are not currently looking for feedback on </w:t>
      </w:r>
      <w:r w:rsidR="004850C5">
        <w:t>Centres of Excellence</w:t>
      </w:r>
      <w:r>
        <w:t xml:space="preserve"> for Engineering Biology as a separate entity</w:t>
      </w:r>
      <w:r w:rsidRPr="001E575D">
        <w:t>.</w:t>
      </w:r>
    </w:p>
    <w:p w:rsidR="009F261D" w:rsidRPr="00F32170" w:rsidRDefault="009F261D" w:rsidP="009F261D">
      <w:pPr>
        <w:rPr>
          <w:b/>
        </w:rPr>
      </w:pPr>
      <w:r w:rsidRPr="00F32170">
        <w:rPr>
          <w:b/>
        </w:rPr>
        <w:t>Miscellaneous</w:t>
      </w:r>
      <w:r w:rsidR="00F32170">
        <w:rPr>
          <w:b/>
        </w:rPr>
        <w:t>:</w:t>
      </w:r>
    </w:p>
    <w:p w:rsidR="00560683" w:rsidRDefault="00BC7E1B" w:rsidP="00D36368">
      <w:r>
        <w:t xml:space="preserve">Dstl is also </w:t>
      </w:r>
      <w:r w:rsidR="00195B76">
        <w:t>interested in</w:t>
      </w:r>
      <w:r w:rsidR="00D814E4">
        <w:t xml:space="preserve"> receiving responses </w:t>
      </w:r>
      <w:r w:rsidR="00516B7D">
        <w:t xml:space="preserve">that </w:t>
      </w:r>
      <w:r>
        <w:t>propos</w:t>
      </w:r>
      <w:r w:rsidR="00D814E4">
        <w:t>e</w:t>
      </w:r>
      <w:r>
        <w:t xml:space="preserve"> different </w:t>
      </w:r>
      <w:r w:rsidR="009B5D27">
        <w:t xml:space="preserve">approaches </w:t>
      </w:r>
      <w:r w:rsidR="00195B76">
        <w:t>to harness the expertise of the UK in an efficient manner, or in</w:t>
      </w:r>
      <w:r w:rsidR="00D814E4">
        <w:t xml:space="preserve"> those </w:t>
      </w:r>
      <w:r w:rsidR="00516B7D">
        <w:t xml:space="preserve">that </w:t>
      </w:r>
      <w:r w:rsidR="00D814E4">
        <w:t>r</w:t>
      </w:r>
      <w:r w:rsidR="00195B76">
        <w:t xml:space="preserve">epresent existing </w:t>
      </w:r>
      <w:r w:rsidR="004850C5">
        <w:t>Centres of Excellence</w:t>
      </w:r>
      <w:r w:rsidR="00195B76">
        <w:t xml:space="preserve"> in Advanced Materials </w:t>
      </w:r>
      <w:r w:rsidR="00B501E4">
        <w:t xml:space="preserve">technology </w:t>
      </w:r>
      <w:r w:rsidR="00195B76">
        <w:t xml:space="preserve">areas that are not listed but could be of importance to Defence and Security Applications. </w:t>
      </w:r>
    </w:p>
    <w:p w:rsidR="00560683" w:rsidRDefault="00560683">
      <w:r>
        <w:br w:type="page"/>
      </w:r>
    </w:p>
    <w:p w:rsidR="00D814E4" w:rsidRPr="000B109F" w:rsidRDefault="007E5DB7" w:rsidP="00D36368">
      <w:pPr>
        <w:rPr>
          <w:b/>
          <w:u w:val="single"/>
        </w:rPr>
      </w:pPr>
      <w:r w:rsidRPr="000B109F">
        <w:rPr>
          <w:b/>
          <w:u w:val="single"/>
        </w:rPr>
        <w:lastRenderedPageBreak/>
        <w:t xml:space="preserve">Prior information Notice Questionnaire </w:t>
      </w:r>
    </w:p>
    <w:p w:rsidR="00CB1009" w:rsidRDefault="007E5DB7" w:rsidP="00D36368">
      <w:r>
        <w:t xml:space="preserve">Please complete the below questionnaire </w:t>
      </w:r>
      <w:r w:rsidR="00D814E4">
        <w:t xml:space="preserve">and provide </w:t>
      </w:r>
      <w:r>
        <w:t xml:space="preserve">information, which </w:t>
      </w:r>
      <w:r w:rsidR="00D814E4">
        <w:t>Dstl</w:t>
      </w:r>
      <w:r>
        <w:t xml:space="preserve"> may seek to clarify and discuss further to support our understanding and</w:t>
      </w:r>
      <w:r w:rsidR="00D814E4">
        <w:t xml:space="preserve"> inform the future</w:t>
      </w:r>
      <w:r>
        <w:t xml:space="preserve"> development of </w:t>
      </w:r>
      <w:r w:rsidR="00D814E4">
        <w:t xml:space="preserve">the </w:t>
      </w:r>
      <w:r>
        <w:t>Business Case and Procurement Strategy.</w:t>
      </w:r>
    </w:p>
    <w:tbl>
      <w:tblPr>
        <w:tblStyle w:val="TableGrid"/>
        <w:tblW w:w="0" w:type="auto"/>
        <w:tblLook w:val="04A0" w:firstRow="1" w:lastRow="0" w:firstColumn="1" w:lastColumn="0" w:noHBand="0" w:noVBand="1"/>
      </w:tblPr>
      <w:tblGrid>
        <w:gridCol w:w="4508"/>
        <w:gridCol w:w="4508"/>
      </w:tblGrid>
      <w:tr w:rsidR="00CB1009" w:rsidTr="00CB1009">
        <w:tc>
          <w:tcPr>
            <w:tcW w:w="4508" w:type="dxa"/>
          </w:tcPr>
          <w:p w:rsidR="00CB1009" w:rsidRPr="001D0C48" w:rsidRDefault="00CB1009" w:rsidP="00CB1009">
            <w:pPr>
              <w:rPr>
                <w:b/>
              </w:rPr>
            </w:pPr>
            <w:r w:rsidRPr="001D0C48">
              <w:rPr>
                <w:b/>
              </w:rPr>
              <w:t>Organisation name</w:t>
            </w:r>
          </w:p>
        </w:tc>
        <w:tc>
          <w:tcPr>
            <w:tcW w:w="4508" w:type="dxa"/>
          </w:tcPr>
          <w:p w:rsidR="00CB1009" w:rsidRDefault="00CB1009" w:rsidP="00CB1009"/>
        </w:tc>
      </w:tr>
      <w:tr w:rsidR="00CB1009" w:rsidTr="00CB1009">
        <w:tc>
          <w:tcPr>
            <w:tcW w:w="4508" w:type="dxa"/>
          </w:tcPr>
          <w:p w:rsidR="00CB1009" w:rsidRPr="001D0C48" w:rsidRDefault="00CB1009" w:rsidP="00CB1009">
            <w:pPr>
              <w:rPr>
                <w:b/>
              </w:rPr>
            </w:pPr>
            <w:r w:rsidRPr="001D0C48">
              <w:rPr>
                <w:b/>
              </w:rPr>
              <w:t>POC name and contact details</w:t>
            </w:r>
          </w:p>
        </w:tc>
        <w:tc>
          <w:tcPr>
            <w:tcW w:w="4508" w:type="dxa"/>
          </w:tcPr>
          <w:p w:rsidR="00CB1009" w:rsidRDefault="00CB1009" w:rsidP="00CB1009"/>
        </w:tc>
      </w:tr>
      <w:tr w:rsidR="00CB1009" w:rsidTr="00CB1009">
        <w:tc>
          <w:tcPr>
            <w:tcW w:w="4508" w:type="dxa"/>
          </w:tcPr>
          <w:p w:rsidR="00CB1009" w:rsidRPr="001D0C48" w:rsidRDefault="00CB1009" w:rsidP="00CB1009">
            <w:pPr>
              <w:rPr>
                <w:b/>
              </w:rPr>
            </w:pPr>
            <w:r w:rsidRPr="001D0C48">
              <w:rPr>
                <w:b/>
              </w:rPr>
              <w:t>Materials Area</w:t>
            </w:r>
          </w:p>
        </w:tc>
        <w:tc>
          <w:tcPr>
            <w:tcW w:w="4508" w:type="dxa"/>
          </w:tcPr>
          <w:p w:rsidR="00CB1009" w:rsidRDefault="0007618A" w:rsidP="00CB1009">
            <w:r>
              <w:t xml:space="preserve">i.e. ‘Extreme Environments’, ‘Contested </w:t>
            </w:r>
            <w:r w:rsidR="009132D5">
              <w:t>E</w:t>
            </w:r>
            <w:r>
              <w:t>lectromagnetic’, ‘Accelerated Discovery’, , ‘Miscellaneous’</w:t>
            </w:r>
          </w:p>
        </w:tc>
      </w:tr>
      <w:tr w:rsidR="0007618A" w:rsidTr="00CB1009">
        <w:tc>
          <w:tcPr>
            <w:tcW w:w="4508" w:type="dxa"/>
          </w:tcPr>
          <w:p w:rsidR="0007618A" w:rsidRPr="0007618A" w:rsidRDefault="004525F0" w:rsidP="00CB1009">
            <w:pPr>
              <w:rPr>
                <w:b/>
              </w:rPr>
            </w:pPr>
            <w:r>
              <w:rPr>
                <w:b/>
              </w:rPr>
              <w:t>Centre of Excellence e</w:t>
            </w:r>
            <w:r w:rsidR="0007618A">
              <w:rPr>
                <w:b/>
              </w:rPr>
              <w:t>stablished or in planning?</w:t>
            </w:r>
          </w:p>
        </w:tc>
        <w:tc>
          <w:tcPr>
            <w:tcW w:w="4508" w:type="dxa"/>
          </w:tcPr>
          <w:p w:rsidR="0007618A" w:rsidDel="0007618A" w:rsidRDefault="0007618A" w:rsidP="00CB1009">
            <w:r>
              <w:t>If in planning, please highlight potential IOC year if known</w:t>
            </w:r>
          </w:p>
        </w:tc>
      </w:tr>
      <w:tr w:rsidR="00CB1009" w:rsidTr="00263CFA">
        <w:tc>
          <w:tcPr>
            <w:tcW w:w="9016" w:type="dxa"/>
            <w:gridSpan w:val="2"/>
          </w:tcPr>
          <w:p w:rsidR="00CB1009" w:rsidRDefault="00CB1009" w:rsidP="00CB1009">
            <w:r>
              <w:t xml:space="preserve">Describe briefly the areas covered </w:t>
            </w:r>
            <w:r w:rsidR="00E929F4">
              <w:t xml:space="preserve">by </w:t>
            </w:r>
            <w:r>
              <w:t>the Centre</w:t>
            </w:r>
            <w:r w:rsidR="00E929F4">
              <w:t xml:space="preserve"> and its key drivers</w:t>
            </w:r>
            <w:r w:rsidR="00BE7E7A">
              <w:t xml:space="preserve"> (</w:t>
            </w:r>
            <w:r w:rsidR="007A7C7E">
              <w:t>for example t</w:t>
            </w:r>
            <w:r w:rsidR="00BE7E7A">
              <w:t>echnology</w:t>
            </w:r>
            <w:r w:rsidR="007A7C7E">
              <w:t xml:space="preserve"> s</w:t>
            </w:r>
            <w:r w:rsidR="00BE7E7A">
              <w:t>cope</w:t>
            </w:r>
            <w:r w:rsidR="007A7C7E">
              <w:t>, TRL scope, application area foci etc.)</w:t>
            </w:r>
            <w:r>
              <w:t>:</w:t>
            </w:r>
          </w:p>
          <w:p w:rsidR="00CB1009" w:rsidRDefault="00CB1009" w:rsidP="00CB1009"/>
          <w:p w:rsidR="00CB1009" w:rsidRDefault="00CB1009" w:rsidP="00CB1009"/>
          <w:p w:rsidR="00CB1009" w:rsidRDefault="00CB1009" w:rsidP="00CB1009"/>
          <w:p w:rsidR="00CB1009" w:rsidRDefault="00CB1009" w:rsidP="00CB1009"/>
        </w:tc>
      </w:tr>
      <w:tr w:rsidR="00CB1009" w:rsidTr="00263CFA">
        <w:tc>
          <w:tcPr>
            <w:tcW w:w="9016" w:type="dxa"/>
            <w:gridSpan w:val="2"/>
          </w:tcPr>
          <w:p w:rsidR="00CB1009" w:rsidRDefault="00CB1009" w:rsidP="00CB1009">
            <w:r>
              <w:t>Describe briefly the ethos and construct</w:t>
            </w:r>
            <w:r w:rsidR="0039156A">
              <w:t xml:space="preserve"> (including Legal construct)</w:t>
            </w:r>
            <w:r>
              <w:t xml:space="preserve"> of the Centre</w:t>
            </w:r>
            <w:r w:rsidR="008F1FA6">
              <w:t xml:space="preserve"> (for example partners, partnering mechanism, approach to facilities &amp; skills, legal owner etc.)</w:t>
            </w:r>
            <w:r>
              <w:t>:</w:t>
            </w:r>
          </w:p>
          <w:p w:rsidR="00CB1009" w:rsidRDefault="00CB1009" w:rsidP="00CB1009"/>
          <w:p w:rsidR="00CB1009" w:rsidRDefault="00CB1009" w:rsidP="00CB1009"/>
          <w:p w:rsidR="00CB1009" w:rsidRDefault="00CB1009" w:rsidP="00CB1009"/>
          <w:p w:rsidR="00CB1009" w:rsidRDefault="00CB1009" w:rsidP="00CB1009"/>
        </w:tc>
      </w:tr>
      <w:tr w:rsidR="00CB1009" w:rsidTr="00263CFA">
        <w:tc>
          <w:tcPr>
            <w:tcW w:w="9016" w:type="dxa"/>
            <w:gridSpan w:val="2"/>
          </w:tcPr>
          <w:p w:rsidR="00CB1009" w:rsidRDefault="00CB1009" w:rsidP="00CB1009">
            <w:r>
              <w:t xml:space="preserve">Describe briefly the opportunity for Dstl to </w:t>
            </w:r>
            <w:r w:rsidR="008F1FA6">
              <w:t>work collaboratively</w:t>
            </w:r>
            <w:r>
              <w:t xml:space="preserve"> with the Centre</w:t>
            </w:r>
            <w:r w:rsidR="008F1FA6">
              <w:t xml:space="preserve"> (for example, how do you see a potential collaboration working</w:t>
            </w:r>
            <w:r w:rsidR="008E7194">
              <w:t>, how could the Centre aid in delivery of S&amp;T and development of Dstl and external SQEP</w:t>
            </w:r>
            <w:r w:rsidR="008F1FA6">
              <w:t>)</w:t>
            </w:r>
          </w:p>
          <w:p w:rsidR="00CB1009" w:rsidRDefault="00CB1009" w:rsidP="00CB1009"/>
          <w:p w:rsidR="00CB1009" w:rsidRDefault="00CB1009" w:rsidP="00CB1009"/>
          <w:p w:rsidR="00CB1009" w:rsidRDefault="00CB1009" w:rsidP="00CB1009"/>
          <w:p w:rsidR="00CB1009" w:rsidRDefault="00CB1009" w:rsidP="00CB1009"/>
        </w:tc>
      </w:tr>
      <w:tr w:rsidR="00017441" w:rsidTr="00263CFA">
        <w:tc>
          <w:tcPr>
            <w:tcW w:w="9016" w:type="dxa"/>
            <w:gridSpan w:val="2"/>
          </w:tcPr>
          <w:p w:rsidR="00017441" w:rsidRDefault="00017441" w:rsidP="00CB1009">
            <w:r>
              <w:t>If you are able to provide indicative cost information, without undertaking significant effort</w:t>
            </w:r>
            <w:r>
              <w:rPr>
                <w:rStyle w:val="FootnoteReference"/>
              </w:rPr>
              <w:footnoteReference w:id="2"/>
            </w:r>
            <w:r>
              <w:t xml:space="preserve"> </w:t>
            </w:r>
            <w:r w:rsidR="008F1FA6">
              <w:t>, please provide examples here (f</w:t>
            </w:r>
            <w:r w:rsidR="0007618A">
              <w:t>or example, these could be based on the indicative numbers of projects and TRL levels provided</w:t>
            </w:r>
            <w:r w:rsidR="003F72B9">
              <w:t xml:space="preserve"> (e.g. 1 year projects at TRL 1-2, cost of PhDs, 3 year projects to TRL4 etc)</w:t>
            </w:r>
            <w:r w:rsidR="0007618A">
              <w:t xml:space="preserve">, access fees already in place with the Centre, equivalent </w:t>
            </w:r>
            <w:r w:rsidR="009628DB">
              <w:t>collaborative working</w:t>
            </w:r>
            <w:r w:rsidR="0007618A">
              <w:t xml:space="preserve"> with other entities etc.</w:t>
            </w:r>
            <w:r w:rsidR="008F1FA6">
              <w:t>).</w:t>
            </w:r>
          </w:p>
          <w:p w:rsidR="0007618A" w:rsidRDefault="0007618A" w:rsidP="00CB1009"/>
          <w:p w:rsidR="00017441" w:rsidRDefault="00017441" w:rsidP="00CB1009"/>
          <w:p w:rsidR="00017441" w:rsidRDefault="00017441" w:rsidP="00CB1009"/>
          <w:p w:rsidR="00017441" w:rsidRDefault="00017441" w:rsidP="00CB1009"/>
          <w:p w:rsidR="00017441" w:rsidRDefault="00017441" w:rsidP="00CB1009"/>
          <w:p w:rsidR="00017441" w:rsidRDefault="00017441" w:rsidP="00CB1009"/>
          <w:p w:rsidR="00017441" w:rsidRDefault="00017441" w:rsidP="00CB1009"/>
          <w:p w:rsidR="00565BDC" w:rsidRDefault="00565BDC" w:rsidP="00CB1009"/>
        </w:tc>
      </w:tr>
      <w:tr w:rsidR="0007618A" w:rsidTr="00263CFA">
        <w:tc>
          <w:tcPr>
            <w:tcW w:w="9016" w:type="dxa"/>
            <w:gridSpan w:val="2"/>
          </w:tcPr>
          <w:p w:rsidR="0007618A" w:rsidRDefault="0007618A" w:rsidP="00CB1009">
            <w:r>
              <w:lastRenderedPageBreak/>
              <w:t xml:space="preserve">Describe briefly the added value </w:t>
            </w:r>
            <w:r w:rsidR="00E87665">
              <w:t xml:space="preserve">potential through </w:t>
            </w:r>
            <w:r w:rsidR="009628DB">
              <w:t>collaborative working</w:t>
            </w:r>
            <w:r w:rsidR="00E87665">
              <w:t xml:space="preserve"> with the Centre</w:t>
            </w:r>
            <w:r w:rsidR="008F1FA6">
              <w:t xml:space="preserve"> (for example, what benefits might Dstl see through collaborative working).</w:t>
            </w:r>
          </w:p>
          <w:p w:rsidR="00E87665" w:rsidRDefault="00E87665" w:rsidP="00CB1009"/>
          <w:p w:rsidR="00E87665" w:rsidRDefault="00E87665" w:rsidP="00CB1009"/>
          <w:p w:rsidR="00E87665" w:rsidRDefault="00E87665" w:rsidP="00CB1009"/>
          <w:p w:rsidR="00E87665" w:rsidRDefault="00E87665" w:rsidP="00CB1009"/>
          <w:p w:rsidR="00E87665" w:rsidRDefault="00E87665" w:rsidP="00CB1009"/>
          <w:p w:rsidR="00565BDC" w:rsidRDefault="00565BDC" w:rsidP="00CB1009"/>
          <w:p w:rsidR="00E87665" w:rsidRDefault="00E87665" w:rsidP="00CB1009"/>
        </w:tc>
      </w:tr>
      <w:tr w:rsidR="008F1FA6" w:rsidTr="00263CFA">
        <w:tc>
          <w:tcPr>
            <w:tcW w:w="9016" w:type="dxa"/>
            <w:gridSpan w:val="2"/>
          </w:tcPr>
          <w:p w:rsidR="008F1FA6" w:rsidRDefault="008F1FA6" w:rsidP="00CB1009">
            <w:r>
              <w:t xml:space="preserve">What are your thoughts on the Centres of </w:t>
            </w:r>
            <w:r w:rsidR="004850C5">
              <w:t>E</w:t>
            </w:r>
            <w:r>
              <w:t>xcellence approach, is this feasible? Do you have thoughts which you would like to share on a potential different approach or approaches which could apply?</w:t>
            </w:r>
            <w:r w:rsidR="004624E2">
              <w:t xml:space="preserve"> If you would like to make us aware of opportunities for different ways of working, please share this information with us.  </w:t>
            </w:r>
          </w:p>
          <w:p w:rsidR="004624E2" w:rsidRDefault="004624E2" w:rsidP="00CB1009"/>
          <w:p w:rsidR="004624E2" w:rsidRDefault="004624E2" w:rsidP="00CB1009"/>
          <w:p w:rsidR="004624E2" w:rsidRDefault="004624E2" w:rsidP="00CB1009"/>
          <w:p w:rsidR="004624E2" w:rsidRDefault="004624E2" w:rsidP="00CB1009"/>
          <w:p w:rsidR="004624E2" w:rsidRDefault="004624E2" w:rsidP="00CB1009"/>
          <w:p w:rsidR="00565BDC" w:rsidRDefault="00565BDC" w:rsidP="00CB1009"/>
          <w:p w:rsidR="004624E2" w:rsidRDefault="004624E2" w:rsidP="00CB1009"/>
        </w:tc>
      </w:tr>
      <w:tr w:rsidR="00A6201C" w:rsidTr="00263CFA">
        <w:tc>
          <w:tcPr>
            <w:tcW w:w="9016" w:type="dxa"/>
            <w:gridSpan w:val="2"/>
          </w:tcPr>
          <w:p w:rsidR="00A6201C" w:rsidRDefault="00A6201C" w:rsidP="00A6201C">
            <w:r>
              <w:t>Please provide any other comments or advice which you believe will inform or support the development of Dstl’s future Business Case(s) and Procurement strategy.</w:t>
            </w:r>
          </w:p>
          <w:p w:rsidR="00A6201C" w:rsidRDefault="00A6201C" w:rsidP="00A6201C"/>
          <w:p w:rsidR="00A6201C" w:rsidRDefault="00A6201C" w:rsidP="00A6201C"/>
          <w:p w:rsidR="00A6201C" w:rsidRDefault="00A6201C" w:rsidP="00CB1009"/>
          <w:p w:rsidR="00A6201C" w:rsidRDefault="00A6201C" w:rsidP="00CB1009"/>
          <w:p w:rsidR="00A6201C" w:rsidRDefault="00A6201C" w:rsidP="00CB1009"/>
          <w:p w:rsidR="00A6201C" w:rsidRDefault="00A6201C" w:rsidP="00CB1009"/>
          <w:p w:rsidR="00A6201C" w:rsidRDefault="00A6201C" w:rsidP="00CB1009"/>
          <w:p w:rsidR="00A6201C" w:rsidRDefault="00A6201C" w:rsidP="00CB1009"/>
          <w:p w:rsidR="00A6201C" w:rsidRDefault="00A6201C" w:rsidP="00CB1009"/>
          <w:p w:rsidR="00A6201C" w:rsidRDefault="00A6201C" w:rsidP="00CB1009"/>
          <w:p w:rsidR="00A6201C" w:rsidRDefault="00A6201C" w:rsidP="00CB1009"/>
          <w:p w:rsidR="00A6201C" w:rsidRDefault="00A6201C" w:rsidP="00CB1009"/>
        </w:tc>
      </w:tr>
    </w:tbl>
    <w:p w:rsidR="000B678C" w:rsidRDefault="000B678C" w:rsidP="00D36368">
      <w:pPr>
        <w:rPr>
          <w:b/>
        </w:rPr>
      </w:pPr>
    </w:p>
    <w:p w:rsidR="00FF19A5" w:rsidRDefault="007E5DB7" w:rsidP="00D36368">
      <w:pPr>
        <w:rPr>
          <w:b/>
        </w:rPr>
      </w:pPr>
      <w:r>
        <w:rPr>
          <w:b/>
        </w:rPr>
        <w:t>Your completed Prior Information Notic</w:t>
      </w:r>
      <w:r w:rsidR="001E5BA7">
        <w:rPr>
          <w:b/>
        </w:rPr>
        <w:t xml:space="preserve">e Questionnaire </w:t>
      </w:r>
      <w:r w:rsidR="00E87665" w:rsidRPr="00F32170">
        <w:rPr>
          <w:b/>
        </w:rPr>
        <w:t xml:space="preserve">should be returned </w:t>
      </w:r>
      <w:r w:rsidR="00FF19A5">
        <w:rPr>
          <w:b/>
        </w:rPr>
        <w:t>to Oliver Kell at Dstl Commercial to the following email address</w:t>
      </w:r>
      <w:r w:rsidR="004525F0">
        <w:rPr>
          <w:b/>
        </w:rPr>
        <w:t xml:space="preserve"> </w:t>
      </w:r>
      <w:hyperlink r:id="rId12" w:history="1">
        <w:r w:rsidR="004525F0" w:rsidRPr="00706A1B">
          <w:rPr>
            <w:rStyle w:val="Hyperlink"/>
            <w:b/>
          </w:rPr>
          <w:t>okell@dstl.gov.uk</w:t>
        </w:r>
      </w:hyperlink>
      <w:r w:rsidR="004525F0">
        <w:rPr>
          <w:b/>
        </w:rPr>
        <w:t xml:space="preserve"> by </w:t>
      </w:r>
      <w:r w:rsidR="0083738C" w:rsidRPr="0083738C">
        <w:rPr>
          <w:b/>
        </w:rPr>
        <w:t>17:00 hours on 18th November 2021</w:t>
      </w:r>
      <w:r w:rsidR="004525F0" w:rsidRPr="0083738C">
        <w:rPr>
          <w:b/>
        </w:rPr>
        <w:t>.</w:t>
      </w:r>
      <w:bookmarkStart w:id="0" w:name="_GoBack"/>
      <w:bookmarkEnd w:id="0"/>
    </w:p>
    <w:p w:rsidR="00D36368" w:rsidRPr="001E575D" w:rsidRDefault="00F32170" w:rsidP="00D36368">
      <w:pPr>
        <w:rPr>
          <w:b/>
        </w:rPr>
      </w:pPr>
      <w:r w:rsidRPr="001E575D">
        <w:rPr>
          <w:b/>
        </w:rPr>
        <w:t>Questions and Answers:</w:t>
      </w:r>
    </w:p>
    <w:p w:rsidR="00F32170" w:rsidRDefault="00A87743" w:rsidP="00F32170">
      <w:pPr>
        <w:pStyle w:val="ListParagraph"/>
        <w:numPr>
          <w:ilvl w:val="0"/>
          <w:numId w:val="11"/>
        </w:numPr>
        <w:ind w:left="426"/>
      </w:pPr>
      <w:r>
        <w:t xml:space="preserve"> Is a response required to this PIN</w:t>
      </w:r>
      <w:r w:rsidR="00E173F5">
        <w:t xml:space="preserve"> questionnaire</w:t>
      </w:r>
      <w:r>
        <w:t xml:space="preserve"> in order to be selected for any future Procurement activity</w:t>
      </w:r>
      <w:r w:rsidR="00F32170">
        <w:t>?</w:t>
      </w:r>
    </w:p>
    <w:p w:rsidR="00F32170" w:rsidRDefault="00F32170" w:rsidP="00F32170">
      <w:pPr>
        <w:ind w:left="66"/>
      </w:pPr>
      <w:r>
        <w:t xml:space="preserve">A. No - this stage is </w:t>
      </w:r>
      <w:r w:rsidR="00A87743">
        <w:t xml:space="preserve">for the purpose of obtaining information to support Dstl’s understanding of what could be available from the market and </w:t>
      </w:r>
      <w:r w:rsidR="009132D5">
        <w:t xml:space="preserve">to </w:t>
      </w:r>
      <w:r w:rsidR="00A87743">
        <w:t>support business case and procurement strategy planning.</w:t>
      </w:r>
      <w:r w:rsidR="002C128F">
        <w:t xml:space="preserve">  This is not a call for competition.</w:t>
      </w:r>
      <w:r>
        <w:t xml:space="preserve"> Should a future procurement</w:t>
      </w:r>
      <w:r w:rsidR="00A87743">
        <w:t xml:space="preserve"> result from th</w:t>
      </w:r>
      <w:r w:rsidR="00EC2535">
        <w:t>e</w:t>
      </w:r>
      <w:r w:rsidR="00A87743">
        <w:t xml:space="preserve"> PIN</w:t>
      </w:r>
      <w:r w:rsidR="00EC2535">
        <w:t xml:space="preserve"> advert</w:t>
      </w:r>
      <w:r>
        <w:t xml:space="preserve"> </w:t>
      </w:r>
      <w:r w:rsidR="001E5BA7">
        <w:t>this</w:t>
      </w:r>
      <w:r>
        <w:t xml:space="preserve"> will be </w:t>
      </w:r>
      <w:r w:rsidR="001E5BA7">
        <w:t xml:space="preserve">run </w:t>
      </w:r>
      <w:r>
        <w:t>in a fair and open competition in accordance wit</w:t>
      </w:r>
      <w:r w:rsidR="009628DB">
        <w:t>h the appropriate Procurement Legislation.</w:t>
      </w:r>
    </w:p>
    <w:p w:rsidR="00F32170" w:rsidRDefault="00F32170" w:rsidP="00F32170">
      <w:pPr>
        <w:pStyle w:val="ListParagraph"/>
        <w:numPr>
          <w:ilvl w:val="0"/>
          <w:numId w:val="11"/>
        </w:numPr>
        <w:ind w:left="426"/>
      </w:pPr>
      <w:r>
        <w:lastRenderedPageBreak/>
        <w:t xml:space="preserve">Does the </w:t>
      </w:r>
      <w:r w:rsidR="001E575D">
        <w:t>Questionnaire response</w:t>
      </w:r>
      <w:r>
        <w:t xml:space="preserve"> have to cover </w:t>
      </w:r>
      <w:r w:rsidR="002C128F">
        <w:t xml:space="preserve">the scope of </w:t>
      </w:r>
      <w:r w:rsidR="002C128F" w:rsidRPr="001E575D">
        <w:rPr>
          <w:u w:val="single"/>
        </w:rPr>
        <w:t>all</w:t>
      </w:r>
      <w:r w:rsidR="002C128F">
        <w:t xml:space="preserve"> Centres of </w:t>
      </w:r>
      <w:r w:rsidR="001E5BA7">
        <w:t>Excellence areas</w:t>
      </w:r>
      <w:r w:rsidR="001E575D">
        <w:t xml:space="preserve"> of interest</w:t>
      </w:r>
      <w:r>
        <w:t>?</w:t>
      </w:r>
    </w:p>
    <w:p w:rsidR="00F32170" w:rsidRDefault="00F32170" w:rsidP="00F32170">
      <w:pPr>
        <w:ind w:left="66"/>
      </w:pPr>
      <w:r>
        <w:t xml:space="preserve">A. No - we are interested in </w:t>
      </w:r>
      <w:r w:rsidR="002C128F">
        <w:t xml:space="preserve">responses </w:t>
      </w:r>
      <w:r w:rsidR="00947258">
        <w:t>that</w:t>
      </w:r>
      <w:r w:rsidR="001E575D">
        <w:t xml:space="preserve"> cover</w:t>
      </w:r>
      <w:r w:rsidR="002C128F">
        <w:rPr>
          <w:i/>
        </w:rPr>
        <w:t xml:space="preserve"> the scope of </w:t>
      </w:r>
      <w:r w:rsidR="002C128F" w:rsidRPr="002E4998">
        <w:rPr>
          <w:i/>
          <w:u w:val="single"/>
        </w:rPr>
        <w:t>any</w:t>
      </w:r>
      <w:r w:rsidR="002C128F">
        <w:rPr>
          <w:i/>
        </w:rPr>
        <w:t xml:space="preserve"> individual Centre of Excellence</w:t>
      </w:r>
      <w:r>
        <w:t xml:space="preserve"> in order to understand the breadth of current opportunities</w:t>
      </w:r>
      <w:r w:rsidR="002C128F">
        <w:t>.</w:t>
      </w:r>
    </w:p>
    <w:p w:rsidR="00F32170" w:rsidRDefault="00F32170" w:rsidP="00CF5482">
      <w:pPr>
        <w:pStyle w:val="ListParagraph"/>
        <w:numPr>
          <w:ilvl w:val="0"/>
          <w:numId w:val="11"/>
        </w:numPr>
        <w:ind w:left="426"/>
      </w:pPr>
      <w:r>
        <w:t>Our Centre cannot cover all the TRLs listed - is it still of interest?</w:t>
      </w:r>
    </w:p>
    <w:p w:rsidR="00F32170" w:rsidRDefault="00F32170" w:rsidP="00F32170">
      <w:pPr>
        <w:ind w:left="66"/>
      </w:pPr>
      <w:r>
        <w:t xml:space="preserve">A. We are looking </w:t>
      </w:r>
      <w:r w:rsidR="004624E2">
        <w:t xml:space="preserve">to </w:t>
      </w:r>
      <w:r w:rsidR="009628DB">
        <w:t xml:space="preserve">work collaboratively </w:t>
      </w:r>
      <w:r>
        <w:t xml:space="preserve">with leading experts - the Centre should be able to cover the majority of TRLs but could have access to established </w:t>
      </w:r>
      <w:r w:rsidR="00223AEB">
        <w:t>collaborative network</w:t>
      </w:r>
      <w:r>
        <w:t xml:space="preserve">s to </w:t>
      </w:r>
      <w:r w:rsidR="00CF5482">
        <w:t xml:space="preserve">deliver </w:t>
      </w:r>
      <w:r w:rsidR="004624E2">
        <w:t>certain aspects (e.g. academic C</w:t>
      </w:r>
      <w:r w:rsidR="00CF5482">
        <w:t xml:space="preserve">entres </w:t>
      </w:r>
      <w:r w:rsidR="004624E2">
        <w:t>collaborating externally with industry</w:t>
      </w:r>
      <w:r w:rsidR="00CF5482">
        <w:t xml:space="preserve"> </w:t>
      </w:r>
      <w:r w:rsidR="004624E2">
        <w:t xml:space="preserve">to cover high TRLs, industrial </w:t>
      </w:r>
      <w:r w:rsidR="004850C5">
        <w:t>Centres of Excellence</w:t>
      </w:r>
      <w:r w:rsidR="00CF5482">
        <w:t xml:space="preserve"> </w:t>
      </w:r>
      <w:r w:rsidR="009628DB">
        <w:t>collab</w:t>
      </w:r>
      <w:r w:rsidR="004624E2">
        <w:t>orating externally</w:t>
      </w:r>
      <w:r w:rsidR="00CF5482">
        <w:t xml:space="preserve"> </w:t>
      </w:r>
      <w:r w:rsidR="004624E2">
        <w:t>with academia</w:t>
      </w:r>
      <w:r w:rsidR="00223AEB">
        <w:t xml:space="preserve"> to </w:t>
      </w:r>
      <w:r w:rsidR="00CF5482">
        <w:t>cover low TRLs)</w:t>
      </w:r>
      <w:r w:rsidR="004624E2">
        <w:t>.</w:t>
      </w:r>
    </w:p>
    <w:p w:rsidR="00BE1929" w:rsidRPr="00F32170" w:rsidRDefault="00BE1929" w:rsidP="00F32170">
      <w:pPr>
        <w:ind w:left="66"/>
      </w:pPr>
      <w:r>
        <w:t xml:space="preserve">It is also recognised that TRLs may need to differ between </w:t>
      </w:r>
      <w:r w:rsidR="004850C5">
        <w:t>Centres of Excellence</w:t>
      </w:r>
      <w:r>
        <w:t xml:space="preserve">; we welcome feedback on the appropriate scope and level of ambition associated with each </w:t>
      </w:r>
      <w:r w:rsidR="001E575D">
        <w:t>technical</w:t>
      </w:r>
      <w:r>
        <w:t xml:space="preserve"> area</w:t>
      </w:r>
      <w:r w:rsidR="001E575D">
        <w:t xml:space="preserve"> of interest</w:t>
      </w:r>
      <w:r>
        <w:t>.</w:t>
      </w:r>
    </w:p>
    <w:p w:rsidR="00CF5482" w:rsidRDefault="002E4998" w:rsidP="004624E2">
      <w:pPr>
        <w:pStyle w:val="ListParagraph"/>
        <w:numPr>
          <w:ilvl w:val="0"/>
          <w:numId w:val="11"/>
        </w:numPr>
        <w:ind w:left="426"/>
      </w:pPr>
      <w:r>
        <w:t xml:space="preserve">Our organisation is focused on programme / project management capable of managing engagements with </w:t>
      </w:r>
      <w:r w:rsidR="004850C5">
        <w:t>Centres of Excellence</w:t>
      </w:r>
      <w:r>
        <w:t xml:space="preserve"> - is this of interest?</w:t>
      </w:r>
    </w:p>
    <w:p w:rsidR="004624E2" w:rsidRDefault="004624E2" w:rsidP="004624E2">
      <w:r>
        <w:t xml:space="preserve">A. </w:t>
      </w:r>
      <w:r w:rsidR="002E4998">
        <w:t>Not at this stage; this PIN</w:t>
      </w:r>
      <w:r w:rsidR="00EC2535">
        <w:t xml:space="preserve"> questionnaire</w:t>
      </w:r>
      <w:r w:rsidR="002E4998">
        <w:t xml:space="preserve"> is focused on feedback directly from organisations with existing </w:t>
      </w:r>
      <w:r w:rsidR="004850C5">
        <w:t>Centres of Excellence</w:t>
      </w:r>
      <w:r w:rsidR="002E4998">
        <w:t xml:space="preserve"> or those maturing in planning.</w:t>
      </w:r>
    </w:p>
    <w:p w:rsidR="00C2227E" w:rsidRDefault="009132D5" w:rsidP="004624E2">
      <w:r>
        <w:t>5</w:t>
      </w:r>
      <w:r w:rsidR="002E4998">
        <w:t xml:space="preserve">. </w:t>
      </w:r>
      <w:r w:rsidR="00C2227E">
        <w:t>What is meant by TRL levels?</w:t>
      </w:r>
    </w:p>
    <w:p w:rsidR="00C2227E" w:rsidRDefault="00C2227E" w:rsidP="004624E2">
      <w:r>
        <w:t>TRLs can be considered as described in the Table below, with TRLs 1-6 being the primary interest associated with this PIN</w:t>
      </w:r>
      <w:r w:rsidR="00EC2535">
        <w:t xml:space="preserve"> advert</w:t>
      </w:r>
      <w:r>
        <w:t>:</w:t>
      </w:r>
    </w:p>
    <w:p w:rsidR="00C2227E" w:rsidRPr="00565BDC" w:rsidRDefault="00C2227E" w:rsidP="00E81389">
      <w:pPr>
        <w:autoSpaceDE w:val="0"/>
        <w:autoSpaceDN w:val="0"/>
        <w:adjustRightInd w:val="0"/>
        <w:ind w:firstLine="720"/>
        <w:rPr>
          <w:rFonts w:cstheme="minorHAnsi"/>
          <w:b/>
        </w:rPr>
      </w:pPr>
      <w:r>
        <w:rPr>
          <w:rFonts w:ascii="Arial" w:hAnsi="Arial"/>
          <w:b/>
          <w:sz w:val="18"/>
        </w:rPr>
        <w:t xml:space="preserve">                      </w:t>
      </w:r>
      <w:r w:rsidRPr="00565BDC">
        <w:rPr>
          <w:rFonts w:cstheme="minorHAnsi"/>
          <w:b/>
        </w:rPr>
        <w:t>MOD TECHNOLOGY READINESS LEVELS AND THEIR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52"/>
        <w:gridCol w:w="5411"/>
      </w:tblGrid>
      <w:tr w:rsidR="00C2227E" w:rsidRPr="00565BDC" w:rsidTr="001F2113">
        <w:tc>
          <w:tcPr>
            <w:tcW w:w="534" w:type="dxa"/>
          </w:tcPr>
          <w:p w:rsidR="00C2227E" w:rsidRPr="00565BDC" w:rsidRDefault="00C2227E" w:rsidP="001F2113">
            <w:pPr>
              <w:autoSpaceDE w:val="0"/>
              <w:autoSpaceDN w:val="0"/>
              <w:adjustRightInd w:val="0"/>
              <w:rPr>
                <w:rFonts w:cstheme="minorHAnsi"/>
                <w:b/>
              </w:rPr>
            </w:pPr>
            <w:r w:rsidRPr="00565BDC">
              <w:rPr>
                <w:rFonts w:cstheme="minorHAnsi"/>
                <w:b/>
              </w:rPr>
              <w:t>9</w:t>
            </w:r>
          </w:p>
        </w:tc>
        <w:tc>
          <w:tcPr>
            <w:tcW w:w="2952" w:type="dxa"/>
          </w:tcPr>
          <w:p w:rsidR="00C2227E" w:rsidRPr="00565BDC" w:rsidRDefault="00C2227E">
            <w:pPr>
              <w:autoSpaceDE w:val="0"/>
              <w:autoSpaceDN w:val="0"/>
              <w:adjustRightInd w:val="0"/>
              <w:rPr>
                <w:rFonts w:cstheme="minorHAnsi"/>
                <w:b/>
              </w:rPr>
            </w:pPr>
            <w:r w:rsidRPr="00565BDC">
              <w:rPr>
                <w:rFonts w:cstheme="minorHAnsi"/>
              </w:rPr>
              <w:t>Actual Technology System qualified through reliability and maintainability demonstration in service</w:t>
            </w:r>
            <w:r w:rsidR="00E81389" w:rsidRPr="00565BDC">
              <w:rPr>
                <w:rFonts w:cstheme="minorHAnsi"/>
              </w:rPr>
              <w:t>.</w:t>
            </w:r>
          </w:p>
        </w:tc>
        <w:tc>
          <w:tcPr>
            <w:tcW w:w="5411" w:type="dxa"/>
          </w:tcPr>
          <w:p w:rsidR="00C2227E" w:rsidRPr="00565BDC" w:rsidRDefault="00C2227E">
            <w:pPr>
              <w:autoSpaceDE w:val="0"/>
              <w:autoSpaceDN w:val="0"/>
              <w:adjustRightInd w:val="0"/>
              <w:rPr>
                <w:rFonts w:cstheme="minorHAnsi"/>
                <w:b/>
              </w:rPr>
            </w:pPr>
            <w:r w:rsidRPr="00565BDC">
              <w:rPr>
                <w:rFonts w:cstheme="minorHAnsi"/>
              </w:rPr>
              <w:t>Application of the technology in its final form and under mission conditions, such as those encountered in operational test and evaluation and reliability trials. Examples include using the system under operational mission conditions.</w:t>
            </w:r>
          </w:p>
        </w:tc>
      </w:tr>
      <w:tr w:rsidR="00C2227E" w:rsidRPr="00565BDC" w:rsidTr="001F2113">
        <w:tc>
          <w:tcPr>
            <w:tcW w:w="534" w:type="dxa"/>
          </w:tcPr>
          <w:p w:rsidR="00C2227E" w:rsidRPr="00565BDC" w:rsidRDefault="00C2227E" w:rsidP="001F2113">
            <w:pPr>
              <w:autoSpaceDE w:val="0"/>
              <w:autoSpaceDN w:val="0"/>
              <w:adjustRightInd w:val="0"/>
              <w:rPr>
                <w:rFonts w:cstheme="minorHAnsi"/>
                <w:b/>
              </w:rPr>
            </w:pPr>
            <w:r w:rsidRPr="00565BDC">
              <w:rPr>
                <w:rFonts w:cstheme="minorHAnsi"/>
                <w:b/>
              </w:rPr>
              <w:t>8</w:t>
            </w:r>
          </w:p>
        </w:tc>
        <w:tc>
          <w:tcPr>
            <w:tcW w:w="2952" w:type="dxa"/>
          </w:tcPr>
          <w:p w:rsidR="00C2227E" w:rsidRPr="00565BDC" w:rsidRDefault="00C2227E">
            <w:pPr>
              <w:autoSpaceDE w:val="0"/>
              <w:autoSpaceDN w:val="0"/>
              <w:adjustRightInd w:val="0"/>
              <w:rPr>
                <w:rFonts w:cstheme="minorHAnsi"/>
                <w:b/>
              </w:rPr>
            </w:pPr>
            <w:r w:rsidRPr="00565BDC">
              <w:rPr>
                <w:rFonts w:cstheme="minorHAnsi"/>
              </w:rPr>
              <w:t>Actual technology system completed and qualified through test and demonstration.</w:t>
            </w:r>
          </w:p>
        </w:tc>
        <w:tc>
          <w:tcPr>
            <w:tcW w:w="5411" w:type="dxa"/>
          </w:tcPr>
          <w:p w:rsidR="00C2227E" w:rsidRPr="00565BDC" w:rsidRDefault="00C2227E">
            <w:pPr>
              <w:autoSpaceDE w:val="0"/>
              <w:autoSpaceDN w:val="0"/>
              <w:adjustRightInd w:val="0"/>
              <w:rPr>
                <w:rFonts w:cstheme="minorHAnsi"/>
                <w:b/>
              </w:rPr>
            </w:pPr>
            <w:r w:rsidRPr="00565BDC">
              <w:rPr>
                <w:rFonts w:cstheme="minorHAnsi"/>
              </w:rPr>
              <w:t>Technology has been proven to work in its final form and under expected conditions. In almost all cases, this TRL represents the end of Demonstration. Examples include test and evaluation of the system in its intended weapon system to determine if it meets design specifications, including those relating to supportability.</w:t>
            </w:r>
          </w:p>
        </w:tc>
      </w:tr>
      <w:tr w:rsidR="00C2227E" w:rsidRPr="00565BDC" w:rsidTr="001F2113">
        <w:tc>
          <w:tcPr>
            <w:tcW w:w="534" w:type="dxa"/>
          </w:tcPr>
          <w:p w:rsidR="00C2227E" w:rsidRPr="00565BDC" w:rsidRDefault="00C2227E" w:rsidP="001F2113">
            <w:pPr>
              <w:autoSpaceDE w:val="0"/>
              <w:autoSpaceDN w:val="0"/>
              <w:adjustRightInd w:val="0"/>
              <w:rPr>
                <w:rFonts w:cstheme="minorHAnsi"/>
                <w:b/>
              </w:rPr>
            </w:pPr>
            <w:r w:rsidRPr="00565BDC">
              <w:rPr>
                <w:rFonts w:cstheme="minorHAnsi"/>
                <w:b/>
              </w:rPr>
              <w:t>7</w:t>
            </w:r>
          </w:p>
        </w:tc>
        <w:tc>
          <w:tcPr>
            <w:tcW w:w="2952" w:type="dxa"/>
          </w:tcPr>
          <w:p w:rsidR="00C2227E" w:rsidRPr="00565BDC" w:rsidRDefault="00C2227E" w:rsidP="001F2113">
            <w:pPr>
              <w:autoSpaceDE w:val="0"/>
              <w:autoSpaceDN w:val="0"/>
              <w:adjustRightInd w:val="0"/>
              <w:rPr>
                <w:rFonts w:cstheme="minorHAnsi"/>
                <w:b/>
              </w:rPr>
            </w:pPr>
            <w:r w:rsidRPr="00565BDC">
              <w:rPr>
                <w:rFonts w:cstheme="minorHAnsi"/>
              </w:rPr>
              <w:t>Technology system prototype demonstration in an operational environment</w:t>
            </w:r>
          </w:p>
        </w:tc>
        <w:tc>
          <w:tcPr>
            <w:tcW w:w="5411" w:type="dxa"/>
          </w:tcPr>
          <w:p w:rsidR="00C2227E" w:rsidRPr="00565BDC" w:rsidRDefault="00C2227E">
            <w:pPr>
              <w:autoSpaceDE w:val="0"/>
              <w:autoSpaceDN w:val="0"/>
              <w:adjustRightInd w:val="0"/>
              <w:rPr>
                <w:rFonts w:cstheme="minorHAnsi"/>
                <w:b/>
              </w:rPr>
            </w:pPr>
            <w:r w:rsidRPr="00565BDC">
              <w:rPr>
                <w:rFonts w:cstheme="minorHAnsi"/>
              </w:rPr>
              <w:t>Prototype near or at planned operational system. Represents a major step up from TRL 6, requiring the demonstration of an actual system prototype in an operational environment, such as in an aircraft or vehicle. Information to allow supportability assessments is obtained. Examples include testing the prototype in a test bed aircraft</w:t>
            </w:r>
            <w:r w:rsidR="009132D5" w:rsidRPr="00565BDC">
              <w:rPr>
                <w:rFonts w:cstheme="minorHAnsi"/>
              </w:rPr>
              <w:t>.</w:t>
            </w:r>
          </w:p>
        </w:tc>
      </w:tr>
      <w:tr w:rsidR="00C2227E" w:rsidRPr="00565BDC" w:rsidTr="001F2113">
        <w:tc>
          <w:tcPr>
            <w:tcW w:w="534" w:type="dxa"/>
          </w:tcPr>
          <w:p w:rsidR="00C2227E" w:rsidRPr="00565BDC" w:rsidRDefault="00C2227E" w:rsidP="001F2113">
            <w:pPr>
              <w:autoSpaceDE w:val="0"/>
              <w:autoSpaceDN w:val="0"/>
              <w:adjustRightInd w:val="0"/>
              <w:rPr>
                <w:rFonts w:cstheme="minorHAnsi"/>
                <w:b/>
              </w:rPr>
            </w:pPr>
            <w:r w:rsidRPr="00565BDC">
              <w:rPr>
                <w:rFonts w:cstheme="minorHAnsi"/>
                <w:b/>
              </w:rPr>
              <w:t>6</w:t>
            </w:r>
          </w:p>
        </w:tc>
        <w:tc>
          <w:tcPr>
            <w:tcW w:w="2952" w:type="dxa"/>
          </w:tcPr>
          <w:p w:rsidR="00C2227E" w:rsidRPr="00565BDC" w:rsidRDefault="00C2227E">
            <w:pPr>
              <w:autoSpaceDE w:val="0"/>
              <w:autoSpaceDN w:val="0"/>
              <w:adjustRightInd w:val="0"/>
              <w:rPr>
                <w:rFonts w:cstheme="minorHAnsi"/>
                <w:b/>
              </w:rPr>
            </w:pPr>
            <w:r w:rsidRPr="00565BDC">
              <w:rPr>
                <w:rFonts w:cstheme="minorHAnsi"/>
              </w:rPr>
              <w:t xml:space="preserve">Technology system/subsystem model or </w:t>
            </w:r>
            <w:r w:rsidRPr="00565BDC">
              <w:rPr>
                <w:rFonts w:cstheme="minorHAnsi"/>
              </w:rPr>
              <w:lastRenderedPageBreak/>
              <w:t>prototype demonstration in a relevant environment.</w:t>
            </w:r>
          </w:p>
        </w:tc>
        <w:tc>
          <w:tcPr>
            <w:tcW w:w="5411" w:type="dxa"/>
          </w:tcPr>
          <w:p w:rsidR="00C2227E" w:rsidRPr="00565BDC" w:rsidRDefault="00C2227E">
            <w:pPr>
              <w:autoSpaceDE w:val="0"/>
              <w:autoSpaceDN w:val="0"/>
              <w:adjustRightInd w:val="0"/>
              <w:rPr>
                <w:rFonts w:cstheme="minorHAnsi"/>
                <w:b/>
              </w:rPr>
            </w:pPr>
            <w:r w:rsidRPr="00565BDC">
              <w:rPr>
                <w:rFonts w:cstheme="minorHAnsi"/>
              </w:rPr>
              <w:lastRenderedPageBreak/>
              <w:t xml:space="preserve">Representative model or prototype system, which is well beyond the representation tested for TRL 5, is tested in a </w:t>
            </w:r>
            <w:r w:rsidRPr="00565BDC">
              <w:rPr>
                <w:rFonts w:cstheme="minorHAnsi"/>
              </w:rPr>
              <w:lastRenderedPageBreak/>
              <w:t>relevant environment. Represents a major step up in a technology’s demonstrated readiness. Examples include testing a prototype in a high fidelity laboratory environment or in simulated operational environment.</w:t>
            </w:r>
          </w:p>
        </w:tc>
      </w:tr>
      <w:tr w:rsidR="00C2227E" w:rsidRPr="00565BDC" w:rsidTr="001F2113">
        <w:tc>
          <w:tcPr>
            <w:tcW w:w="534" w:type="dxa"/>
          </w:tcPr>
          <w:p w:rsidR="00C2227E" w:rsidRPr="00565BDC" w:rsidRDefault="00C2227E" w:rsidP="001F2113">
            <w:pPr>
              <w:autoSpaceDE w:val="0"/>
              <w:autoSpaceDN w:val="0"/>
              <w:adjustRightInd w:val="0"/>
              <w:rPr>
                <w:rFonts w:cstheme="minorHAnsi"/>
                <w:b/>
              </w:rPr>
            </w:pPr>
            <w:r w:rsidRPr="00565BDC">
              <w:rPr>
                <w:rFonts w:cstheme="minorHAnsi"/>
                <w:b/>
              </w:rPr>
              <w:lastRenderedPageBreak/>
              <w:t>5</w:t>
            </w:r>
          </w:p>
        </w:tc>
        <w:tc>
          <w:tcPr>
            <w:tcW w:w="2952" w:type="dxa"/>
          </w:tcPr>
          <w:p w:rsidR="00C2227E" w:rsidRPr="00565BDC" w:rsidRDefault="00C2227E">
            <w:pPr>
              <w:autoSpaceDE w:val="0"/>
              <w:autoSpaceDN w:val="0"/>
              <w:adjustRightInd w:val="0"/>
              <w:rPr>
                <w:rFonts w:cstheme="minorHAnsi"/>
                <w:b/>
              </w:rPr>
            </w:pPr>
            <w:r w:rsidRPr="00565BDC">
              <w:rPr>
                <w:rFonts w:cstheme="minorHAnsi"/>
              </w:rPr>
              <w:t>Technology component and/or basic sub-system validation in relevant environment.</w:t>
            </w:r>
          </w:p>
        </w:tc>
        <w:tc>
          <w:tcPr>
            <w:tcW w:w="5411" w:type="dxa"/>
          </w:tcPr>
          <w:p w:rsidR="00C2227E" w:rsidRPr="00565BDC" w:rsidRDefault="00C2227E">
            <w:pPr>
              <w:autoSpaceDE w:val="0"/>
              <w:autoSpaceDN w:val="0"/>
              <w:adjustRightInd w:val="0"/>
              <w:rPr>
                <w:rFonts w:cstheme="minorHAnsi"/>
                <w:b/>
              </w:rPr>
            </w:pPr>
            <w:r w:rsidRPr="00565BDC">
              <w:rPr>
                <w:rFonts w:cstheme="minorHAnsi"/>
              </w:rPr>
              <w:t>Fidelity of sub-system representation increases significantly. The basic technological components are integrated with realistic supporting elements so that the technology can be tested in a simulated environment. Examples include “high fidelity” laboratory integration of components.</w:t>
            </w:r>
          </w:p>
        </w:tc>
      </w:tr>
      <w:tr w:rsidR="00C2227E" w:rsidTr="001F2113">
        <w:tc>
          <w:tcPr>
            <w:tcW w:w="534" w:type="dxa"/>
          </w:tcPr>
          <w:p w:rsidR="00C2227E" w:rsidRDefault="00C2227E" w:rsidP="001F2113">
            <w:pPr>
              <w:autoSpaceDE w:val="0"/>
              <w:autoSpaceDN w:val="0"/>
              <w:adjustRightInd w:val="0"/>
              <w:rPr>
                <w:rFonts w:ascii="Arial" w:hAnsi="Arial"/>
                <w:b/>
                <w:sz w:val="18"/>
              </w:rPr>
            </w:pPr>
            <w:r>
              <w:rPr>
                <w:rFonts w:ascii="Arial" w:hAnsi="Arial"/>
                <w:b/>
                <w:sz w:val="18"/>
              </w:rPr>
              <w:t>4</w:t>
            </w:r>
          </w:p>
        </w:tc>
        <w:tc>
          <w:tcPr>
            <w:tcW w:w="2952" w:type="dxa"/>
          </w:tcPr>
          <w:p w:rsidR="00C2227E" w:rsidRDefault="00C2227E">
            <w:pPr>
              <w:autoSpaceDE w:val="0"/>
              <w:autoSpaceDN w:val="0"/>
              <w:adjustRightInd w:val="0"/>
              <w:rPr>
                <w:rFonts w:ascii="Arial" w:hAnsi="Arial"/>
                <w:b/>
                <w:sz w:val="18"/>
              </w:rPr>
            </w:pPr>
            <w:r>
              <w:rPr>
                <w:rFonts w:ascii="Arial" w:hAnsi="Arial"/>
                <w:sz w:val="18"/>
              </w:rPr>
              <w:t>Technology component and/or basic technology sub-system validation in laboratory environment.</w:t>
            </w:r>
          </w:p>
        </w:tc>
        <w:tc>
          <w:tcPr>
            <w:tcW w:w="5411" w:type="dxa"/>
          </w:tcPr>
          <w:p w:rsidR="00C2227E" w:rsidRDefault="00C2227E">
            <w:pPr>
              <w:autoSpaceDE w:val="0"/>
              <w:autoSpaceDN w:val="0"/>
              <w:adjustRightInd w:val="0"/>
              <w:rPr>
                <w:rFonts w:ascii="Arial" w:hAnsi="Arial"/>
                <w:b/>
                <w:sz w:val="18"/>
              </w:rPr>
            </w:pPr>
            <w:r>
              <w:rPr>
                <w:rFonts w:ascii="Arial" w:hAnsi="Arial"/>
                <w:sz w:val="18"/>
              </w:rPr>
              <w:t>Basic technology components are integrated. This is relatively “low fidelity” compared to the eventual system. Examples include integration of “ad hoc” hardware in a laboratory.</w:t>
            </w:r>
          </w:p>
        </w:tc>
      </w:tr>
      <w:tr w:rsidR="00C2227E" w:rsidTr="001F2113">
        <w:tc>
          <w:tcPr>
            <w:tcW w:w="534" w:type="dxa"/>
          </w:tcPr>
          <w:p w:rsidR="00C2227E" w:rsidRDefault="00C2227E" w:rsidP="001F2113">
            <w:pPr>
              <w:autoSpaceDE w:val="0"/>
              <w:autoSpaceDN w:val="0"/>
              <w:adjustRightInd w:val="0"/>
              <w:rPr>
                <w:rFonts w:ascii="Arial" w:hAnsi="Arial"/>
                <w:b/>
                <w:sz w:val="18"/>
              </w:rPr>
            </w:pPr>
            <w:r>
              <w:rPr>
                <w:rFonts w:ascii="Arial" w:hAnsi="Arial"/>
                <w:b/>
                <w:sz w:val="18"/>
              </w:rPr>
              <w:t>3</w:t>
            </w:r>
          </w:p>
        </w:tc>
        <w:tc>
          <w:tcPr>
            <w:tcW w:w="2952" w:type="dxa"/>
          </w:tcPr>
          <w:p w:rsidR="00C2227E" w:rsidRDefault="00C2227E">
            <w:pPr>
              <w:autoSpaceDE w:val="0"/>
              <w:autoSpaceDN w:val="0"/>
              <w:adjustRightInd w:val="0"/>
              <w:rPr>
                <w:rFonts w:ascii="Arial" w:hAnsi="Arial"/>
                <w:b/>
                <w:sz w:val="18"/>
              </w:rPr>
            </w:pPr>
            <w:r>
              <w:rPr>
                <w:rFonts w:ascii="Arial" w:hAnsi="Arial"/>
                <w:sz w:val="18"/>
              </w:rPr>
              <w:t>Analytical and experimental critical function and/or characteristic proof-of-concept.</w:t>
            </w:r>
          </w:p>
        </w:tc>
        <w:tc>
          <w:tcPr>
            <w:tcW w:w="5411" w:type="dxa"/>
          </w:tcPr>
          <w:p w:rsidR="00C2227E" w:rsidRDefault="00C2227E">
            <w:pPr>
              <w:autoSpaceDE w:val="0"/>
              <w:autoSpaceDN w:val="0"/>
              <w:adjustRightInd w:val="0"/>
              <w:rPr>
                <w:rFonts w:ascii="Arial" w:hAnsi="Arial"/>
                <w:b/>
                <w:sz w:val="18"/>
              </w:rPr>
            </w:pPr>
            <w:r>
              <w:rPr>
                <w:rFonts w:ascii="Arial" w:hAnsi="Arial"/>
                <w:sz w:val="18"/>
              </w:rPr>
              <w:t>Analytical studies and laboratory studies to physically validate analytical predictions of separate elements of the technology are undertaken. Examples include components that are not yet integrated or representative.</w:t>
            </w:r>
          </w:p>
        </w:tc>
      </w:tr>
      <w:tr w:rsidR="00C2227E" w:rsidTr="001F2113">
        <w:tc>
          <w:tcPr>
            <w:tcW w:w="534" w:type="dxa"/>
          </w:tcPr>
          <w:p w:rsidR="00C2227E" w:rsidRDefault="00C2227E" w:rsidP="001F2113">
            <w:pPr>
              <w:autoSpaceDE w:val="0"/>
              <w:autoSpaceDN w:val="0"/>
              <w:adjustRightInd w:val="0"/>
              <w:rPr>
                <w:rFonts w:ascii="Arial" w:hAnsi="Arial"/>
                <w:b/>
                <w:sz w:val="18"/>
              </w:rPr>
            </w:pPr>
            <w:r>
              <w:rPr>
                <w:rFonts w:ascii="Arial" w:hAnsi="Arial"/>
                <w:b/>
                <w:sz w:val="18"/>
              </w:rPr>
              <w:t>2</w:t>
            </w:r>
          </w:p>
        </w:tc>
        <w:tc>
          <w:tcPr>
            <w:tcW w:w="2952" w:type="dxa"/>
          </w:tcPr>
          <w:p w:rsidR="00C2227E" w:rsidRDefault="00C2227E">
            <w:pPr>
              <w:autoSpaceDE w:val="0"/>
              <w:autoSpaceDN w:val="0"/>
              <w:adjustRightInd w:val="0"/>
              <w:rPr>
                <w:rFonts w:ascii="Arial" w:hAnsi="Arial"/>
                <w:b/>
                <w:sz w:val="18"/>
              </w:rPr>
            </w:pPr>
            <w:r>
              <w:rPr>
                <w:rFonts w:ascii="Arial" w:hAnsi="Arial"/>
                <w:sz w:val="18"/>
              </w:rPr>
              <w:t>Technology concept and/or application formulated.</w:t>
            </w:r>
          </w:p>
        </w:tc>
        <w:tc>
          <w:tcPr>
            <w:tcW w:w="5411" w:type="dxa"/>
          </w:tcPr>
          <w:p w:rsidR="00C2227E" w:rsidRDefault="00C2227E" w:rsidP="001F2113">
            <w:pPr>
              <w:autoSpaceDE w:val="0"/>
              <w:autoSpaceDN w:val="0"/>
              <w:adjustRightInd w:val="0"/>
              <w:rPr>
                <w:rFonts w:ascii="Arial" w:hAnsi="Arial"/>
                <w:b/>
                <w:sz w:val="18"/>
              </w:rPr>
            </w:pPr>
            <w:r>
              <w:rPr>
                <w:rFonts w:ascii="Arial" w:hAnsi="Arial"/>
                <w:sz w:val="18"/>
              </w:rPr>
              <w:t>Invention begins. Once basic principles are observed, practical applications can be postulated. The application is speculative and there is no proof or detailed analysis to support the assumptions. Examples are still limited to paper studies</w:t>
            </w:r>
          </w:p>
        </w:tc>
      </w:tr>
      <w:tr w:rsidR="00C2227E" w:rsidTr="001F2113">
        <w:tc>
          <w:tcPr>
            <w:tcW w:w="534" w:type="dxa"/>
          </w:tcPr>
          <w:p w:rsidR="00C2227E" w:rsidRDefault="00C2227E" w:rsidP="001F2113">
            <w:pPr>
              <w:autoSpaceDE w:val="0"/>
              <w:autoSpaceDN w:val="0"/>
              <w:adjustRightInd w:val="0"/>
              <w:rPr>
                <w:rFonts w:ascii="Arial" w:hAnsi="Arial"/>
                <w:b/>
                <w:sz w:val="18"/>
              </w:rPr>
            </w:pPr>
            <w:r>
              <w:rPr>
                <w:rFonts w:ascii="Arial" w:hAnsi="Arial"/>
                <w:b/>
                <w:sz w:val="18"/>
              </w:rPr>
              <w:t>1</w:t>
            </w:r>
          </w:p>
        </w:tc>
        <w:tc>
          <w:tcPr>
            <w:tcW w:w="2952" w:type="dxa"/>
          </w:tcPr>
          <w:p w:rsidR="00C2227E" w:rsidRDefault="00C2227E">
            <w:pPr>
              <w:autoSpaceDE w:val="0"/>
              <w:autoSpaceDN w:val="0"/>
              <w:adjustRightInd w:val="0"/>
              <w:rPr>
                <w:rFonts w:ascii="Arial" w:hAnsi="Arial"/>
                <w:b/>
                <w:sz w:val="18"/>
              </w:rPr>
            </w:pPr>
            <w:r>
              <w:rPr>
                <w:rFonts w:ascii="Arial" w:hAnsi="Arial"/>
                <w:sz w:val="18"/>
              </w:rPr>
              <w:t>Basic principles observed and reported.</w:t>
            </w:r>
          </w:p>
        </w:tc>
        <w:tc>
          <w:tcPr>
            <w:tcW w:w="5411" w:type="dxa"/>
          </w:tcPr>
          <w:p w:rsidR="00C2227E" w:rsidRDefault="00C2227E">
            <w:pPr>
              <w:autoSpaceDE w:val="0"/>
              <w:autoSpaceDN w:val="0"/>
              <w:adjustRightInd w:val="0"/>
              <w:rPr>
                <w:rFonts w:ascii="Arial" w:hAnsi="Arial"/>
                <w:b/>
                <w:sz w:val="18"/>
              </w:rPr>
            </w:pPr>
            <w:r>
              <w:rPr>
                <w:rFonts w:ascii="Arial" w:hAnsi="Arial"/>
                <w:sz w:val="18"/>
              </w:rPr>
              <w:t>Lowest level of technology readiness. Scientific research begins to be evaluated for military applications. Examples might include paper studies of a technology’s basic properties.</w:t>
            </w:r>
          </w:p>
        </w:tc>
      </w:tr>
    </w:tbl>
    <w:p w:rsidR="00C2227E" w:rsidRDefault="00C2227E" w:rsidP="00C2227E">
      <w:pPr>
        <w:autoSpaceDE w:val="0"/>
        <w:autoSpaceDN w:val="0"/>
        <w:adjustRightInd w:val="0"/>
        <w:rPr>
          <w:rFonts w:ascii="Arial" w:hAnsi="Arial"/>
          <w:b/>
          <w:sz w:val="18"/>
        </w:rPr>
      </w:pPr>
    </w:p>
    <w:p w:rsidR="009132D5" w:rsidRDefault="009132D5" w:rsidP="009132D5">
      <w:r>
        <w:t>6. Why are you using TRLs not Manufacturing Readiness Levels (MRLs)?</w:t>
      </w:r>
    </w:p>
    <w:p w:rsidR="009132D5" w:rsidRDefault="009132D5" w:rsidP="009132D5">
      <w:r>
        <w:t>A. Defence S&amp;T contracting is based on Technology Readiness Levels. We recognise MRLs are a useful tool to mature materials development. For the purposes of this PIN</w:t>
      </w:r>
      <w:r w:rsidR="00EC2535">
        <w:t xml:space="preserve"> advert</w:t>
      </w:r>
      <w:r>
        <w:t>, we would anticipate MRL 4 as being the closest equivalent to TRL 6. MRL 4 states ‘</w:t>
      </w:r>
      <w:r w:rsidRPr="00EA346F">
        <w:rPr>
          <w:i/>
        </w:rPr>
        <w:t>Required investments, such as manufacturing technology development identified. Processes to ensure manufacturability, producibility and quality are in place and are sufficient to produce technology demonstrators. Manufacturing risks identified for prototype build. Manufacturing cost drivers identified. Producibility assessments of design concepts have been completed. Key design performance parameters identified. Special needs identified for tooling, facilities, material handling and skills.’</w:t>
      </w:r>
      <w:r>
        <w:t xml:space="preserve"> Only the most promising and highest priority technologies would be accelerated to this level, with the majority of work focused at a maximum of MRL 3.</w:t>
      </w:r>
    </w:p>
    <w:p w:rsidR="00C2227E" w:rsidRPr="00EA346F" w:rsidRDefault="00C2227E" w:rsidP="004624E2"/>
    <w:p w:rsidR="00184CB2" w:rsidRDefault="00184CB2" w:rsidP="00D36368"/>
    <w:p w:rsidR="00F607BA" w:rsidRDefault="00F607BA" w:rsidP="00D36368"/>
    <w:p w:rsidR="00F74E04" w:rsidRDefault="00F74E04"/>
    <w:sectPr w:rsidR="00F74E0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CF4" w:rsidRDefault="004A4CF4" w:rsidP="00017441">
      <w:pPr>
        <w:spacing w:after="0" w:line="240" w:lineRule="auto"/>
      </w:pPr>
      <w:r>
        <w:separator/>
      </w:r>
    </w:p>
  </w:endnote>
  <w:endnote w:type="continuationSeparator" w:id="0">
    <w:p w:rsidR="004A4CF4" w:rsidRDefault="004A4CF4" w:rsidP="00017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CF4" w:rsidRDefault="004A4CF4" w:rsidP="00017441">
      <w:pPr>
        <w:spacing w:after="0" w:line="240" w:lineRule="auto"/>
      </w:pPr>
      <w:r>
        <w:separator/>
      </w:r>
    </w:p>
  </w:footnote>
  <w:footnote w:type="continuationSeparator" w:id="0">
    <w:p w:rsidR="004A4CF4" w:rsidRDefault="004A4CF4" w:rsidP="00017441">
      <w:pPr>
        <w:spacing w:after="0" w:line="240" w:lineRule="auto"/>
      </w:pPr>
      <w:r>
        <w:continuationSeparator/>
      </w:r>
    </w:p>
  </w:footnote>
  <w:footnote w:id="1">
    <w:p w:rsidR="00C665E3" w:rsidRDefault="00C665E3">
      <w:pPr>
        <w:pStyle w:val="FootnoteText"/>
      </w:pPr>
      <w:r>
        <w:rPr>
          <w:rStyle w:val="FootnoteReference"/>
        </w:rPr>
        <w:footnoteRef/>
      </w:r>
      <w:r w:rsidR="002E4998">
        <w:t xml:space="preserve"> </w:t>
      </w:r>
      <w:r>
        <w:t xml:space="preserve">For a definition of TRLs in general, please see </w:t>
      </w:r>
      <w:r w:rsidR="006E6DD4">
        <w:t xml:space="preserve">supporting information </w:t>
      </w:r>
      <w:r w:rsidR="00BE1929">
        <w:t>the Question and Answer section at the end of this document</w:t>
      </w:r>
      <w:r w:rsidR="006E6DD4">
        <w:t>. For materials in the context of this PIN</w:t>
      </w:r>
      <w:r w:rsidR="00EC2535">
        <w:t xml:space="preserve"> questionnaire</w:t>
      </w:r>
      <w:r w:rsidR="006E6DD4">
        <w:t>, TRL 2</w:t>
      </w:r>
      <w:r w:rsidR="009D4DB5">
        <w:t>-3</w:t>
      </w:r>
      <w:r w:rsidR="006E6DD4">
        <w:t xml:space="preserve"> would reflect proof of principle / academic level research understanding the science</w:t>
      </w:r>
      <w:r w:rsidR="00886608">
        <w:t xml:space="preserve"> and assessing performance</w:t>
      </w:r>
      <w:r w:rsidR="00C2227E">
        <w:t xml:space="preserve"> at sample scale</w:t>
      </w:r>
      <w:r w:rsidR="00886608">
        <w:t xml:space="preserve"> in a relevant </w:t>
      </w:r>
      <w:r w:rsidR="00C2227E">
        <w:t xml:space="preserve">laboratory and / or in-silico </w:t>
      </w:r>
      <w:r w:rsidR="00886608">
        <w:t>environment</w:t>
      </w:r>
      <w:r w:rsidR="006E6DD4">
        <w:t xml:space="preserve">, </w:t>
      </w:r>
      <w:r w:rsidR="009D4DB5">
        <w:t xml:space="preserve">TRL 4 may </w:t>
      </w:r>
      <w:r w:rsidR="00886608">
        <w:t xml:space="preserve">validate </w:t>
      </w:r>
      <w:r w:rsidR="009D4DB5">
        <w:t xml:space="preserve">performance at coupon level in </w:t>
      </w:r>
      <w:r w:rsidR="00886608">
        <w:t xml:space="preserve">the </w:t>
      </w:r>
      <w:r w:rsidR="009D4DB5">
        <w:t xml:space="preserve">laboratory, </w:t>
      </w:r>
      <w:r w:rsidR="00886608">
        <w:t xml:space="preserve">TRL5 may validate performance of a prototype component in a relevant environment and </w:t>
      </w:r>
      <w:r w:rsidR="006E6DD4">
        <w:t xml:space="preserve">TRL 6 would </w:t>
      </w:r>
      <w:r w:rsidR="00886608">
        <w:t>seek</w:t>
      </w:r>
      <w:r w:rsidR="006E6DD4">
        <w:t xml:space="preserve"> to demonstrate </w:t>
      </w:r>
      <w:r w:rsidR="00886608">
        <w:t>performance of a prototype component in a relevant environment -</w:t>
      </w:r>
      <w:r w:rsidR="009D4DB5">
        <w:t xml:space="preserve"> with associated digital data to assist in subsequent qualification</w:t>
      </w:r>
      <w:r w:rsidR="006E6DD4">
        <w:t xml:space="preserve">. </w:t>
      </w:r>
    </w:p>
  </w:footnote>
  <w:footnote w:id="2">
    <w:p w:rsidR="00017441" w:rsidRDefault="00017441">
      <w:pPr>
        <w:pStyle w:val="FootnoteText"/>
      </w:pPr>
      <w:r>
        <w:rPr>
          <w:rStyle w:val="FootnoteReference"/>
        </w:rPr>
        <w:footnoteRef/>
      </w:r>
      <w:r>
        <w:t xml:space="preserve"> This PIN </w:t>
      </w:r>
      <w:r w:rsidR="00EC2535">
        <w:t xml:space="preserve">questionnaire </w:t>
      </w:r>
      <w:r>
        <w:t>is not a request for a full proposal or bid</w:t>
      </w:r>
      <w:r w:rsidR="00D814E4">
        <w:t xml:space="preserve"> nor s</w:t>
      </w:r>
      <w:r w:rsidR="009628DB">
        <w:t>h</w:t>
      </w:r>
      <w:r w:rsidR="00D814E4">
        <w:t xml:space="preserve">ould it be taken to </w:t>
      </w:r>
      <w:r w:rsidR="00223AEB">
        <w:t>be a</w:t>
      </w:r>
      <w:r w:rsidR="00D814E4">
        <w:t xml:space="preserve"> call for competition, </w:t>
      </w:r>
      <w:r w:rsidR="00A87743">
        <w:t>it is purely to ob</w:t>
      </w:r>
      <w:r w:rsidR="00D814E4">
        <w:t>tain information f</w:t>
      </w:r>
      <w:r w:rsidR="001E575D">
        <w:t>ro</w:t>
      </w:r>
      <w:r w:rsidR="00D814E4">
        <w:t>m early engagement with the market.</w:t>
      </w:r>
      <w:r w:rsidR="00A87743">
        <w:t xml:space="preserve"> T</w:t>
      </w:r>
      <w:r>
        <w:t>herefore information provided will not be eligible for bid costs and will not be binding.</w:t>
      </w:r>
      <w:r w:rsidR="0007618A">
        <w:t xml:space="preserve"> </w:t>
      </w:r>
      <w:r w:rsidR="00A87743">
        <w:t>T</w:t>
      </w:r>
      <w:r w:rsidR="0007618A">
        <w:t xml:space="preserve">his activity is aimed at </w:t>
      </w:r>
      <w:r w:rsidR="00A87743">
        <w:t>obtaining infor</w:t>
      </w:r>
      <w:r w:rsidR="002C128F">
        <w:t xml:space="preserve">mation </w:t>
      </w:r>
      <w:r w:rsidR="009628DB">
        <w:t xml:space="preserve">to </w:t>
      </w:r>
      <w:r w:rsidR="001E575D">
        <w:t xml:space="preserve">support </w:t>
      </w:r>
      <w:r w:rsidR="00516B7D">
        <w:t xml:space="preserve">Dstl </w:t>
      </w:r>
      <w:r w:rsidR="009628DB">
        <w:t xml:space="preserve">in developing the relevant </w:t>
      </w:r>
      <w:r w:rsidR="00A87743">
        <w:t>business case</w:t>
      </w:r>
      <w:r w:rsidR="009628DB">
        <w:t>(s)</w:t>
      </w:r>
      <w:r w:rsidR="00A87743">
        <w:t xml:space="preserve"> and</w:t>
      </w:r>
      <w:r w:rsidR="009628DB">
        <w:t xml:space="preserve"> a</w:t>
      </w:r>
      <w:r w:rsidR="00A87743">
        <w:t xml:space="preserve"> procurement strategy</w:t>
      </w:r>
      <w:r w:rsidR="009628DB">
        <w:t>. Y</w:t>
      </w:r>
      <w:r w:rsidR="00A87743">
        <w:t xml:space="preserve">our response to this </w:t>
      </w:r>
      <w:r w:rsidR="009628DB">
        <w:t>PIN</w:t>
      </w:r>
      <w:r w:rsidR="00EC2535">
        <w:t xml:space="preserve"> questionnaire</w:t>
      </w:r>
      <w:r w:rsidR="009628DB">
        <w:t xml:space="preserve"> is welcomed to support this process</w:t>
      </w:r>
      <w:r w:rsidR="00A8774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8C" w:rsidRDefault="00BE6D8C" w:rsidP="00BE6D8C">
    <w:pPr>
      <w:pStyle w:val="Header"/>
      <w:tabs>
        <w:tab w:val="clear" w:pos="4513"/>
        <w:tab w:val="clear" w:pos="9026"/>
        <w:tab w:val="left" w:pos="2670"/>
      </w:tabs>
      <w:jc w:val="both"/>
    </w:pPr>
    <w:r>
      <w:rPr>
        <w:noProof/>
        <w:lang w:eastAsia="en-GB"/>
      </w:rPr>
      <w:drawing>
        <wp:anchor distT="0" distB="0" distL="114300" distR="114300" simplePos="0" relativeHeight="251659264" behindDoc="0" locked="0" layoutInCell="1" allowOverlap="1" wp14:anchorId="4C61C391" wp14:editId="4743FD51">
          <wp:simplePos x="0" y="0"/>
          <wp:positionH relativeFrom="margin">
            <wp:posOffset>5162550</wp:posOffset>
          </wp:positionH>
          <wp:positionV relativeFrom="paragraph">
            <wp:posOffset>-276860</wp:posOffset>
          </wp:positionV>
          <wp:extent cx="902335" cy="4635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tab/>
    </w:r>
    <w:r w:rsidRPr="00BE6D8C">
      <w:t>CLASSIFICATION: OFFICIAL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47188"/>
    <w:multiLevelType w:val="hybridMultilevel"/>
    <w:tmpl w:val="A138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F2291"/>
    <w:multiLevelType w:val="hybridMultilevel"/>
    <w:tmpl w:val="80F49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8C430E"/>
    <w:multiLevelType w:val="hybridMultilevel"/>
    <w:tmpl w:val="422E6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C54814"/>
    <w:multiLevelType w:val="hybridMultilevel"/>
    <w:tmpl w:val="E824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1699D"/>
    <w:multiLevelType w:val="hybridMultilevel"/>
    <w:tmpl w:val="F83257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F143150"/>
    <w:multiLevelType w:val="hybridMultilevel"/>
    <w:tmpl w:val="177C4E8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3F473988"/>
    <w:multiLevelType w:val="hybridMultilevel"/>
    <w:tmpl w:val="9E862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A7A2B"/>
    <w:multiLevelType w:val="hybridMultilevel"/>
    <w:tmpl w:val="6C242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CB662C"/>
    <w:multiLevelType w:val="hybridMultilevel"/>
    <w:tmpl w:val="D3B0C19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E544B3"/>
    <w:multiLevelType w:val="hybridMultilevel"/>
    <w:tmpl w:val="6E065C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553944D6"/>
    <w:multiLevelType w:val="hybridMultilevel"/>
    <w:tmpl w:val="070A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07CF5"/>
    <w:multiLevelType w:val="hybridMultilevel"/>
    <w:tmpl w:val="1EAAB476"/>
    <w:lvl w:ilvl="0" w:tplc="2F68FC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F231F"/>
    <w:multiLevelType w:val="hybridMultilevel"/>
    <w:tmpl w:val="C79EA13C"/>
    <w:lvl w:ilvl="0" w:tplc="08090001">
      <w:start w:val="1"/>
      <w:numFmt w:val="bullet"/>
      <w:lvlText w:val=""/>
      <w:lvlJc w:val="left"/>
      <w:pPr>
        <w:ind w:left="720" w:hanging="360"/>
      </w:pPr>
      <w:rPr>
        <w:rFonts w:ascii="Symbol" w:hAnsi="Symbol" w:hint="default"/>
      </w:rPr>
    </w:lvl>
    <w:lvl w:ilvl="1" w:tplc="4C06D6B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394626"/>
    <w:multiLevelType w:val="hybridMultilevel"/>
    <w:tmpl w:val="BBCC228A"/>
    <w:lvl w:ilvl="0" w:tplc="0809000F">
      <w:start w:val="1"/>
      <w:numFmt w:val="decimal"/>
      <w:lvlText w:val="%1."/>
      <w:lvlJc w:val="left"/>
      <w:pPr>
        <w:ind w:left="4046"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F8F174B"/>
    <w:multiLevelType w:val="hybridMultilevel"/>
    <w:tmpl w:val="BE5A0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046536"/>
    <w:multiLevelType w:val="hybridMultilevel"/>
    <w:tmpl w:val="E938CD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60E59D0"/>
    <w:multiLevelType w:val="hybridMultilevel"/>
    <w:tmpl w:val="80DABAF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4"/>
  </w:num>
  <w:num w:numId="4">
    <w:abstractNumId w:val="3"/>
  </w:num>
  <w:num w:numId="5">
    <w:abstractNumId w:val="10"/>
  </w:num>
  <w:num w:numId="6">
    <w:abstractNumId w:val="11"/>
  </w:num>
  <w:num w:numId="7">
    <w:abstractNumId w:val="15"/>
  </w:num>
  <w:num w:numId="8">
    <w:abstractNumId w:val="5"/>
  </w:num>
  <w:num w:numId="9">
    <w:abstractNumId w:val="8"/>
  </w:num>
  <w:num w:numId="10">
    <w:abstractNumId w:val="1"/>
  </w:num>
  <w:num w:numId="11">
    <w:abstractNumId w:val="13"/>
  </w:num>
  <w:num w:numId="12">
    <w:abstractNumId w:val="0"/>
  </w:num>
  <w:num w:numId="13">
    <w:abstractNumId w:val="9"/>
  </w:num>
  <w:num w:numId="14">
    <w:abstractNumId w:val="12"/>
  </w:num>
  <w:num w:numId="15">
    <w:abstractNumId w:val="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04"/>
    <w:rsid w:val="00002E08"/>
    <w:rsid w:val="00017441"/>
    <w:rsid w:val="0002563A"/>
    <w:rsid w:val="00027229"/>
    <w:rsid w:val="00052BBB"/>
    <w:rsid w:val="000608E4"/>
    <w:rsid w:val="0007618A"/>
    <w:rsid w:val="000B109F"/>
    <w:rsid w:val="000B678C"/>
    <w:rsid w:val="000E5783"/>
    <w:rsid w:val="0015661A"/>
    <w:rsid w:val="00184CB2"/>
    <w:rsid w:val="00195B76"/>
    <w:rsid w:val="001D036E"/>
    <w:rsid w:val="001D0C48"/>
    <w:rsid w:val="001D7FA3"/>
    <w:rsid w:val="001E575D"/>
    <w:rsid w:val="001E5BA7"/>
    <w:rsid w:val="001E68DB"/>
    <w:rsid w:val="00223AEB"/>
    <w:rsid w:val="00280B1B"/>
    <w:rsid w:val="002C128F"/>
    <w:rsid w:val="002C412E"/>
    <w:rsid w:val="002E4998"/>
    <w:rsid w:val="0033329C"/>
    <w:rsid w:val="0034525D"/>
    <w:rsid w:val="003477D1"/>
    <w:rsid w:val="00367126"/>
    <w:rsid w:val="003812C9"/>
    <w:rsid w:val="0039156A"/>
    <w:rsid w:val="003949E3"/>
    <w:rsid w:val="003D4FF7"/>
    <w:rsid w:val="003F182D"/>
    <w:rsid w:val="003F72B9"/>
    <w:rsid w:val="00416C09"/>
    <w:rsid w:val="00437D23"/>
    <w:rsid w:val="004525F0"/>
    <w:rsid w:val="004624E2"/>
    <w:rsid w:val="00482E58"/>
    <w:rsid w:val="004850C5"/>
    <w:rsid w:val="00485124"/>
    <w:rsid w:val="004A4CF4"/>
    <w:rsid w:val="004B30D7"/>
    <w:rsid w:val="005050B4"/>
    <w:rsid w:val="00516B7D"/>
    <w:rsid w:val="00531A06"/>
    <w:rsid w:val="00555F43"/>
    <w:rsid w:val="00560683"/>
    <w:rsid w:val="00565BDC"/>
    <w:rsid w:val="005A7E50"/>
    <w:rsid w:val="005B4967"/>
    <w:rsid w:val="005C23CA"/>
    <w:rsid w:val="005D31D8"/>
    <w:rsid w:val="005F383E"/>
    <w:rsid w:val="005F7216"/>
    <w:rsid w:val="00603B3D"/>
    <w:rsid w:val="00615972"/>
    <w:rsid w:val="00661818"/>
    <w:rsid w:val="006D0CE8"/>
    <w:rsid w:val="006E6DD4"/>
    <w:rsid w:val="007217FB"/>
    <w:rsid w:val="00732734"/>
    <w:rsid w:val="007337D7"/>
    <w:rsid w:val="0075564A"/>
    <w:rsid w:val="00765292"/>
    <w:rsid w:val="00773472"/>
    <w:rsid w:val="00782800"/>
    <w:rsid w:val="007A7C7E"/>
    <w:rsid w:val="007C3E39"/>
    <w:rsid w:val="007D4BED"/>
    <w:rsid w:val="007E5DB7"/>
    <w:rsid w:val="007F733F"/>
    <w:rsid w:val="00813CBF"/>
    <w:rsid w:val="0082360C"/>
    <w:rsid w:val="0083738C"/>
    <w:rsid w:val="008764B4"/>
    <w:rsid w:val="00886608"/>
    <w:rsid w:val="008A676A"/>
    <w:rsid w:val="008E7194"/>
    <w:rsid w:val="008F1FA6"/>
    <w:rsid w:val="008F2875"/>
    <w:rsid w:val="00912044"/>
    <w:rsid w:val="00912D68"/>
    <w:rsid w:val="009132D5"/>
    <w:rsid w:val="00922862"/>
    <w:rsid w:val="00947258"/>
    <w:rsid w:val="009517CA"/>
    <w:rsid w:val="009628DB"/>
    <w:rsid w:val="009814D9"/>
    <w:rsid w:val="009B296A"/>
    <w:rsid w:val="009B5D27"/>
    <w:rsid w:val="009C240F"/>
    <w:rsid w:val="009D4DB5"/>
    <w:rsid w:val="009E6F30"/>
    <w:rsid w:val="009F261D"/>
    <w:rsid w:val="00A13E5A"/>
    <w:rsid w:val="00A6201C"/>
    <w:rsid w:val="00A80FB2"/>
    <w:rsid w:val="00A87743"/>
    <w:rsid w:val="00AC513F"/>
    <w:rsid w:val="00B501E4"/>
    <w:rsid w:val="00B57336"/>
    <w:rsid w:val="00B708FB"/>
    <w:rsid w:val="00B80561"/>
    <w:rsid w:val="00B82DCC"/>
    <w:rsid w:val="00BC7E1B"/>
    <w:rsid w:val="00BE1929"/>
    <w:rsid w:val="00BE6D8C"/>
    <w:rsid w:val="00BE7E7A"/>
    <w:rsid w:val="00C031C1"/>
    <w:rsid w:val="00C2227E"/>
    <w:rsid w:val="00C224B2"/>
    <w:rsid w:val="00C4259B"/>
    <w:rsid w:val="00C478DD"/>
    <w:rsid w:val="00C665E3"/>
    <w:rsid w:val="00C910D9"/>
    <w:rsid w:val="00C9678B"/>
    <w:rsid w:val="00CB1009"/>
    <w:rsid w:val="00CC4BC7"/>
    <w:rsid w:val="00CC56A2"/>
    <w:rsid w:val="00CF5482"/>
    <w:rsid w:val="00D3254F"/>
    <w:rsid w:val="00D36368"/>
    <w:rsid w:val="00D55BB4"/>
    <w:rsid w:val="00D66070"/>
    <w:rsid w:val="00D71778"/>
    <w:rsid w:val="00D814E4"/>
    <w:rsid w:val="00DA1E8D"/>
    <w:rsid w:val="00DA7C5D"/>
    <w:rsid w:val="00DB1647"/>
    <w:rsid w:val="00DD0AA3"/>
    <w:rsid w:val="00DF45EE"/>
    <w:rsid w:val="00E173F5"/>
    <w:rsid w:val="00E304A7"/>
    <w:rsid w:val="00E45E66"/>
    <w:rsid w:val="00E55D38"/>
    <w:rsid w:val="00E72272"/>
    <w:rsid w:val="00E81389"/>
    <w:rsid w:val="00E87665"/>
    <w:rsid w:val="00E929F4"/>
    <w:rsid w:val="00EA346F"/>
    <w:rsid w:val="00EA4538"/>
    <w:rsid w:val="00EC2535"/>
    <w:rsid w:val="00ED072E"/>
    <w:rsid w:val="00EF4C44"/>
    <w:rsid w:val="00F32170"/>
    <w:rsid w:val="00F46BE8"/>
    <w:rsid w:val="00F51F5B"/>
    <w:rsid w:val="00F56CA1"/>
    <w:rsid w:val="00F607BA"/>
    <w:rsid w:val="00F74E04"/>
    <w:rsid w:val="00F760BB"/>
    <w:rsid w:val="00F84327"/>
    <w:rsid w:val="00FF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2530"/>
  <w15:chartTrackingRefBased/>
  <w15:docId w15:val="{BE794EDB-473D-4D23-A32F-522BDEE1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61D"/>
    <w:pPr>
      <w:ind w:left="720"/>
      <w:contextualSpacing/>
    </w:pPr>
  </w:style>
  <w:style w:type="character" w:styleId="CommentReference">
    <w:name w:val="annotation reference"/>
    <w:basedOn w:val="DefaultParagraphFont"/>
    <w:uiPriority w:val="99"/>
    <w:semiHidden/>
    <w:unhideWhenUsed/>
    <w:rsid w:val="009F261D"/>
    <w:rPr>
      <w:sz w:val="16"/>
      <w:szCs w:val="16"/>
    </w:rPr>
  </w:style>
  <w:style w:type="paragraph" w:styleId="CommentText">
    <w:name w:val="annotation text"/>
    <w:basedOn w:val="Normal"/>
    <w:link w:val="CommentTextChar"/>
    <w:uiPriority w:val="99"/>
    <w:unhideWhenUsed/>
    <w:rsid w:val="009F261D"/>
    <w:pPr>
      <w:spacing w:line="240" w:lineRule="auto"/>
    </w:pPr>
    <w:rPr>
      <w:sz w:val="20"/>
      <w:szCs w:val="20"/>
    </w:rPr>
  </w:style>
  <w:style w:type="character" w:customStyle="1" w:styleId="CommentTextChar">
    <w:name w:val="Comment Text Char"/>
    <w:basedOn w:val="DefaultParagraphFont"/>
    <w:link w:val="CommentText"/>
    <w:uiPriority w:val="99"/>
    <w:rsid w:val="009F261D"/>
    <w:rPr>
      <w:sz w:val="20"/>
      <w:szCs w:val="20"/>
    </w:rPr>
  </w:style>
  <w:style w:type="paragraph" w:styleId="CommentSubject">
    <w:name w:val="annotation subject"/>
    <w:basedOn w:val="CommentText"/>
    <w:next w:val="CommentText"/>
    <w:link w:val="CommentSubjectChar"/>
    <w:uiPriority w:val="99"/>
    <w:semiHidden/>
    <w:unhideWhenUsed/>
    <w:rsid w:val="009F261D"/>
    <w:rPr>
      <w:b/>
      <w:bCs/>
    </w:rPr>
  </w:style>
  <w:style w:type="character" w:customStyle="1" w:styleId="CommentSubjectChar">
    <w:name w:val="Comment Subject Char"/>
    <w:basedOn w:val="CommentTextChar"/>
    <w:link w:val="CommentSubject"/>
    <w:uiPriority w:val="99"/>
    <w:semiHidden/>
    <w:rsid w:val="009F261D"/>
    <w:rPr>
      <w:b/>
      <w:bCs/>
      <w:sz w:val="20"/>
      <w:szCs w:val="20"/>
    </w:rPr>
  </w:style>
  <w:style w:type="paragraph" w:styleId="BalloonText">
    <w:name w:val="Balloon Text"/>
    <w:basedOn w:val="Normal"/>
    <w:link w:val="BalloonTextChar"/>
    <w:uiPriority w:val="99"/>
    <w:semiHidden/>
    <w:unhideWhenUsed/>
    <w:rsid w:val="009F2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61D"/>
    <w:rPr>
      <w:rFonts w:ascii="Segoe UI" w:hAnsi="Segoe UI" w:cs="Segoe UI"/>
      <w:sz w:val="18"/>
      <w:szCs w:val="18"/>
    </w:rPr>
  </w:style>
  <w:style w:type="paragraph" w:styleId="NormalWeb">
    <w:name w:val="Normal (Web)"/>
    <w:basedOn w:val="Normal"/>
    <w:uiPriority w:val="99"/>
    <w:semiHidden/>
    <w:unhideWhenUsed/>
    <w:rsid w:val="00F46BE8"/>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CB1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5F43"/>
    <w:pPr>
      <w:spacing w:after="0" w:line="240" w:lineRule="auto"/>
    </w:pPr>
  </w:style>
  <w:style w:type="paragraph" w:styleId="PlainText">
    <w:name w:val="Plain Text"/>
    <w:basedOn w:val="Normal"/>
    <w:link w:val="PlainTextChar"/>
    <w:uiPriority w:val="99"/>
    <w:semiHidden/>
    <w:unhideWhenUsed/>
    <w:rsid w:val="00555F4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55F43"/>
    <w:rPr>
      <w:rFonts w:ascii="Calibri" w:hAnsi="Calibri"/>
      <w:szCs w:val="21"/>
    </w:rPr>
  </w:style>
  <w:style w:type="paragraph" w:styleId="FootnoteText">
    <w:name w:val="footnote text"/>
    <w:basedOn w:val="Normal"/>
    <w:link w:val="FootnoteTextChar"/>
    <w:uiPriority w:val="99"/>
    <w:semiHidden/>
    <w:unhideWhenUsed/>
    <w:rsid w:val="000174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441"/>
    <w:rPr>
      <w:sz w:val="20"/>
      <w:szCs w:val="20"/>
    </w:rPr>
  </w:style>
  <w:style w:type="character" w:styleId="FootnoteReference">
    <w:name w:val="footnote reference"/>
    <w:basedOn w:val="DefaultParagraphFont"/>
    <w:uiPriority w:val="99"/>
    <w:semiHidden/>
    <w:unhideWhenUsed/>
    <w:rsid w:val="00017441"/>
    <w:rPr>
      <w:vertAlign w:val="superscript"/>
    </w:rPr>
  </w:style>
  <w:style w:type="character" w:styleId="Hyperlink">
    <w:name w:val="Hyperlink"/>
    <w:basedOn w:val="DefaultParagraphFont"/>
    <w:uiPriority w:val="99"/>
    <w:unhideWhenUsed/>
    <w:rsid w:val="006E6DD4"/>
    <w:rPr>
      <w:color w:val="0563C1" w:themeColor="hyperlink"/>
      <w:u w:val="single"/>
    </w:rPr>
  </w:style>
  <w:style w:type="paragraph" w:styleId="Header">
    <w:name w:val="header"/>
    <w:basedOn w:val="Normal"/>
    <w:link w:val="HeaderChar"/>
    <w:uiPriority w:val="99"/>
    <w:unhideWhenUsed/>
    <w:rsid w:val="00BE6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D8C"/>
  </w:style>
  <w:style w:type="paragraph" w:styleId="Footer">
    <w:name w:val="footer"/>
    <w:basedOn w:val="Normal"/>
    <w:link w:val="FooterChar"/>
    <w:uiPriority w:val="99"/>
    <w:unhideWhenUsed/>
    <w:rsid w:val="00BE6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306278">
      <w:bodyDiv w:val="1"/>
      <w:marLeft w:val="0"/>
      <w:marRight w:val="0"/>
      <w:marTop w:val="0"/>
      <w:marBottom w:val="0"/>
      <w:divBdr>
        <w:top w:val="none" w:sz="0" w:space="0" w:color="auto"/>
        <w:left w:val="none" w:sz="0" w:space="0" w:color="auto"/>
        <w:bottom w:val="none" w:sz="0" w:space="0" w:color="auto"/>
        <w:right w:val="none" w:sz="0" w:space="0" w:color="auto"/>
      </w:divBdr>
    </w:div>
    <w:div w:id="137141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kell@dst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GM-Programme Plan" ma:contentTypeID="0x010100C77B2577ACA64C44AE2B02CE27644E201F00E82FFB54BBFE484DAD60534FBB694FF1" ma:contentTypeVersion="1" ma:contentTypeDescription="Create a new Programme Plan" ma:contentTypeScope="" ma:versionID="f766a910aa9cb58868f986d9d80e8a33">
  <xsd:schema xmlns:xsd="http://www.w3.org/2001/XMLSchema" xmlns:xs="http://www.w3.org/2001/XMLSchema" xmlns:p="http://schemas.microsoft.com/office/2006/metadata/properties" xmlns:ns2="082424d0-dfa7-4d13-8487-c11149219a40" xmlns:ns3="990664e8-73ef-4ae2-aed3-8e88b1594150" xmlns:ns4="c2b7011f-d9b2-44da-acb4-0a40cd89365a" targetNamespace="http://schemas.microsoft.com/office/2006/metadata/properties" ma:root="true" ma:fieldsID="0e6849d4d897e3d9b8b076d3f38ea4bb" ns2:_="" ns3:_="" ns4:_="">
    <xsd:import namespace="082424d0-dfa7-4d13-8487-c11149219a40"/>
    <xsd:import namespace="990664e8-73ef-4ae2-aed3-8e88b1594150"/>
    <xsd:import namespace="c2b7011f-d9b2-44da-acb4-0a40cd89365a"/>
    <xsd:element name="properties">
      <xsd:complexType>
        <xsd:sequence>
          <xsd:element name="documentManagement">
            <xsd:complexType>
              <xsd:all>
                <xsd:element ref="ns3:ofc07110f38a4932b54d6facdc5c226b" minOccurs="0"/>
                <xsd:element ref="ns2:TaxCatchAll" minOccurs="0"/>
                <xsd:element ref="ns2:TaxCatchAllLabel" minOccurs="0"/>
                <xsd:element ref="ns3:oaf0a968c1e7438aac219b821c69ff98" minOccurs="0"/>
                <xsd:element ref="ns3:l5bd50153f7e40f4808400ba696858ea" minOccurs="0"/>
                <xsd:element ref="ns3:_dlc_DocId" minOccurs="0"/>
                <xsd:element ref="ns3:_dlc_DocIdUrl" minOccurs="0"/>
                <xsd:element ref="ns3:_dlc_DocIdPersistId" minOccurs="0"/>
                <xsd:element ref="ns3:TaxKeywordTaxHTField" minOccurs="0"/>
                <xsd:element ref="ns4:j3902f756d4a4380a7102401bee7888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424d0-dfa7-4d13-8487-c11149219a40"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9ec175ed-a7d9-4018-99f8-256de31e4c82}" ma:internalName="TaxCatchAll" ma:showField="CatchAllData" ma:web="082424d0-dfa7-4d13-8487-c11149219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ec175ed-a7d9-4018-99f8-256de31e4c82}" ma:internalName="TaxCatchAllLabel" ma:readOnly="true" ma:showField="CatchAllDataLabel" ma:web="082424d0-dfa7-4d13-8487-c11149219a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0664e8-73ef-4ae2-aed3-8e88b1594150" elementFormDefault="qualified">
    <xsd:import namespace="http://schemas.microsoft.com/office/2006/documentManagement/types"/>
    <xsd:import namespace="http://schemas.microsoft.com/office/infopath/2007/PartnerControls"/>
    <xsd:element name="ofc07110f38a4932b54d6facdc5c226b" ma:index="8" ma:taxonomy="true" ma:internalName="ofc07110f38a4932b54d6facdc5c226b" ma:taxonomyFieldName="Classification" ma:displayName="Classification" ma:default="" ma:fieldId="{8fc07110-f38a-4932-b54d-6facdc5c226b}" ma:sspId="3bfd5332-3ddc-474b-b6c3-92464379e3c1" ma:termSetId="f54c61ea-0093-4ff2-807f-d45294083ada" ma:anchorId="00000000-0000-0000-0000-000000000000" ma:open="false" ma:isKeyword="false">
      <xsd:complexType>
        <xsd:sequence>
          <xsd:element ref="pc:Terms" minOccurs="0" maxOccurs="1"/>
        </xsd:sequence>
      </xsd:complexType>
    </xsd:element>
    <xsd:element name="oaf0a968c1e7438aac219b821c69ff98" ma:index="12" nillable="true" ma:taxonomy="true" ma:internalName="oaf0a968c1e7438aac219b821c69ff98" ma:taxonomyFieldName="File_x0020_Plan" ma:displayName="File Plan" ma:readOnly="false" ma:default="2;#101 Programmes|fc4af8d5-cfbc-4f2e-8eca-a3c268d98071" ma:fieldId="{8af0a968-c1e7-438a-ac21-9b821c69ff98}" ma:sspId="3bfd5332-3ddc-474b-b6c3-92464379e3c1" ma:termSetId="d61f8a78-11f6-45ae-bcd2-beaa91c79bae" ma:anchorId="00000000-0000-0000-0000-000000000000" ma:open="false" ma:isKeyword="false">
      <xsd:complexType>
        <xsd:sequence>
          <xsd:element ref="pc:Terms" minOccurs="0" maxOccurs="1"/>
        </xsd:sequence>
      </xsd:complexType>
    </xsd:element>
    <xsd:element name="l5bd50153f7e40f4808400ba696858ea" ma:index="14" ma:taxonomy="true" ma:internalName="l5bd50153f7e40f4808400ba696858ea" ma:taxonomyFieldName="Portfolio_x0020_Identifier" ma:displayName="Portfolio Identifier" ma:default="2;#MFSA|ab997a7e-27a2-4dc3-a157-4508058ef40a" ma:fieldId="{55bd5015-3f7e-40f4-8084-00ba696858ea}" ma:sspId="3bfd5332-3ddc-474b-b6c3-92464379e3c1" ma:termSetId="a16677c8-f670-4b70-a0c8-1c312efc4c46" ma:anchorId="05d6f7d8-93c7-4072-8ebc-02ed344f4f63"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KeywordTaxHTField" ma:index="19" nillable="true" ma:taxonomy="true" ma:internalName="TaxKeywordTaxHTField" ma:taxonomyFieldName="TaxKeyword" ma:displayName="Enterprise Keywords" ma:fieldId="{23f27201-bee3-471e-b2e7-b64fd8b7ca38}" ma:taxonomyMulti="true" ma:sspId="3bfd5332-3ddc-474b-b6c3-92464379e3c1"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b7011f-d9b2-44da-acb4-0a40cd89365a" elementFormDefault="qualified">
    <xsd:import namespace="http://schemas.microsoft.com/office/2006/documentManagement/types"/>
    <xsd:import namespace="http://schemas.microsoft.com/office/infopath/2007/PartnerControls"/>
    <xsd:element name="j3902f756d4a4380a7102401bee78881" ma:index="21" nillable="true" ma:taxonomy="true" ma:internalName="j3902f756d4a4380a7102401bee78881" ma:taxonomyFieldName="Local_x0020_Tags" ma:displayName="Local Tags" ma:default="" ma:fieldId="{33902f75-6d4a-4380-a710-2401bee78881}" ma:taxonomyMulti="true" ma:sspId="3bfd5332-3ddc-474b-b6c3-92464379e3c1" ma:termSetId="fd0973da-68e4-4ada-9ba4-d3c27e7044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2424d0-dfa7-4d13-8487-c11149219a40">
      <Value>6</Value>
      <Value>5</Value>
      <Value>40</Value>
    </TaxCatchAll>
    <j3902f756d4a4380a7102401bee78881 xmlns="c2b7011f-d9b2-44da-acb4-0a40cd89365a">
      <Terms xmlns="http://schemas.microsoft.com/office/infopath/2007/PartnerControls"/>
    </j3902f756d4a4380a7102401bee78881>
    <l5bd50153f7e40f4808400ba696858ea xmlns="990664e8-73ef-4ae2-aed3-8e88b1594150">
      <Terms xmlns="http://schemas.microsoft.com/office/infopath/2007/PartnerControls">
        <TermInfo xmlns="http://schemas.microsoft.com/office/infopath/2007/PartnerControls">
          <TermName xmlns="http://schemas.microsoft.com/office/infopath/2007/PartnerControls">MFSA</TermName>
          <TermId xmlns="http://schemas.microsoft.com/office/infopath/2007/PartnerControls">ab997a7e-27a2-4dc3-a157-4508058ef40a</TermId>
        </TermInfo>
      </Terms>
    </l5bd50153f7e40f4808400ba696858ea>
    <ofc07110f38a4932b54d6facdc5c226b xmlns="990664e8-73ef-4ae2-aed3-8e88b1594150">
      <Terms xmlns="http://schemas.microsoft.com/office/infopath/2007/PartnerControls">
        <TermInfo xmlns="http://schemas.microsoft.com/office/infopath/2007/PartnerControls">
          <TermName xmlns="http://schemas.microsoft.com/office/infopath/2007/PartnerControls">UK OFFICIAL SENSITIVE COMMERCIAL</TermName>
          <TermId xmlns="http://schemas.microsoft.com/office/infopath/2007/PartnerControls">fc0890be-089f-48d7-8d8b-e66e276d9c87</TermId>
        </TermInfo>
      </Terms>
    </ofc07110f38a4932b54d6facdc5c226b>
    <oaf0a968c1e7438aac219b821c69ff98 xmlns="990664e8-73ef-4ae2-aed3-8e88b1594150">
      <Terms xmlns="http://schemas.microsoft.com/office/infopath/2007/PartnerControls">
        <TermInfo xmlns="http://schemas.microsoft.com/office/infopath/2007/PartnerControls">
          <TermName xmlns="http://schemas.microsoft.com/office/infopath/2007/PartnerControls">101 Programmes</TermName>
          <TermId xmlns="http://schemas.microsoft.com/office/infopath/2007/PartnerControls">fc4af8d5-cfbc-4f2e-8eca-a3c268d98071</TermId>
        </TermInfo>
      </Terms>
    </oaf0a968c1e7438aac219b821c69ff98>
    <TaxKeywordTaxHTField xmlns="990664e8-73ef-4ae2-aed3-8e88b1594150">
      <Terms xmlns="http://schemas.microsoft.com/office/infopath/2007/PartnerControls"/>
    </TaxKeywordTaxHTField>
    <_dlc_DocId xmlns="990664e8-73ef-4ae2-aed3-8e88b1594150">MFSA-199256687-104</_dlc_DocId>
    <_dlc_DocIdUrl xmlns="990664e8-73ef-4ae2-aed3-8e88b1594150">
      <Url>https://delivery.o.dstl.gov.uk/pgm/MFSA/_layouts/15/DocIdRedir.aspx?ID=MFSA-199256687-104</Url>
      <Description>MFSA-199256687-104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A941F-FC6D-4BA0-9980-2F4BF1D83F2A}">
  <ds:schemaRefs>
    <ds:schemaRef ds:uri="http://schemas.microsoft.com/sharepoint/events"/>
  </ds:schemaRefs>
</ds:datastoreItem>
</file>

<file path=customXml/itemProps2.xml><?xml version="1.0" encoding="utf-8"?>
<ds:datastoreItem xmlns:ds="http://schemas.openxmlformats.org/officeDocument/2006/customXml" ds:itemID="{BF7F78B3-BE46-4A5C-9DF9-48810433B647}">
  <ds:schemaRefs>
    <ds:schemaRef ds:uri="http://schemas.microsoft.com/sharepoint/v3/contenttype/forms"/>
  </ds:schemaRefs>
</ds:datastoreItem>
</file>

<file path=customXml/itemProps3.xml><?xml version="1.0" encoding="utf-8"?>
<ds:datastoreItem xmlns:ds="http://schemas.openxmlformats.org/officeDocument/2006/customXml" ds:itemID="{87F4CC49-65DE-43B4-8CB0-C29AEA516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424d0-dfa7-4d13-8487-c11149219a40"/>
    <ds:schemaRef ds:uri="990664e8-73ef-4ae2-aed3-8e88b1594150"/>
    <ds:schemaRef ds:uri="c2b7011f-d9b2-44da-acb4-0a40cd893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A1E91-AFFE-4DD5-939F-C403A4A741E1}">
  <ds:schemaRefs>
    <ds:schemaRef ds:uri="http://schemas.openxmlformats.org/package/2006/metadata/core-properties"/>
    <ds:schemaRef ds:uri="c2b7011f-d9b2-44da-acb4-0a40cd89365a"/>
    <ds:schemaRef ds:uri="http://schemas.microsoft.com/office/infopath/2007/PartnerControls"/>
    <ds:schemaRef ds:uri="http://purl.org/dc/terms/"/>
    <ds:schemaRef ds:uri="http://purl.org/dc/dcmitype/"/>
    <ds:schemaRef ds:uri="082424d0-dfa7-4d13-8487-c11149219a40"/>
    <ds:schemaRef ds:uri="http://schemas.microsoft.com/office/2006/documentManagement/types"/>
    <ds:schemaRef ds:uri="http://purl.org/dc/elements/1.1/"/>
    <ds:schemaRef ds:uri="990664e8-73ef-4ae2-aed3-8e88b1594150"/>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8145E64-877C-4205-AD1A-96AAE58A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Centres of Excellence Prior Information Notice (PIN) Document</vt:lpstr>
    </vt:vector>
  </TitlesOfParts>
  <Company>Authorised Company</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Centres of Excellence Prior Information Notice (PIN) Document</dc:title>
  <dc:subject/>
  <dc:creator>Jones Laura</dc:creator>
  <cp:keywords/>
  <dc:description/>
  <cp:lastModifiedBy>Ingram Kevin</cp:lastModifiedBy>
  <cp:revision>2</cp:revision>
  <dcterms:created xsi:type="dcterms:W3CDTF">2021-10-19T08:40:00Z</dcterms:created>
  <dcterms:modified xsi:type="dcterms:W3CDTF">2021-10-19T08:40:00Z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0x010100C77B2577ACA64C44AE2B02CE27644E201F00E82FFB54BBFE484DAD60534FBB694FF1</vt:lpwstr>
  </property>
  <property fmtid="{D5CDD505-2E9C-101B-9397-08002B2CF9AE}" pid="3" name="Portfolio Identifier">
    <vt:lpwstr>5;#MFSA|ab997a7e-27a2-4dc3-a157-4508058ef40a</vt:lpwstr>
  </property>
  <property fmtid="{D5CDD505-2E9C-101B-9397-08002B2CF9AE}" pid="4" name="Local Tags">
    <vt:lpwstr/>
  </property>
  <property fmtid="{D5CDD505-2E9C-101B-9397-08002B2CF9AE}" pid="5" name="File Plan">
    <vt:lpwstr>6;#101 Programmes|fc4af8d5-cfbc-4f2e-8eca-a3c268d98071</vt:lpwstr>
  </property>
  <property fmtid="{D5CDD505-2E9C-101B-9397-08002B2CF9AE}" pid="6" name="TaxKeyword">
    <vt:lpwstr/>
  </property>
  <property fmtid="{D5CDD505-2E9C-101B-9397-08002B2CF9AE}" pid="7" name="Classification">
    <vt:lpwstr>40;#UK OFFICIAL SENSITIVE COMMERCIAL|fc0890be-089f-48d7-8d8b-e66e276d9c87</vt:lpwstr>
  </property>
  <property fmtid="{D5CDD505-2E9C-101B-9397-08002B2CF9AE}" pid="8" name="_dlc_DocIdItemGuid">
    <vt:lpwstr>5872cbbe-8c9d-4835-a539-33050afbce0e</vt:lpwstr>
  </property>
  <property fmtid="{D5CDD505-2E9C-101B-9397-08002B2CF9AE}" pid="9" name="URL">
    <vt:lpwstr>, </vt:lpwstr>
  </property>
  <property fmtid="{D5CDD505-2E9C-101B-9397-08002B2CF9AE}" pid="10" name="No Default Available">
    <vt:lpwstr>YOU MUST SELECT A VALID CONTENT TYPE</vt:lpwstr>
  </property>
</Properties>
</file>