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323D" w14:textId="7D0DFC33" w:rsidR="008C41F5" w:rsidRPr="005E66CE" w:rsidRDefault="00747EC6" w:rsidP="008C41F5">
      <w:pPr>
        <w:pStyle w:val="NormalWeb"/>
        <w:rPr>
          <w:rFonts w:ascii="Arial" w:hAnsi="Arial" w:cs="Arial"/>
          <w:b/>
          <w:bCs/>
          <w:color w:val="000000"/>
        </w:rPr>
      </w:pPr>
      <w:r>
        <w:rPr>
          <w:rFonts w:ascii="Arial" w:hAnsi="Arial" w:cs="Arial"/>
          <w:b/>
          <w:bCs/>
          <w:color w:val="000000"/>
        </w:rPr>
        <w:t>DOCUMENT 4: EVALUATION CRITERIA</w:t>
      </w:r>
    </w:p>
    <w:p w14:paraId="168332F1" w14:textId="075C4E2D" w:rsidR="008C41F5" w:rsidRPr="00747EC6" w:rsidRDefault="00747EC6" w:rsidP="008C41F5">
      <w:pPr>
        <w:pStyle w:val="NormalWeb"/>
        <w:rPr>
          <w:rFonts w:ascii="Arial" w:hAnsi="Arial" w:cs="Arial"/>
          <w:b/>
          <w:bCs/>
          <w:color w:val="000000"/>
        </w:rPr>
      </w:pPr>
      <w:r w:rsidRPr="00747EC6">
        <w:rPr>
          <w:rFonts w:ascii="Arial" w:hAnsi="Arial" w:cs="Arial"/>
          <w:b/>
          <w:bCs/>
          <w:color w:val="000000"/>
        </w:rPr>
        <w:t>INSTRUCTIONS:</w:t>
      </w:r>
    </w:p>
    <w:p w14:paraId="424606CA" w14:textId="08175E98" w:rsidR="008C41F5" w:rsidRPr="00A2657A" w:rsidRDefault="008C41F5" w:rsidP="002D7D57">
      <w:pPr>
        <w:pStyle w:val="NormalWeb"/>
        <w:ind w:left="851" w:hanging="851"/>
        <w:rPr>
          <w:rFonts w:ascii="Arial" w:hAnsi="Arial" w:cs="Arial"/>
          <w:color w:val="000000"/>
        </w:rPr>
      </w:pPr>
      <w:r w:rsidRPr="00A2657A">
        <w:rPr>
          <w:rFonts w:ascii="Arial" w:hAnsi="Arial" w:cs="Arial"/>
          <w:color w:val="000000"/>
        </w:rPr>
        <w:t xml:space="preserve">1. </w:t>
      </w:r>
      <w:r w:rsidR="002D7D57">
        <w:rPr>
          <w:rFonts w:ascii="Arial" w:hAnsi="Arial" w:cs="Arial"/>
          <w:color w:val="000000"/>
        </w:rPr>
        <w:tab/>
      </w:r>
      <w:r w:rsidRPr="00A2657A">
        <w:rPr>
          <w:rFonts w:ascii="Arial" w:hAnsi="Arial" w:cs="Arial"/>
          <w:color w:val="000000"/>
        </w:rPr>
        <w:t xml:space="preserve">We want the </w:t>
      </w:r>
      <w:r w:rsidR="00177CC3" w:rsidRPr="00A2657A">
        <w:rPr>
          <w:rFonts w:ascii="Arial" w:hAnsi="Arial" w:cs="Arial"/>
          <w:color w:val="000000"/>
        </w:rPr>
        <w:t>Contractor</w:t>
      </w:r>
      <w:r w:rsidR="003F569B" w:rsidRPr="00A2657A">
        <w:rPr>
          <w:rFonts w:ascii="Arial" w:hAnsi="Arial" w:cs="Arial"/>
          <w:color w:val="000000"/>
        </w:rPr>
        <w:t xml:space="preserve"> to develop a </w:t>
      </w:r>
      <w:r w:rsidR="00857799">
        <w:rPr>
          <w:rFonts w:ascii="Arial" w:hAnsi="Arial" w:cs="Arial"/>
          <w:color w:val="000000"/>
        </w:rPr>
        <w:t xml:space="preserve">set </w:t>
      </w:r>
      <w:r w:rsidR="003F569B" w:rsidRPr="00A2657A">
        <w:rPr>
          <w:rFonts w:ascii="Arial" w:hAnsi="Arial" w:cs="Arial"/>
          <w:color w:val="000000"/>
        </w:rPr>
        <w:t>of online resources to support the DSL</w:t>
      </w:r>
      <w:r w:rsidR="002D7D57">
        <w:rPr>
          <w:rFonts w:ascii="Arial" w:hAnsi="Arial" w:cs="Arial"/>
          <w:color w:val="000000"/>
        </w:rPr>
        <w:t xml:space="preserve"> </w:t>
      </w:r>
      <w:r w:rsidR="003F569B" w:rsidRPr="00A2657A">
        <w:rPr>
          <w:rFonts w:ascii="Arial" w:hAnsi="Arial" w:cs="Arial"/>
          <w:color w:val="000000"/>
        </w:rPr>
        <w:t>with their role.</w:t>
      </w:r>
    </w:p>
    <w:p w14:paraId="137F58EA" w14:textId="195FBCA3" w:rsidR="008C41F5" w:rsidRPr="00A2657A" w:rsidRDefault="008C41F5" w:rsidP="002D7D57">
      <w:pPr>
        <w:pStyle w:val="NormalWeb"/>
        <w:ind w:left="851" w:hanging="851"/>
        <w:rPr>
          <w:rFonts w:ascii="Arial" w:hAnsi="Arial" w:cs="Arial"/>
          <w:color w:val="000000"/>
        </w:rPr>
      </w:pPr>
      <w:r w:rsidRPr="1EE0A79B">
        <w:rPr>
          <w:rFonts w:ascii="Arial" w:hAnsi="Arial" w:cs="Arial"/>
          <w:color w:val="000000" w:themeColor="text1"/>
        </w:rPr>
        <w:t xml:space="preserve">2. </w:t>
      </w:r>
      <w:r w:rsidR="002D7D57">
        <w:rPr>
          <w:rFonts w:ascii="Arial" w:hAnsi="Arial" w:cs="Arial"/>
          <w:color w:val="000000" w:themeColor="text1"/>
        </w:rPr>
        <w:tab/>
      </w:r>
      <w:r w:rsidR="00BB2118">
        <w:rPr>
          <w:rFonts w:ascii="Arial" w:hAnsi="Arial" w:cs="Arial"/>
          <w:color w:val="000000" w:themeColor="text1"/>
        </w:rPr>
        <w:t>Bidder</w:t>
      </w:r>
      <w:r w:rsidR="00857799">
        <w:rPr>
          <w:rFonts w:ascii="Arial" w:hAnsi="Arial" w:cs="Arial"/>
          <w:color w:val="000000" w:themeColor="text1"/>
        </w:rPr>
        <w:t>s</w:t>
      </w:r>
      <w:r w:rsidR="00BB2118">
        <w:rPr>
          <w:rFonts w:ascii="Arial" w:hAnsi="Arial" w:cs="Arial"/>
          <w:color w:val="000000" w:themeColor="text1"/>
        </w:rPr>
        <w:t xml:space="preserve"> sh</w:t>
      </w:r>
      <w:r w:rsidRPr="1EE0A79B">
        <w:rPr>
          <w:rFonts w:ascii="Arial" w:hAnsi="Arial" w:cs="Arial"/>
          <w:color w:val="000000" w:themeColor="text1"/>
        </w:rPr>
        <w:t>ould set out a detailed response, using the format provided in Document 1– Instructions on</w:t>
      </w:r>
      <w:r w:rsidR="00C660A2" w:rsidRPr="1EE0A79B">
        <w:rPr>
          <w:rFonts w:ascii="Arial" w:hAnsi="Arial" w:cs="Arial"/>
          <w:color w:val="000000" w:themeColor="text1"/>
        </w:rPr>
        <w:t xml:space="preserve"> the</w:t>
      </w:r>
      <w:r w:rsidRPr="1EE0A79B">
        <w:rPr>
          <w:rFonts w:ascii="Arial" w:hAnsi="Arial" w:cs="Arial"/>
          <w:color w:val="000000" w:themeColor="text1"/>
        </w:rPr>
        <w:t xml:space="preserve"> </w:t>
      </w:r>
      <w:r w:rsidR="00967533">
        <w:rPr>
          <w:rFonts w:ascii="Arial" w:hAnsi="Arial" w:cs="Arial"/>
          <w:color w:val="000000" w:themeColor="text1"/>
        </w:rPr>
        <w:t>t</w:t>
      </w:r>
      <w:r w:rsidRPr="1EE0A79B">
        <w:rPr>
          <w:rFonts w:ascii="Arial" w:hAnsi="Arial" w:cs="Arial"/>
          <w:color w:val="000000" w:themeColor="text1"/>
        </w:rPr>
        <w:t xml:space="preserve">endering </w:t>
      </w:r>
      <w:r w:rsidR="00967533">
        <w:rPr>
          <w:rFonts w:ascii="Arial" w:hAnsi="Arial" w:cs="Arial"/>
          <w:color w:val="000000" w:themeColor="text1"/>
        </w:rPr>
        <w:t>p</w:t>
      </w:r>
      <w:r w:rsidRPr="1EE0A79B">
        <w:rPr>
          <w:rFonts w:ascii="Arial" w:hAnsi="Arial" w:cs="Arial"/>
          <w:color w:val="000000" w:themeColor="text1"/>
        </w:rPr>
        <w:t>rocedures.</w:t>
      </w:r>
    </w:p>
    <w:p w14:paraId="0E3ACA93" w14:textId="08D479CF" w:rsidR="008C41F5" w:rsidRPr="00A2657A" w:rsidRDefault="008C41F5" w:rsidP="002D7D57">
      <w:pPr>
        <w:pStyle w:val="NormalWeb"/>
        <w:ind w:left="851" w:hanging="851"/>
        <w:rPr>
          <w:rFonts w:ascii="Arial" w:hAnsi="Arial" w:cs="Arial"/>
          <w:color w:val="000000"/>
        </w:rPr>
      </w:pPr>
      <w:r w:rsidRPr="492BCF0C">
        <w:rPr>
          <w:rFonts w:ascii="Arial" w:hAnsi="Arial" w:cs="Arial"/>
          <w:color w:val="000000" w:themeColor="text1"/>
        </w:rPr>
        <w:t>4.</w:t>
      </w:r>
      <w:r w:rsidR="002D7D57">
        <w:rPr>
          <w:rFonts w:ascii="Arial" w:hAnsi="Arial" w:cs="Arial"/>
          <w:color w:val="000000" w:themeColor="text1"/>
        </w:rPr>
        <w:tab/>
      </w:r>
      <w:r w:rsidRPr="492BCF0C">
        <w:rPr>
          <w:rFonts w:ascii="Arial" w:hAnsi="Arial" w:cs="Arial"/>
          <w:color w:val="000000" w:themeColor="text1"/>
        </w:rPr>
        <w:t xml:space="preserve">Please note that the information below relates directly to the scoring and evaluation matrix for bids. ‘Quality’ scoring </w:t>
      </w:r>
      <w:r w:rsidRPr="00772ACD">
        <w:rPr>
          <w:rFonts w:ascii="Arial" w:hAnsi="Arial" w:cs="Arial"/>
          <w:color w:val="000000" w:themeColor="text1"/>
        </w:rPr>
        <w:t xml:space="preserve">represents </w:t>
      </w:r>
      <w:r w:rsidR="00F03577" w:rsidRPr="00772ACD">
        <w:rPr>
          <w:rFonts w:ascii="Arial" w:hAnsi="Arial" w:cs="Arial"/>
          <w:color w:val="000000" w:themeColor="text1"/>
        </w:rPr>
        <w:t>7</w:t>
      </w:r>
      <w:r w:rsidR="00666288" w:rsidRPr="00772ACD">
        <w:rPr>
          <w:rFonts w:ascii="Arial" w:hAnsi="Arial" w:cs="Arial"/>
          <w:color w:val="000000" w:themeColor="text1"/>
        </w:rPr>
        <w:t>0</w:t>
      </w:r>
      <w:r w:rsidRPr="00772ACD">
        <w:rPr>
          <w:rFonts w:ascii="Arial" w:hAnsi="Arial" w:cs="Arial"/>
          <w:color w:val="000000" w:themeColor="text1"/>
        </w:rPr>
        <w:t xml:space="preserve">% of the overall evaluation. ‘Cost and value for money’ represents the </w:t>
      </w:r>
      <w:r w:rsidR="00666288" w:rsidRPr="00772ACD">
        <w:rPr>
          <w:rFonts w:ascii="Arial" w:hAnsi="Arial" w:cs="Arial"/>
          <w:color w:val="000000" w:themeColor="text1"/>
        </w:rPr>
        <w:t>remaining 30%.</w:t>
      </w:r>
    </w:p>
    <w:p w14:paraId="007A2559" w14:textId="040FC49F" w:rsidR="008C41F5" w:rsidRPr="00A2657A" w:rsidRDefault="008C41F5" w:rsidP="002D7D57">
      <w:pPr>
        <w:pStyle w:val="NormalWeb"/>
        <w:ind w:left="851" w:hanging="851"/>
        <w:rPr>
          <w:rFonts w:ascii="Arial" w:hAnsi="Arial" w:cs="Arial"/>
          <w:color w:val="000000"/>
        </w:rPr>
      </w:pPr>
      <w:r w:rsidRPr="00A2657A">
        <w:rPr>
          <w:rFonts w:ascii="Arial" w:hAnsi="Arial" w:cs="Arial"/>
          <w:color w:val="000000"/>
        </w:rPr>
        <w:t>5.</w:t>
      </w:r>
      <w:r w:rsidR="002D7D57">
        <w:rPr>
          <w:rFonts w:ascii="Arial" w:hAnsi="Arial" w:cs="Arial"/>
          <w:color w:val="000000"/>
        </w:rPr>
        <w:tab/>
      </w:r>
      <w:r w:rsidRPr="00A2657A">
        <w:rPr>
          <w:rFonts w:ascii="Arial" w:hAnsi="Arial" w:cs="Arial"/>
          <w:color w:val="000000"/>
        </w:rPr>
        <w:t xml:space="preserve">Please provide all answers within </w:t>
      </w:r>
      <w:r w:rsidR="007A56D7">
        <w:rPr>
          <w:rFonts w:ascii="Arial" w:hAnsi="Arial" w:cs="Arial"/>
          <w:color w:val="000000"/>
        </w:rPr>
        <w:t xml:space="preserve">Document 5 – ITT </w:t>
      </w:r>
      <w:r w:rsidR="0000028E">
        <w:rPr>
          <w:rFonts w:ascii="Arial" w:hAnsi="Arial" w:cs="Arial"/>
          <w:color w:val="000000"/>
        </w:rPr>
        <w:t>S</w:t>
      </w:r>
      <w:r w:rsidR="00207D78" w:rsidRPr="00A2657A">
        <w:rPr>
          <w:rFonts w:ascii="Arial" w:hAnsi="Arial" w:cs="Arial"/>
          <w:color w:val="000000"/>
        </w:rPr>
        <w:t xml:space="preserve">upplier </w:t>
      </w:r>
      <w:r w:rsidR="0000028E">
        <w:rPr>
          <w:rFonts w:ascii="Arial" w:hAnsi="Arial" w:cs="Arial"/>
          <w:color w:val="000000"/>
        </w:rPr>
        <w:t>R</w:t>
      </w:r>
      <w:r w:rsidR="00207D78" w:rsidRPr="00A2657A">
        <w:rPr>
          <w:rFonts w:ascii="Arial" w:hAnsi="Arial" w:cs="Arial"/>
          <w:color w:val="000000"/>
        </w:rPr>
        <w:t xml:space="preserve">esponse </w:t>
      </w:r>
      <w:r w:rsidR="001975FA">
        <w:rPr>
          <w:rFonts w:ascii="Arial" w:hAnsi="Arial" w:cs="Arial"/>
          <w:color w:val="000000"/>
        </w:rPr>
        <w:t>f</w:t>
      </w:r>
      <w:r w:rsidR="00207D78" w:rsidRPr="00A2657A">
        <w:rPr>
          <w:rFonts w:ascii="Arial" w:hAnsi="Arial" w:cs="Arial"/>
          <w:color w:val="000000"/>
        </w:rPr>
        <w:t>orm</w:t>
      </w:r>
      <w:r w:rsidR="009E28F4">
        <w:rPr>
          <w:rFonts w:ascii="Arial" w:hAnsi="Arial" w:cs="Arial"/>
          <w:color w:val="000000"/>
        </w:rPr>
        <w:t xml:space="preserve"> and Document 6 – Cost Matrix</w:t>
      </w:r>
      <w:r w:rsidR="00A034F4" w:rsidRPr="00A2657A">
        <w:rPr>
          <w:rFonts w:ascii="Arial" w:hAnsi="Arial" w:cs="Arial"/>
          <w:color w:val="000000"/>
        </w:rPr>
        <w:t xml:space="preserve">. </w:t>
      </w:r>
      <w:r w:rsidRPr="00A2657A">
        <w:rPr>
          <w:rFonts w:ascii="Arial" w:hAnsi="Arial" w:cs="Arial"/>
          <w:color w:val="000000"/>
        </w:rPr>
        <w:t xml:space="preserve">Additional attachments </w:t>
      </w:r>
      <w:r w:rsidR="00A62E6B" w:rsidRPr="00A2657A">
        <w:rPr>
          <w:rFonts w:ascii="Arial" w:hAnsi="Arial" w:cs="Arial"/>
          <w:color w:val="000000"/>
        </w:rPr>
        <w:t>will not be accepted</w:t>
      </w:r>
      <w:r w:rsidR="002A0EC4" w:rsidRPr="00A2657A">
        <w:rPr>
          <w:rFonts w:ascii="Arial" w:hAnsi="Arial" w:cs="Arial"/>
          <w:color w:val="000000"/>
        </w:rPr>
        <w:t xml:space="preserve"> unless specifically requested within a question.</w:t>
      </w:r>
    </w:p>
    <w:p w14:paraId="68F786CB" w14:textId="434F6701" w:rsidR="008C41F5" w:rsidRPr="00A2657A" w:rsidRDefault="008C41F5" w:rsidP="002D7D57">
      <w:pPr>
        <w:pStyle w:val="NormalWeb"/>
        <w:ind w:left="851" w:hanging="851"/>
        <w:rPr>
          <w:rFonts w:ascii="Arial" w:hAnsi="Arial" w:cs="Arial"/>
          <w:color w:val="000000"/>
        </w:rPr>
      </w:pPr>
      <w:r w:rsidRPr="1EE0A79B">
        <w:rPr>
          <w:rFonts w:ascii="Arial" w:hAnsi="Arial" w:cs="Arial"/>
          <w:color w:val="000000" w:themeColor="text1"/>
        </w:rPr>
        <w:t xml:space="preserve">6. </w:t>
      </w:r>
      <w:r w:rsidR="002D7D57">
        <w:rPr>
          <w:rFonts w:ascii="Arial" w:hAnsi="Arial" w:cs="Arial"/>
          <w:color w:val="000000" w:themeColor="text1"/>
        </w:rPr>
        <w:tab/>
      </w:r>
      <w:r w:rsidRPr="1EE0A79B">
        <w:rPr>
          <w:rFonts w:ascii="Arial" w:hAnsi="Arial" w:cs="Arial"/>
          <w:color w:val="000000" w:themeColor="text1"/>
        </w:rPr>
        <w:t xml:space="preserve">Following this evaluation, we may want to ask </w:t>
      </w:r>
      <w:r w:rsidR="00067E72">
        <w:rPr>
          <w:rFonts w:ascii="Arial" w:hAnsi="Arial" w:cs="Arial"/>
          <w:color w:val="000000" w:themeColor="text1"/>
        </w:rPr>
        <w:t>v</w:t>
      </w:r>
      <w:r w:rsidR="00F935F1">
        <w:rPr>
          <w:rFonts w:ascii="Arial" w:hAnsi="Arial" w:cs="Arial"/>
          <w:color w:val="000000" w:themeColor="text1"/>
        </w:rPr>
        <w:t>erification</w:t>
      </w:r>
      <w:r w:rsidR="009D78D9">
        <w:rPr>
          <w:rFonts w:ascii="Arial" w:hAnsi="Arial" w:cs="Arial"/>
          <w:color w:val="000000" w:themeColor="text1"/>
        </w:rPr>
        <w:t>/clarification</w:t>
      </w:r>
      <w:r w:rsidR="00067E72" w:rsidRPr="1EE0A79B">
        <w:rPr>
          <w:rFonts w:ascii="Arial" w:hAnsi="Arial" w:cs="Arial"/>
          <w:color w:val="000000" w:themeColor="text1"/>
        </w:rPr>
        <w:t xml:space="preserve"> </w:t>
      </w:r>
      <w:r w:rsidRPr="1EE0A79B">
        <w:rPr>
          <w:rFonts w:ascii="Arial" w:hAnsi="Arial" w:cs="Arial"/>
          <w:color w:val="000000" w:themeColor="text1"/>
        </w:rPr>
        <w:t>questions prior to making a final decision. The decision to award will be subject to a final moderation</w:t>
      </w:r>
      <w:r w:rsidR="00931CD7">
        <w:rPr>
          <w:rFonts w:ascii="Arial" w:hAnsi="Arial" w:cs="Arial"/>
          <w:color w:val="000000" w:themeColor="text1"/>
        </w:rPr>
        <w:t>. This will</w:t>
      </w:r>
      <w:r w:rsidR="00452014">
        <w:rPr>
          <w:rFonts w:ascii="Arial" w:hAnsi="Arial" w:cs="Arial"/>
          <w:color w:val="000000" w:themeColor="text1"/>
        </w:rPr>
        <w:t xml:space="preserve"> </w:t>
      </w:r>
      <w:r w:rsidR="00931CD7">
        <w:rPr>
          <w:rFonts w:ascii="Arial" w:hAnsi="Arial" w:cs="Arial"/>
          <w:color w:val="000000" w:themeColor="text1"/>
        </w:rPr>
        <w:t>use the written response</w:t>
      </w:r>
      <w:r w:rsidR="00452014">
        <w:rPr>
          <w:rFonts w:ascii="Arial" w:hAnsi="Arial" w:cs="Arial"/>
          <w:color w:val="000000" w:themeColor="text1"/>
        </w:rPr>
        <w:t>s submitted but will ensure that all evaluators have the same understanding of the original intention of these responses</w:t>
      </w:r>
      <w:r w:rsidR="00BC44AB">
        <w:rPr>
          <w:rFonts w:ascii="Arial" w:hAnsi="Arial" w:cs="Arial"/>
          <w:color w:val="000000" w:themeColor="text1"/>
        </w:rPr>
        <w:t>.</w:t>
      </w:r>
      <w:r w:rsidRPr="1EE0A79B">
        <w:rPr>
          <w:rFonts w:ascii="Arial" w:hAnsi="Arial" w:cs="Arial"/>
          <w:color w:val="000000" w:themeColor="text1"/>
        </w:rPr>
        <w:t xml:space="preserve"> </w:t>
      </w:r>
    </w:p>
    <w:p w14:paraId="2FAB1CAE" w14:textId="582F6AE7" w:rsidR="00E4707B" w:rsidRDefault="002A684D" w:rsidP="002D7D57">
      <w:pPr>
        <w:spacing w:line="240" w:lineRule="auto"/>
        <w:ind w:left="851" w:hanging="851"/>
        <w:rPr>
          <w:rFonts w:ascii="Arial" w:eastAsia="Calibri" w:hAnsi="Arial" w:cs="Arial"/>
          <w:sz w:val="24"/>
          <w:szCs w:val="24"/>
        </w:rPr>
      </w:pPr>
      <w:r w:rsidRPr="00A2657A">
        <w:rPr>
          <w:rFonts w:ascii="Arial" w:hAnsi="Arial" w:cs="Arial"/>
          <w:color w:val="000000"/>
          <w:sz w:val="24"/>
          <w:szCs w:val="24"/>
        </w:rPr>
        <w:t xml:space="preserve">7. </w:t>
      </w:r>
      <w:r w:rsidR="002D7D57">
        <w:rPr>
          <w:rFonts w:ascii="Arial" w:hAnsi="Arial" w:cs="Arial"/>
          <w:color w:val="000000"/>
          <w:sz w:val="24"/>
          <w:szCs w:val="24"/>
        </w:rPr>
        <w:tab/>
      </w:r>
      <w:r w:rsidRPr="00A2657A">
        <w:rPr>
          <w:rFonts w:ascii="Arial" w:hAnsi="Arial" w:cs="Arial"/>
          <w:color w:val="000000"/>
          <w:sz w:val="24"/>
          <w:szCs w:val="24"/>
        </w:rPr>
        <w:t>Social value</w:t>
      </w:r>
      <w:r w:rsidR="00E4707B">
        <w:rPr>
          <w:rFonts w:ascii="Arial" w:hAnsi="Arial" w:cs="Arial"/>
          <w:color w:val="000000"/>
          <w:sz w:val="24"/>
          <w:szCs w:val="24"/>
        </w:rPr>
        <w:t>: f</w:t>
      </w:r>
      <w:r w:rsidRPr="00A2657A">
        <w:rPr>
          <w:rFonts w:ascii="Arial" w:eastAsia="Calibri" w:hAnsi="Arial" w:cs="Arial"/>
          <w:sz w:val="24"/>
          <w:szCs w:val="24"/>
        </w:rPr>
        <w:t>or full details on the policy themes and outcomes, including suggested activities that could demonstrate your delivery of these please see</w:t>
      </w:r>
      <w:r w:rsidR="00E4707B">
        <w:rPr>
          <w:rFonts w:ascii="Arial" w:eastAsia="Calibri" w:hAnsi="Arial" w:cs="Arial"/>
          <w:sz w:val="24"/>
          <w:szCs w:val="24"/>
        </w:rPr>
        <w:t xml:space="preserve">: </w:t>
      </w:r>
    </w:p>
    <w:p w14:paraId="724EB280" w14:textId="40A50F51" w:rsidR="002F00B8" w:rsidRPr="002F00B8" w:rsidRDefault="00E42091" w:rsidP="002D7D57">
      <w:pPr>
        <w:spacing w:line="360" w:lineRule="auto"/>
        <w:ind w:left="851"/>
        <w:rPr>
          <w:rFonts w:ascii="Arial" w:eastAsia="Calibri" w:hAnsi="Arial" w:cs="Arial"/>
          <w:sz w:val="24"/>
          <w:szCs w:val="24"/>
        </w:rPr>
      </w:pPr>
      <w:hyperlink r:id="rId9" w:history="1">
        <w:r w:rsidR="002F00B8" w:rsidRPr="002F00B8">
          <w:rPr>
            <w:rStyle w:val="Hyperlink"/>
            <w:rFonts w:ascii="Arial" w:hAnsi="Arial" w:cs="Arial"/>
            <w:sz w:val="24"/>
            <w:szCs w:val="24"/>
          </w:rPr>
          <w:t>PPN 06_20 Taking Account of Social Value in the Award of Central Government Contracts (3) (publishing.service.gov.uk)</w:t>
        </w:r>
      </w:hyperlink>
      <w:r w:rsidR="009D1ACF">
        <w:rPr>
          <w:rStyle w:val="Hyperlink"/>
          <w:rFonts w:ascii="Arial" w:hAnsi="Arial" w:cs="Arial"/>
          <w:sz w:val="24"/>
          <w:szCs w:val="24"/>
        </w:rPr>
        <w:t>.</w:t>
      </w:r>
    </w:p>
    <w:p w14:paraId="2E48043B" w14:textId="21C39EF9" w:rsidR="00204B7F" w:rsidRDefault="002F00B8" w:rsidP="002D7D57">
      <w:pPr>
        <w:spacing w:line="240" w:lineRule="auto"/>
        <w:ind w:left="851" w:hanging="851"/>
        <w:rPr>
          <w:rFonts w:ascii="Arial" w:eastAsia="Calibri" w:hAnsi="Arial" w:cs="Arial"/>
          <w:sz w:val="24"/>
          <w:szCs w:val="24"/>
        </w:rPr>
      </w:pPr>
      <w:r>
        <w:rPr>
          <w:rFonts w:ascii="Arial" w:eastAsia="Calibri" w:hAnsi="Arial" w:cs="Arial"/>
          <w:sz w:val="24"/>
          <w:szCs w:val="24"/>
        </w:rPr>
        <w:t xml:space="preserve">8. </w:t>
      </w:r>
      <w:r w:rsidR="002D7D57">
        <w:tab/>
      </w:r>
      <w:r>
        <w:rPr>
          <w:rFonts w:ascii="Arial" w:eastAsia="Calibri" w:hAnsi="Arial" w:cs="Arial"/>
          <w:sz w:val="24"/>
          <w:szCs w:val="24"/>
        </w:rPr>
        <w:t>T</w:t>
      </w:r>
      <w:r w:rsidR="00822BE1" w:rsidRPr="46BBA767">
        <w:rPr>
          <w:rFonts w:ascii="Arial" w:eastAsia="Calibri" w:hAnsi="Arial" w:cs="Arial"/>
          <w:sz w:val="24"/>
          <w:szCs w:val="24"/>
        </w:rPr>
        <w:t xml:space="preserve">he financial </w:t>
      </w:r>
      <w:r w:rsidR="0007250E" w:rsidRPr="46BBA767">
        <w:rPr>
          <w:rFonts w:ascii="Arial" w:eastAsia="Calibri" w:hAnsi="Arial" w:cs="Arial"/>
          <w:sz w:val="24"/>
          <w:szCs w:val="24"/>
        </w:rPr>
        <w:t xml:space="preserve">budget for this </w:t>
      </w:r>
      <w:r w:rsidR="0007250E" w:rsidRPr="005E66CE">
        <w:rPr>
          <w:rFonts w:ascii="Arial" w:eastAsia="Calibri" w:hAnsi="Arial" w:cs="Arial"/>
          <w:sz w:val="24"/>
          <w:szCs w:val="24"/>
        </w:rPr>
        <w:t>service is £</w:t>
      </w:r>
      <w:r w:rsidR="0007250E" w:rsidRPr="35060FA4">
        <w:rPr>
          <w:rFonts w:ascii="Arial" w:eastAsia="Calibri" w:hAnsi="Arial" w:cs="Arial"/>
          <w:sz w:val="24"/>
          <w:szCs w:val="24"/>
        </w:rPr>
        <w:t>250</w:t>
      </w:r>
      <w:r w:rsidR="052A37E5" w:rsidRPr="35060FA4">
        <w:rPr>
          <w:rFonts w:ascii="Arial" w:eastAsia="Calibri" w:hAnsi="Arial" w:cs="Arial"/>
          <w:sz w:val="24"/>
          <w:szCs w:val="24"/>
        </w:rPr>
        <w:t>,000</w:t>
      </w:r>
      <w:r w:rsidR="0007250E" w:rsidRPr="35060FA4">
        <w:rPr>
          <w:rFonts w:ascii="Arial" w:eastAsia="Calibri" w:hAnsi="Arial" w:cs="Arial"/>
          <w:sz w:val="24"/>
          <w:szCs w:val="24"/>
        </w:rPr>
        <w:t>.</w:t>
      </w:r>
      <w:r w:rsidR="0007250E" w:rsidRPr="005E66CE">
        <w:rPr>
          <w:rFonts w:ascii="Arial" w:eastAsia="Calibri" w:hAnsi="Arial" w:cs="Arial"/>
          <w:sz w:val="24"/>
          <w:szCs w:val="24"/>
        </w:rPr>
        <w:t xml:space="preserve">  Submissions</w:t>
      </w:r>
      <w:r w:rsidR="0007250E" w:rsidRPr="46BBA767">
        <w:rPr>
          <w:rFonts w:ascii="Arial" w:eastAsia="Calibri" w:hAnsi="Arial" w:cs="Arial"/>
          <w:sz w:val="24"/>
          <w:szCs w:val="24"/>
        </w:rPr>
        <w:t xml:space="preserve"> that exceed this limit </w:t>
      </w:r>
      <w:r w:rsidR="35A909D6" w:rsidRPr="46BBA767">
        <w:rPr>
          <w:rFonts w:ascii="Arial" w:eastAsia="Calibri" w:hAnsi="Arial" w:cs="Arial"/>
          <w:sz w:val="24"/>
          <w:szCs w:val="24"/>
        </w:rPr>
        <w:t xml:space="preserve">will </w:t>
      </w:r>
      <w:r w:rsidR="0007250E" w:rsidRPr="46BBA767">
        <w:rPr>
          <w:rFonts w:ascii="Arial" w:eastAsia="Calibri" w:hAnsi="Arial" w:cs="Arial"/>
          <w:sz w:val="24"/>
          <w:szCs w:val="24"/>
        </w:rPr>
        <w:t xml:space="preserve">be considered non-compliant and will not proceed to the </w:t>
      </w:r>
      <w:r w:rsidR="00826005" w:rsidRPr="46BBA767">
        <w:rPr>
          <w:rFonts w:ascii="Arial" w:eastAsia="Calibri" w:hAnsi="Arial" w:cs="Arial"/>
          <w:sz w:val="24"/>
          <w:szCs w:val="24"/>
        </w:rPr>
        <w:t>next evaluation stage.</w:t>
      </w:r>
    </w:p>
    <w:p w14:paraId="4241B56A" w14:textId="5BE77523" w:rsidR="002615A6" w:rsidRPr="00A2657A" w:rsidRDefault="00600722" w:rsidP="002D7D57">
      <w:pPr>
        <w:spacing w:line="240" w:lineRule="auto"/>
        <w:ind w:left="851" w:hanging="851"/>
        <w:rPr>
          <w:rFonts w:ascii="Arial" w:eastAsia="Calibri" w:hAnsi="Arial" w:cs="Arial"/>
          <w:sz w:val="24"/>
          <w:szCs w:val="24"/>
        </w:rPr>
      </w:pPr>
      <w:r w:rsidRPr="46BBA767">
        <w:rPr>
          <w:rFonts w:ascii="Arial" w:eastAsia="Calibri" w:hAnsi="Arial" w:cs="Arial"/>
          <w:sz w:val="24"/>
          <w:szCs w:val="24"/>
        </w:rPr>
        <w:t>9.</w:t>
      </w:r>
      <w:r w:rsidR="002615A6" w:rsidRPr="46BBA767">
        <w:rPr>
          <w:rFonts w:ascii="Arial" w:hAnsi="Arial" w:cs="Arial"/>
          <w:sz w:val="24"/>
          <w:szCs w:val="24"/>
        </w:rPr>
        <w:t xml:space="preserve"> </w:t>
      </w:r>
      <w:r w:rsidR="002D7D57">
        <w:rPr>
          <w:rFonts w:ascii="Arial" w:hAnsi="Arial" w:cs="Arial"/>
          <w:sz w:val="24"/>
          <w:szCs w:val="24"/>
        </w:rPr>
        <w:tab/>
      </w:r>
      <w:r w:rsidR="002615A6" w:rsidRPr="46BBA767">
        <w:rPr>
          <w:rFonts w:ascii="Arial" w:hAnsi="Arial" w:cs="Arial"/>
          <w:sz w:val="24"/>
          <w:szCs w:val="24"/>
        </w:rPr>
        <w:t>All costs should be quoted exclusive of VAT but please indicate if the project will attract VAT.</w:t>
      </w:r>
    </w:p>
    <w:p w14:paraId="6DD96884" w14:textId="5985B2CE" w:rsidR="002615A6" w:rsidRPr="00A2657A" w:rsidRDefault="002615A6" w:rsidP="002D7D57">
      <w:pPr>
        <w:pStyle w:val="NormalWeb"/>
        <w:ind w:left="851" w:hanging="851"/>
        <w:rPr>
          <w:rFonts w:ascii="Arial" w:hAnsi="Arial" w:cs="Arial"/>
        </w:rPr>
      </w:pPr>
      <w:r w:rsidRPr="46BBA767">
        <w:rPr>
          <w:rFonts w:ascii="Arial" w:hAnsi="Arial" w:cs="Arial"/>
        </w:rPr>
        <w:t>1</w:t>
      </w:r>
      <w:r w:rsidR="00600722" w:rsidRPr="46BBA767">
        <w:rPr>
          <w:rFonts w:ascii="Arial" w:hAnsi="Arial" w:cs="Arial"/>
        </w:rPr>
        <w:t>0</w:t>
      </w:r>
      <w:r w:rsidRPr="46BBA767">
        <w:rPr>
          <w:rFonts w:ascii="Arial" w:hAnsi="Arial" w:cs="Arial"/>
        </w:rPr>
        <w:t xml:space="preserve">. </w:t>
      </w:r>
      <w:r w:rsidR="002D7D57">
        <w:rPr>
          <w:rFonts w:ascii="Arial" w:hAnsi="Arial" w:cs="Arial"/>
        </w:rPr>
        <w:tab/>
      </w:r>
      <w:r w:rsidRPr="46BBA767">
        <w:rPr>
          <w:rFonts w:ascii="Arial" w:hAnsi="Arial" w:cs="Arial"/>
        </w:rPr>
        <w:t>If your proposal includes costs for sub-contractors these costs must be shown inclusive of any VAT element (</w:t>
      </w:r>
      <w:proofErr w:type="gramStart"/>
      <w:r w:rsidRPr="46BBA767">
        <w:rPr>
          <w:rFonts w:ascii="Arial" w:hAnsi="Arial" w:cs="Arial"/>
        </w:rPr>
        <w:t>e.g.</w:t>
      </w:r>
      <w:proofErr w:type="gramEnd"/>
      <w:r w:rsidRPr="46BBA767">
        <w:rPr>
          <w:rFonts w:ascii="Arial" w:hAnsi="Arial" w:cs="Arial"/>
        </w:rPr>
        <w:t xml:space="preserve"> sub-contractor’s costs to you are £10,000 plus VAT, your proposal should show sub-contractors costs as £12,000 inclusive of VAT @ 20%).</w:t>
      </w:r>
    </w:p>
    <w:p w14:paraId="488B74F5" w14:textId="792962AC" w:rsidR="002615A6" w:rsidRPr="00A2657A" w:rsidRDefault="002615A6" w:rsidP="002D7D57">
      <w:pPr>
        <w:pStyle w:val="NormalWeb"/>
        <w:ind w:left="851" w:hanging="851"/>
        <w:rPr>
          <w:rFonts w:ascii="Arial" w:hAnsi="Arial" w:cs="Arial"/>
        </w:rPr>
      </w:pPr>
      <w:r w:rsidRPr="00A2657A">
        <w:rPr>
          <w:rFonts w:ascii="Arial" w:hAnsi="Arial" w:cs="Arial"/>
        </w:rPr>
        <w:t>1</w:t>
      </w:r>
      <w:r w:rsidR="00600722" w:rsidRPr="00A2657A">
        <w:rPr>
          <w:rFonts w:ascii="Arial" w:hAnsi="Arial" w:cs="Arial"/>
        </w:rPr>
        <w:t>1</w:t>
      </w:r>
      <w:r w:rsidRPr="00A2657A">
        <w:rPr>
          <w:rFonts w:ascii="Arial" w:hAnsi="Arial" w:cs="Arial"/>
        </w:rPr>
        <w:t xml:space="preserve">. </w:t>
      </w:r>
      <w:r w:rsidR="002D7D57">
        <w:rPr>
          <w:rFonts w:ascii="Arial" w:hAnsi="Arial" w:cs="Arial"/>
        </w:rPr>
        <w:tab/>
      </w:r>
      <w:r w:rsidRPr="00A2657A">
        <w:rPr>
          <w:rFonts w:ascii="Arial" w:hAnsi="Arial" w:cs="Arial"/>
        </w:rPr>
        <w:t>We would expect monthly reporting against spending. Payments of costs to the successful supplier will be made upon successful completion of agreed milestones by BACS transfer following receipt of a valid invoice.</w:t>
      </w:r>
    </w:p>
    <w:p w14:paraId="1752DFD7" w14:textId="77777777" w:rsidR="00B4370F" w:rsidRPr="00A2657A" w:rsidRDefault="00B4370F" w:rsidP="002A684D">
      <w:pPr>
        <w:spacing w:line="360" w:lineRule="auto"/>
        <w:rPr>
          <w:rFonts w:ascii="Arial" w:eastAsia="Calibri" w:hAnsi="Arial" w:cs="Arial"/>
          <w:sz w:val="24"/>
          <w:szCs w:val="24"/>
        </w:rPr>
      </w:pPr>
    </w:p>
    <w:p w14:paraId="3537E580" w14:textId="77777777" w:rsidR="002D7D57" w:rsidRDefault="002D7D57" w:rsidP="007304F0">
      <w:pPr>
        <w:contextualSpacing/>
        <w:rPr>
          <w:rFonts w:ascii="Arial" w:eastAsia="Calibri" w:hAnsi="Arial" w:cs="Arial"/>
          <w:sz w:val="24"/>
          <w:szCs w:val="24"/>
        </w:rPr>
      </w:pPr>
    </w:p>
    <w:p w14:paraId="041C8C09" w14:textId="1A5E7840" w:rsidR="008020EA" w:rsidRDefault="00F03577" w:rsidP="007304F0">
      <w:pPr>
        <w:contextualSpacing/>
        <w:rPr>
          <w:rFonts w:ascii="Arial" w:hAnsi="Arial" w:cs="Arial"/>
          <w:b/>
          <w:bCs/>
          <w:sz w:val="24"/>
          <w:szCs w:val="24"/>
        </w:rPr>
      </w:pPr>
      <w:r w:rsidRPr="00A2657A">
        <w:rPr>
          <w:rFonts w:ascii="Arial" w:hAnsi="Arial" w:cs="Arial"/>
          <w:b/>
          <w:bCs/>
          <w:sz w:val="24"/>
          <w:szCs w:val="24"/>
        </w:rPr>
        <w:lastRenderedPageBreak/>
        <w:t>EVALUATION</w:t>
      </w:r>
      <w:r w:rsidR="00747EC6">
        <w:rPr>
          <w:rFonts w:ascii="Arial" w:hAnsi="Arial" w:cs="Arial"/>
          <w:b/>
          <w:bCs/>
          <w:sz w:val="24"/>
          <w:szCs w:val="24"/>
        </w:rPr>
        <w:t xml:space="preserve"> CRITERIA</w:t>
      </w:r>
      <w:r w:rsidR="00EC7B25" w:rsidRPr="00A2657A">
        <w:rPr>
          <w:rFonts w:ascii="Arial" w:hAnsi="Arial" w:cs="Arial"/>
          <w:b/>
          <w:bCs/>
          <w:sz w:val="24"/>
          <w:szCs w:val="24"/>
        </w:rPr>
        <w:t>:</w:t>
      </w:r>
    </w:p>
    <w:p w14:paraId="56FA2DDB" w14:textId="77777777" w:rsidR="007304F0" w:rsidRPr="007304F0" w:rsidRDefault="007304F0" w:rsidP="007304F0">
      <w:pPr>
        <w:contextualSpacing/>
        <w:rPr>
          <w:rFonts w:ascii="Arial" w:hAnsi="Arial" w:cs="Arial"/>
          <w:b/>
          <w:bCs/>
          <w:sz w:val="24"/>
          <w:szCs w:val="24"/>
        </w:rPr>
      </w:pPr>
    </w:p>
    <w:tbl>
      <w:tblPr>
        <w:tblStyle w:val="TableGrid"/>
        <w:tblW w:w="9493" w:type="dxa"/>
        <w:tblLook w:val="04A0" w:firstRow="1" w:lastRow="0" w:firstColumn="1" w:lastColumn="0" w:noHBand="0" w:noVBand="1"/>
      </w:tblPr>
      <w:tblGrid>
        <w:gridCol w:w="1644"/>
        <w:gridCol w:w="3738"/>
        <w:gridCol w:w="1685"/>
        <w:gridCol w:w="2426"/>
      </w:tblGrid>
      <w:tr w:rsidR="35060FA4" w14:paraId="52B985D5" w14:textId="77777777" w:rsidTr="0068588B">
        <w:tc>
          <w:tcPr>
            <w:tcW w:w="1644" w:type="dxa"/>
          </w:tcPr>
          <w:p w14:paraId="1EF0015F" w14:textId="4B3D6370"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Section</w:t>
            </w:r>
          </w:p>
        </w:tc>
        <w:tc>
          <w:tcPr>
            <w:tcW w:w="3738" w:type="dxa"/>
          </w:tcPr>
          <w:p w14:paraId="073BD9FF" w14:textId="61AE820D"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Question</w:t>
            </w:r>
          </w:p>
        </w:tc>
        <w:tc>
          <w:tcPr>
            <w:tcW w:w="1685" w:type="dxa"/>
          </w:tcPr>
          <w:p w14:paraId="147A2117" w14:textId="335E139B"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Number of words</w:t>
            </w:r>
          </w:p>
        </w:tc>
        <w:tc>
          <w:tcPr>
            <w:tcW w:w="2426" w:type="dxa"/>
          </w:tcPr>
          <w:p w14:paraId="028173F8" w14:textId="0674C894"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Weighting</w:t>
            </w:r>
          </w:p>
        </w:tc>
      </w:tr>
      <w:tr w:rsidR="35060FA4" w14:paraId="54C75BD9" w14:textId="77777777" w:rsidTr="0068588B">
        <w:tc>
          <w:tcPr>
            <w:tcW w:w="1644" w:type="dxa"/>
          </w:tcPr>
          <w:p w14:paraId="377A4C81" w14:textId="789146AF"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rPr>
              <w:t>1: Policy solution</w:t>
            </w:r>
          </w:p>
        </w:tc>
        <w:tc>
          <w:tcPr>
            <w:tcW w:w="3738" w:type="dxa"/>
          </w:tcPr>
          <w:p w14:paraId="0F60A117" w14:textId="7622F89A" w:rsidR="35060FA4" w:rsidRDefault="35060FA4" w:rsidP="35060FA4">
            <w:pPr>
              <w:pStyle w:val="NormalWeb"/>
              <w:rPr>
                <w:rFonts w:ascii="Arial" w:hAnsi="Arial" w:cs="Arial"/>
                <w:color w:val="000000" w:themeColor="text1"/>
                <w:u w:val="single"/>
              </w:rPr>
            </w:pPr>
            <w:r w:rsidRPr="35060FA4">
              <w:rPr>
                <w:rFonts w:ascii="Arial" w:hAnsi="Arial" w:cs="Arial"/>
              </w:rPr>
              <w:t>With reference to Document 3 (Service Specification) and guidance below, p</w:t>
            </w:r>
            <w:r w:rsidRPr="35060FA4">
              <w:rPr>
                <w:rFonts w:ascii="Arial" w:hAnsi="Arial" w:cs="Arial"/>
                <w:color w:val="000000" w:themeColor="text1"/>
              </w:rPr>
              <w:t xml:space="preserve">lease set out how you will deliver the required policy solution. </w:t>
            </w:r>
          </w:p>
        </w:tc>
        <w:tc>
          <w:tcPr>
            <w:tcW w:w="1685" w:type="dxa"/>
          </w:tcPr>
          <w:p w14:paraId="743BE8FC" w14:textId="266658F7"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1000</w:t>
            </w:r>
          </w:p>
        </w:tc>
        <w:tc>
          <w:tcPr>
            <w:tcW w:w="2426" w:type="dxa"/>
          </w:tcPr>
          <w:p w14:paraId="6FAE2798" w14:textId="1359D0CF"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25%</w:t>
            </w:r>
          </w:p>
        </w:tc>
      </w:tr>
      <w:tr w:rsidR="35060FA4" w14:paraId="313037E3" w14:textId="77777777" w:rsidTr="0068588B">
        <w:tc>
          <w:tcPr>
            <w:tcW w:w="1644" w:type="dxa"/>
          </w:tcPr>
          <w:p w14:paraId="3ED3E291" w14:textId="7F5B4998"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rPr>
              <w:t>2: User research and digital skills</w:t>
            </w:r>
          </w:p>
        </w:tc>
        <w:tc>
          <w:tcPr>
            <w:tcW w:w="3738" w:type="dxa"/>
          </w:tcPr>
          <w:p w14:paraId="1FAC858F" w14:textId="50899D6B" w:rsidR="35060FA4" w:rsidRDefault="35060FA4" w:rsidP="35060FA4">
            <w:pPr>
              <w:pStyle w:val="NormalWeb"/>
              <w:rPr>
                <w:rFonts w:ascii="Arial" w:hAnsi="Arial" w:cs="Arial"/>
                <w:color w:val="000000" w:themeColor="text1"/>
                <w:u w:val="single"/>
              </w:rPr>
            </w:pPr>
            <w:r w:rsidRPr="35060FA4">
              <w:rPr>
                <w:rFonts w:ascii="Arial" w:hAnsi="Arial" w:cs="Arial"/>
              </w:rPr>
              <w:t>With reference to Document 3 (Service Specification) and guidance below, p</w:t>
            </w:r>
            <w:r w:rsidRPr="35060FA4">
              <w:rPr>
                <w:rFonts w:ascii="Arial" w:hAnsi="Arial" w:cs="Arial"/>
                <w:color w:val="000000" w:themeColor="text1"/>
              </w:rPr>
              <w:t>lease set out how you will meet the required user research and digital skill requirements.</w:t>
            </w:r>
          </w:p>
        </w:tc>
        <w:tc>
          <w:tcPr>
            <w:tcW w:w="1685" w:type="dxa"/>
          </w:tcPr>
          <w:p w14:paraId="6B4ACDC9" w14:textId="355E2D98"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800</w:t>
            </w:r>
          </w:p>
        </w:tc>
        <w:tc>
          <w:tcPr>
            <w:tcW w:w="2426" w:type="dxa"/>
          </w:tcPr>
          <w:p w14:paraId="5CAF8353" w14:textId="7816E14E"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20%</w:t>
            </w:r>
          </w:p>
        </w:tc>
      </w:tr>
      <w:tr w:rsidR="35060FA4" w14:paraId="126B6AEA" w14:textId="77777777" w:rsidTr="0068588B">
        <w:tc>
          <w:tcPr>
            <w:tcW w:w="1644" w:type="dxa"/>
          </w:tcPr>
          <w:p w14:paraId="3F53883B" w14:textId="56E6FC29"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rPr>
              <w:t>3: Project and risk management</w:t>
            </w:r>
          </w:p>
        </w:tc>
        <w:tc>
          <w:tcPr>
            <w:tcW w:w="3738" w:type="dxa"/>
          </w:tcPr>
          <w:p w14:paraId="46F52CCD" w14:textId="7177D6C6" w:rsidR="35060FA4" w:rsidRDefault="35060FA4" w:rsidP="35060FA4">
            <w:pPr>
              <w:rPr>
                <w:rFonts w:ascii="Arial" w:hAnsi="Arial" w:cs="Arial"/>
                <w:sz w:val="24"/>
                <w:szCs w:val="24"/>
              </w:rPr>
            </w:pPr>
            <w:r w:rsidRPr="35060FA4">
              <w:rPr>
                <w:rFonts w:ascii="Arial" w:hAnsi="Arial" w:cs="Arial"/>
                <w:sz w:val="24"/>
                <w:szCs w:val="24"/>
              </w:rPr>
              <w:t>With reference to Document 3 (Service Specification) and guidance below, please set out how you will fulfil the project and risk management requirements.</w:t>
            </w:r>
          </w:p>
        </w:tc>
        <w:tc>
          <w:tcPr>
            <w:tcW w:w="1685" w:type="dxa"/>
          </w:tcPr>
          <w:p w14:paraId="3B248757" w14:textId="013209DA"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500 + 1 page project plan + 1 page risk register</w:t>
            </w:r>
          </w:p>
        </w:tc>
        <w:tc>
          <w:tcPr>
            <w:tcW w:w="2426" w:type="dxa"/>
          </w:tcPr>
          <w:p w14:paraId="63631CA6" w14:textId="5A9EE493" w:rsidR="35060FA4" w:rsidRDefault="35060FA4" w:rsidP="35060FA4">
            <w:pPr>
              <w:pStyle w:val="NormalWeb"/>
              <w:rPr>
                <w:rFonts w:ascii="Arial" w:hAnsi="Arial" w:cs="Arial"/>
                <w:color w:val="000000" w:themeColor="text1"/>
                <w:u w:val="single"/>
              </w:rPr>
            </w:pPr>
            <w:r w:rsidRPr="35060FA4">
              <w:rPr>
                <w:rFonts w:ascii="Arial" w:hAnsi="Arial" w:cs="Arial"/>
                <w:color w:val="000000" w:themeColor="text1"/>
                <w:u w:val="single"/>
              </w:rPr>
              <w:t>15%</w:t>
            </w:r>
          </w:p>
        </w:tc>
      </w:tr>
      <w:tr w:rsidR="35060FA4" w14:paraId="131F1A85" w14:textId="77777777" w:rsidTr="0068588B">
        <w:tc>
          <w:tcPr>
            <w:tcW w:w="1644" w:type="dxa"/>
          </w:tcPr>
          <w:p w14:paraId="2FA45080" w14:textId="131C916F" w:rsidR="35060FA4" w:rsidRDefault="35060FA4" w:rsidP="35060FA4">
            <w:pPr>
              <w:pStyle w:val="NormalWeb"/>
              <w:rPr>
                <w:rFonts w:ascii="Arial" w:eastAsia="Arial" w:hAnsi="Arial" w:cs="Arial"/>
                <w:color w:val="000000" w:themeColor="text1"/>
              </w:rPr>
            </w:pPr>
            <w:r w:rsidRPr="35060FA4">
              <w:rPr>
                <w:rFonts w:ascii="Arial" w:eastAsia="Arial" w:hAnsi="Arial" w:cs="Arial"/>
                <w:color w:val="000000" w:themeColor="text1"/>
              </w:rPr>
              <w:t xml:space="preserve">4: Social Value </w:t>
            </w:r>
          </w:p>
        </w:tc>
        <w:tc>
          <w:tcPr>
            <w:tcW w:w="3738" w:type="dxa"/>
          </w:tcPr>
          <w:p w14:paraId="59199B58" w14:textId="08F02EF2" w:rsidR="35060FA4" w:rsidRDefault="35060FA4" w:rsidP="35060FA4">
            <w:pPr>
              <w:pStyle w:val="NormalWeb"/>
              <w:rPr>
                <w:rFonts w:ascii="Arial" w:eastAsia="Arial" w:hAnsi="Arial" w:cs="Arial"/>
              </w:rPr>
            </w:pPr>
            <w:r w:rsidRPr="35060FA4">
              <w:rPr>
                <w:rFonts w:ascii="Arial" w:hAnsi="Arial" w:cs="Arial"/>
              </w:rPr>
              <w:t>Please set out how you will fulfil the Social Value requirements.</w:t>
            </w:r>
          </w:p>
        </w:tc>
        <w:tc>
          <w:tcPr>
            <w:tcW w:w="1685" w:type="dxa"/>
          </w:tcPr>
          <w:p w14:paraId="53196FC8" w14:textId="1E97D6D6" w:rsidR="35060FA4" w:rsidRDefault="35060FA4" w:rsidP="35060FA4">
            <w:pPr>
              <w:pStyle w:val="NormalWeb"/>
              <w:rPr>
                <w:rFonts w:ascii="Arial" w:eastAsia="Arial" w:hAnsi="Arial" w:cs="Arial"/>
                <w:color w:val="000000" w:themeColor="text1"/>
                <w:u w:val="single"/>
              </w:rPr>
            </w:pPr>
            <w:r w:rsidRPr="35060FA4">
              <w:rPr>
                <w:rFonts w:ascii="Arial" w:eastAsia="Arial" w:hAnsi="Arial" w:cs="Arial"/>
                <w:color w:val="000000" w:themeColor="text1"/>
                <w:u w:val="single"/>
              </w:rPr>
              <w:t>400</w:t>
            </w:r>
          </w:p>
        </w:tc>
        <w:tc>
          <w:tcPr>
            <w:tcW w:w="2426" w:type="dxa"/>
          </w:tcPr>
          <w:p w14:paraId="2F328F73" w14:textId="0A25A573" w:rsidR="35060FA4" w:rsidRDefault="35060FA4" w:rsidP="35060FA4">
            <w:pPr>
              <w:pStyle w:val="NormalWeb"/>
              <w:rPr>
                <w:rFonts w:ascii="Arial" w:eastAsia="Arial" w:hAnsi="Arial" w:cs="Arial"/>
                <w:color w:val="000000" w:themeColor="text1"/>
                <w:u w:val="single"/>
              </w:rPr>
            </w:pPr>
            <w:r w:rsidRPr="35060FA4">
              <w:rPr>
                <w:rFonts w:ascii="Arial" w:eastAsia="Arial" w:hAnsi="Arial" w:cs="Arial"/>
                <w:color w:val="000000" w:themeColor="text1"/>
                <w:u w:val="single"/>
              </w:rPr>
              <w:t>10%</w:t>
            </w:r>
          </w:p>
        </w:tc>
      </w:tr>
      <w:tr w:rsidR="35060FA4" w14:paraId="5E9AECAE" w14:textId="77777777" w:rsidTr="0068588B">
        <w:tc>
          <w:tcPr>
            <w:tcW w:w="1644" w:type="dxa"/>
          </w:tcPr>
          <w:p w14:paraId="26EC8EA6" w14:textId="28429AFB" w:rsidR="35060FA4" w:rsidRDefault="35060FA4" w:rsidP="35060FA4">
            <w:pPr>
              <w:pStyle w:val="NormalWeb"/>
              <w:rPr>
                <w:rFonts w:ascii="Arial" w:hAnsi="Arial" w:cs="Arial"/>
                <w:color w:val="000000" w:themeColor="text1"/>
              </w:rPr>
            </w:pPr>
            <w:r w:rsidRPr="35060FA4">
              <w:rPr>
                <w:rFonts w:ascii="Arial" w:hAnsi="Arial" w:cs="Arial"/>
                <w:color w:val="000000" w:themeColor="text1"/>
              </w:rPr>
              <w:t>5: Costs and value for money</w:t>
            </w:r>
          </w:p>
        </w:tc>
        <w:tc>
          <w:tcPr>
            <w:tcW w:w="3738" w:type="dxa"/>
          </w:tcPr>
          <w:p w14:paraId="53BFDCDA" w14:textId="6B35B87A" w:rsidR="35060FA4" w:rsidRDefault="35060FA4" w:rsidP="35060FA4">
            <w:pPr>
              <w:pStyle w:val="NormalWeb"/>
              <w:spacing w:before="0" w:beforeAutospacing="0" w:after="0" w:afterAutospacing="0"/>
              <w:rPr>
                <w:rFonts w:ascii="Arial" w:hAnsi="Arial" w:cs="Arial"/>
                <w:color w:val="000000" w:themeColor="text1"/>
              </w:rPr>
            </w:pPr>
            <w:r w:rsidRPr="35060FA4">
              <w:rPr>
                <w:rFonts w:ascii="Arial" w:hAnsi="Arial" w:cs="Arial"/>
                <w:color w:val="000000" w:themeColor="text1"/>
              </w:rPr>
              <w:t>As with all government contracts, we expect clearly to see value for money in your estimated costs. Please set out your costs using the cost matrix provided (Document 6).</w:t>
            </w:r>
          </w:p>
          <w:p w14:paraId="06F32373" w14:textId="77777777" w:rsidR="00242DB3" w:rsidRDefault="00242DB3" w:rsidP="35060FA4">
            <w:pPr>
              <w:pStyle w:val="NormalWeb"/>
              <w:spacing w:before="0" w:beforeAutospacing="0" w:after="0" w:afterAutospacing="0"/>
              <w:rPr>
                <w:rFonts w:ascii="Arial" w:hAnsi="Arial" w:cs="Arial"/>
                <w:color w:val="000000" w:themeColor="text1"/>
              </w:rPr>
            </w:pPr>
          </w:p>
          <w:p w14:paraId="01C0B4A2" w14:textId="52BBA9AE" w:rsidR="35060FA4" w:rsidRDefault="35060FA4" w:rsidP="35060FA4">
            <w:pPr>
              <w:rPr>
                <w:rFonts w:ascii="Arial" w:eastAsia="Arial" w:hAnsi="Arial" w:cs="Arial"/>
                <w:color w:val="000000" w:themeColor="text1"/>
                <w:sz w:val="24"/>
                <w:szCs w:val="24"/>
              </w:rPr>
            </w:pPr>
            <w:r w:rsidRPr="35060FA4">
              <w:rPr>
                <w:rFonts w:ascii="Arial" w:eastAsia="Arial" w:hAnsi="Arial" w:cs="Arial"/>
                <w:color w:val="000000" w:themeColor="text1"/>
                <w:sz w:val="24"/>
                <w:szCs w:val="24"/>
              </w:rPr>
              <w:t xml:space="preserve">All costs </w:t>
            </w:r>
            <w:r w:rsidRPr="35060FA4">
              <w:rPr>
                <w:rFonts w:ascii="Arial" w:eastAsia="Arial" w:hAnsi="Arial" w:cs="Arial"/>
                <w:b/>
                <w:bCs/>
                <w:color w:val="000000" w:themeColor="text1"/>
                <w:sz w:val="24"/>
                <w:szCs w:val="24"/>
              </w:rPr>
              <w:t xml:space="preserve">must be stand-alone for initial term of this contract </w:t>
            </w:r>
            <w:r w:rsidRPr="35060FA4">
              <w:rPr>
                <w:rFonts w:ascii="Arial" w:eastAsia="Arial" w:hAnsi="Arial" w:cs="Arial"/>
                <w:color w:val="000000" w:themeColor="text1"/>
                <w:sz w:val="24"/>
                <w:szCs w:val="24"/>
              </w:rPr>
              <w:t xml:space="preserve">and not rely on interdependencies, shared costs etc. with any other Government contract. </w:t>
            </w:r>
          </w:p>
          <w:p w14:paraId="6CF997E6" w14:textId="77777777" w:rsidR="35060FA4" w:rsidRDefault="35060FA4" w:rsidP="35060FA4">
            <w:pPr>
              <w:rPr>
                <w:rFonts w:ascii="Arial" w:eastAsia="Arial" w:hAnsi="Arial" w:cs="Arial"/>
                <w:color w:val="000000" w:themeColor="text1"/>
                <w:sz w:val="24"/>
                <w:szCs w:val="24"/>
              </w:rPr>
            </w:pPr>
          </w:p>
          <w:p w14:paraId="5AE440DB" w14:textId="5A0A1109" w:rsidR="35060FA4" w:rsidRDefault="35060FA4" w:rsidP="35060FA4">
            <w:pPr>
              <w:rPr>
                <w:rFonts w:ascii="Arial" w:eastAsia="Arial" w:hAnsi="Arial" w:cs="Arial"/>
                <w:color w:val="000000" w:themeColor="text1"/>
                <w:sz w:val="24"/>
                <w:szCs w:val="24"/>
              </w:rPr>
            </w:pPr>
            <w:r w:rsidRPr="35060FA4">
              <w:rPr>
                <w:rFonts w:ascii="Arial" w:eastAsia="Arial" w:hAnsi="Arial" w:cs="Arial"/>
                <w:color w:val="000000" w:themeColor="text1"/>
                <w:sz w:val="24"/>
                <w:szCs w:val="24"/>
              </w:rPr>
              <w:t>All pricing information should be presented in British Pounds (£), exclusive of VAT and rounded to the nearest pound.</w:t>
            </w:r>
          </w:p>
          <w:p w14:paraId="33E9FF80" w14:textId="77777777" w:rsidR="35060FA4" w:rsidRDefault="35060FA4" w:rsidP="35060FA4">
            <w:pPr>
              <w:rPr>
                <w:rFonts w:ascii="Arial" w:eastAsia="Arial" w:hAnsi="Arial" w:cs="Arial"/>
                <w:color w:val="000000" w:themeColor="text1"/>
                <w:sz w:val="24"/>
                <w:szCs w:val="24"/>
              </w:rPr>
            </w:pPr>
          </w:p>
          <w:p w14:paraId="2964713A" w14:textId="5DB81BE1" w:rsidR="35060FA4" w:rsidRDefault="35060FA4" w:rsidP="35060FA4">
            <w:pPr>
              <w:rPr>
                <w:rFonts w:ascii="Arial" w:eastAsia="Arial" w:hAnsi="Arial" w:cs="Arial"/>
                <w:color w:val="000000" w:themeColor="text1"/>
                <w:sz w:val="24"/>
                <w:szCs w:val="24"/>
              </w:rPr>
            </w:pPr>
            <w:r w:rsidRPr="35060FA4">
              <w:rPr>
                <w:rFonts w:ascii="Arial" w:eastAsia="Arial" w:hAnsi="Arial" w:cs="Arial"/>
                <w:color w:val="000000" w:themeColor="text1"/>
                <w:sz w:val="24"/>
                <w:szCs w:val="24"/>
              </w:rPr>
              <w:t xml:space="preserve">Potential Suppliers </w:t>
            </w:r>
            <w:r w:rsidRPr="35060FA4">
              <w:rPr>
                <w:rFonts w:ascii="Arial" w:eastAsia="Arial" w:hAnsi="Arial" w:cs="Arial"/>
                <w:b/>
                <w:bCs/>
                <w:color w:val="000000" w:themeColor="text1"/>
                <w:sz w:val="24"/>
                <w:szCs w:val="24"/>
                <w:u w:val="single"/>
              </w:rPr>
              <w:t>must</w:t>
            </w:r>
            <w:r w:rsidRPr="35060FA4">
              <w:rPr>
                <w:rFonts w:ascii="Arial" w:eastAsia="Arial" w:hAnsi="Arial" w:cs="Arial"/>
                <w:b/>
                <w:bCs/>
                <w:color w:val="000000" w:themeColor="text1"/>
                <w:sz w:val="24"/>
                <w:szCs w:val="24"/>
              </w:rPr>
              <w:t xml:space="preserve"> </w:t>
            </w:r>
            <w:r w:rsidRPr="35060FA4">
              <w:rPr>
                <w:rFonts w:ascii="Arial" w:eastAsia="Arial" w:hAnsi="Arial" w:cs="Arial"/>
                <w:color w:val="000000" w:themeColor="text1"/>
                <w:sz w:val="24"/>
                <w:szCs w:val="24"/>
              </w:rPr>
              <w:t xml:space="preserve">identify if VAT will be chargeable against each cost and if so at what rate. </w:t>
            </w:r>
          </w:p>
          <w:p w14:paraId="4139FD9D" w14:textId="77777777" w:rsidR="35060FA4" w:rsidRDefault="35060FA4" w:rsidP="35060FA4">
            <w:pPr>
              <w:rPr>
                <w:rFonts w:ascii="Arial" w:eastAsia="Arial" w:hAnsi="Arial" w:cs="Arial"/>
                <w:color w:val="000000" w:themeColor="text1"/>
                <w:sz w:val="24"/>
                <w:szCs w:val="24"/>
              </w:rPr>
            </w:pPr>
          </w:p>
          <w:p w14:paraId="6969C5D0" w14:textId="50180819" w:rsidR="35060FA4" w:rsidRPr="00242DB3" w:rsidRDefault="35060FA4" w:rsidP="00242DB3">
            <w:pPr>
              <w:rPr>
                <w:rFonts w:ascii="Arial" w:eastAsia="Arial" w:hAnsi="Arial" w:cs="Arial"/>
                <w:color w:val="000000" w:themeColor="text1"/>
                <w:sz w:val="24"/>
                <w:szCs w:val="24"/>
              </w:rPr>
            </w:pPr>
            <w:r w:rsidRPr="35060FA4">
              <w:rPr>
                <w:rFonts w:ascii="Arial" w:eastAsia="Arial" w:hAnsi="Arial" w:cs="Arial"/>
                <w:b/>
                <w:bCs/>
                <w:color w:val="000000" w:themeColor="text1"/>
                <w:sz w:val="24"/>
                <w:szCs w:val="24"/>
                <w:u w:val="single"/>
              </w:rPr>
              <w:t>It is the responsibility of Potential Suppliers to check the VAT position with HMRC before submitting a bid</w:t>
            </w:r>
            <w:r w:rsidRPr="35060FA4">
              <w:rPr>
                <w:rFonts w:ascii="Arial" w:eastAsia="Arial" w:hAnsi="Arial" w:cs="Arial"/>
                <w:color w:val="000000" w:themeColor="text1"/>
                <w:sz w:val="24"/>
                <w:szCs w:val="24"/>
              </w:rPr>
              <w:t>.</w:t>
            </w:r>
          </w:p>
        </w:tc>
        <w:tc>
          <w:tcPr>
            <w:tcW w:w="1685" w:type="dxa"/>
          </w:tcPr>
          <w:p w14:paraId="70B8DAEF" w14:textId="49CD7203" w:rsidR="35060FA4" w:rsidRDefault="00C0127B" w:rsidP="35060FA4">
            <w:pPr>
              <w:pStyle w:val="NormalWeb"/>
              <w:rPr>
                <w:rFonts w:ascii="Arial" w:hAnsi="Arial" w:cs="Arial"/>
                <w:color w:val="000000" w:themeColor="text1"/>
                <w:u w:val="single"/>
              </w:rPr>
            </w:pPr>
            <w:r>
              <w:rPr>
                <w:rFonts w:ascii="Arial" w:hAnsi="Arial" w:cs="Arial"/>
                <w:color w:val="000000" w:themeColor="text1"/>
                <w:u w:val="single"/>
              </w:rPr>
              <w:t>500 for detailing of assumptions</w:t>
            </w:r>
          </w:p>
        </w:tc>
        <w:tc>
          <w:tcPr>
            <w:tcW w:w="2426" w:type="dxa"/>
          </w:tcPr>
          <w:p w14:paraId="3F852E59" w14:textId="22C4BD26" w:rsidR="354BF87E" w:rsidRDefault="6DDACB43" w:rsidP="35060FA4">
            <w:pPr>
              <w:pStyle w:val="NormalWeb"/>
              <w:rPr>
                <w:rFonts w:ascii="Arial" w:hAnsi="Arial" w:cs="Arial"/>
                <w:color w:val="000000" w:themeColor="text1"/>
                <w:u w:val="single"/>
              </w:rPr>
            </w:pPr>
            <w:r w:rsidRPr="655C458F">
              <w:rPr>
                <w:rFonts w:ascii="Arial" w:hAnsi="Arial" w:cs="Arial"/>
                <w:color w:val="000000" w:themeColor="text1"/>
                <w:u w:val="single"/>
              </w:rPr>
              <w:t>30% (25% cost scoring + 5% for cost assumptions)</w:t>
            </w:r>
          </w:p>
        </w:tc>
      </w:tr>
    </w:tbl>
    <w:p w14:paraId="7D495194" w14:textId="4C866C8F" w:rsidR="008C41F5" w:rsidRPr="00A2657A" w:rsidRDefault="008C41F5" w:rsidP="008C41F5">
      <w:pPr>
        <w:pStyle w:val="NormalWeb"/>
        <w:rPr>
          <w:rFonts w:ascii="Arial" w:hAnsi="Arial" w:cs="Arial"/>
          <w:b/>
          <w:bCs/>
          <w:color w:val="000000"/>
        </w:rPr>
      </w:pPr>
      <w:r w:rsidRPr="00A2657A">
        <w:rPr>
          <w:rFonts w:ascii="Arial" w:hAnsi="Arial" w:cs="Arial"/>
          <w:b/>
          <w:color w:val="000000" w:themeColor="text1"/>
        </w:rPr>
        <w:lastRenderedPageBreak/>
        <w:t>EVALUATION PROCESS</w:t>
      </w:r>
    </w:p>
    <w:p w14:paraId="58CB9502" w14:textId="38500A5F" w:rsidR="00A62E6B" w:rsidRPr="00F129E4" w:rsidRDefault="008C41F5" w:rsidP="002D7D57">
      <w:pPr>
        <w:pStyle w:val="NormalWeb"/>
        <w:ind w:left="851" w:hanging="851"/>
        <w:rPr>
          <w:rFonts w:ascii="Arial" w:hAnsi="Arial" w:cs="Arial"/>
          <w:color w:val="000000"/>
        </w:rPr>
      </w:pPr>
      <w:r w:rsidRPr="00A2657A">
        <w:rPr>
          <w:rFonts w:ascii="Arial" w:hAnsi="Arial" w:cs="Arial"/>
          <w:color w:val="000000"/>
        </w:rPr>
        <w:t>1</w:t>
      </w:r>
      <w:r w:rsidR="00652D9D">
        <w:rPr>
          <w:rFonts w:ascii="Arial" w:hAnsi="Arial" w:cs="Arial"/>
          <w:color w:val="000000"/>
        </w:rPr>
        <w:t>2</w:t>
      </w:r>
      <w:r w:rsidRPr="00A2657A">
        <w:rPr>
          <w:rFonts w:ascii="Arial" w:hAnsi="Arial" w:cs="Arial"/>
          <w:color w:val="000000"/>
        </w:rPr>
        <w:t xml:space="preserve">. </w:t>
      </w:r>
      <w:r w:rsidR="002D7D57">
        <w:rPr>
          <w:rFonts w:ascii="Arial" w:hAnsi="Arial" w:cs="Arial"/>
          <w:color w:val="000000"/>
        </w:rPr>
        <w:tab/>
      </w:r>
      <w:r w:rsidRPr="00A2657A">
        <w:rPr>
          <w:rFonts w:ascii="Arial" w:hAnsi="Arial" w:cs="Arial"/>
          <w:color w:val="000000"/>
        </w:rPr>
        <w:t>This section describes how the bids will be scored, together with the scoring mechanism and associated weightings for each section. The tender process will be conducted in a manner that ensures all are evaluated fairly to ascertain the most economically advantageous tender.</w:t>
      </w:r>
    </w:p>
    <w:p w14:paraId="15204ACA" w14:textId="5DE57194" w:rsidR="00A62E6B" w:rsidRPr="00A2657A" w:rsidRDefault="00EC7C15" w:rsidP="00A62E6B">
      <w:pPr>
        <w:pStyle w:val="DeptBullets"/>
        <w:numPr>
          <w:ilvl w:val="0"/>
          <w:numId w:val="0"/>
        </w:numPr>
        <w:spacing w:before="120" w:after="120"/>
        <w:ind w:left="720" w:hanging="709"/>
        <w:rPr>
          <w:rFonts w:cs="Arial"/>
        </w:rPr>
      </w:pPr>
      <w:r w:rsidRPr="35060FA4">
        <w:rPr>
          <w:rFonts w:cs="Arial"/>
          <w:b/>
        </w:rPr>
        <w:t xml:space="preserve">13. </w:t>
      </w:r>
      <w:r w:rsidR="00A62E6B" w:rsidRPr="35060FA4">
        <w:rPr>
          <w:rFonts w:cs="Arial"/>
          <w:b/>
        </w:rPr>
        <w:t>OVERVIEW OF AWARD STAGE EVALUATION PROCESS</w:t>
      </w:r>
    </w:p>
    <w:p w14:paraId="12E1F1CA" w14:textId="3773EDF3" w:rsidR="00A62E6B" w:rsidRPr="00A2657A" w:rsidRDefault="00A62E6B" w:rsidP="35060FA4">
      <w:pPr>
        <w:tabs>
          <w:tab w:val="left" w:pos="840"/>
        </w:tabs>
        <w:spacing w:before="100" w:beforeAutospacing="1" w:after="100" w:afterAutospacing="1" w:line="240" w:lineRule="auto"/>
        <w:ind w:left="851" w:hanging="851"/>
        <w:rPr>
          <w:rFonts w:ascii="Arial" w:eastAsia="Arial" w:hAnsi="Arial" w:cs="Arial"/>
          <w:sz w:val="24"/>
          <w:szCs w:val="24"/>
        </w:rPr>
      </w:pPr>
      <w:r w:rsidRPr="00A2657A">
        <w:rPr>
          <w:rFonts w:ascii="Arial" w:eastAsia="Arial" w:hAnsi="Arial" w:cs="Arial"/>
          <w:sz w:val="24"/>
          <w:szCs w:val="24"/>
        </w:rPr>
        <w:t>13.1</w:t>
      </w:r>
      <w:r>
        <w:tab/>
      </w:r>
      <w:r w:rsidRPr="00A2657A">
        <w:rPr>
          <w:rFonts w:ascii="Arial" w:eastAsia="Arial" w:hAnsi="Arial" w:cs="Arial"/>
          <w:sz w:val="24"/>
          <w:szCs w:val="24"/>
        </w:rPr>
        <w:t xml:space="preserve">Paragraphs </w:t>
      </w:r>
      <w:r w:rsidR="004414B4">
        <w:rPr>
          <w:rFonts w:ascii="Arial" w:eastAsia="Arial" w:hAnsi="Arial" w:cs="Arial"/>
          <w:sz w:val="24"/>
          <w:szCs w:val="24"/>
        </w:rPr>
        <w:t xml:space="preserve">13, </w:t>
      </w:r>
      <w:r w:rsidRPr="00A2657A">
        <w:rPr>
          <w:rFonts w:ascii="Arial" w:eastAsia="Arial" w:hAnsi="Arial" w:cs="Arial"/>
          <w:sz w:val="24"/>
          <w:szCs w:val="24"/>
        </w:rPr>
        <w:t xml:space="preserve">14, 15 </w:t>
      </w:r>
      <w:r w:rsidR="000B0575">
        <w:rPr>
          <w:rFonts w:ascii="Arial" w:eastAsia="Arial" w:hAnsi="Arial" w:cs="Arial"/>
          <w:sz w:val="24"/>
          <w:szCs w:val="24"/>
        </w:rPr>
        <w:t xml:space="preserve">and 16 </w:t>
      </w:r>
      <w:r w:rsidRPr="00A2657A">
        <w:rPr>
          <w:rFonts w:ascii="Arial" w:eastAsia="Arial" w:hAnsi="Arial" w:cs="Arial"/>
          <w:sz w:val="24"/>
          <w:szCs w:val="24"/>
        </w:rPr>
        <w:t xml:space="preserve">below set out and explain the procedure, </w:t>
      </w:r>
      <w:r w:rsidRPr="35060FA4">
        <w:rPr>
          <w:rFonts w:ascii="Arial" w:eastAsia="Arial" w:hAnsi="Arial" w:cs="Arial"/>
          <w:sz w:val="24"/>
          <w:szCs w:val="24"/>
        </w:rPr>
        <w:t>st</w:t>
      </w:r>
      <w:r w:rsidR="33A46DEA" w:rsidRPr="35060FA4">
        <w:rPr>
          <w:rFonts w:ascii="Arial" w:eastAsia="Arial" w:hAnsi="Arial" w:cs="Arial"/>
          <w:sz w:val="24"/>
          <w:szCs w:val="24"/>
        </w:rPr>
        <w:t>eps</w:t>
      </w:r>
      <w:r w:rsidRPr="00A2657A">
        <w:rPr>
          <w:rFonts w:ascii="Arial" w:eastAsia="Arial" w:hAnsi="Arial" w:cs="Arial"/>
          <w:sz w:val="24"/>
          <w:szCs w:val="24"/>
        </w:rPr>
        <w:t xml:space="preserve"> and process by which the Authority will assess a Potential Contractor’s Tender. The evaluation procedure is divided </w:t>
      </w:r>
      <w:r w:rsidRPr="008E3D69">
        <w:rPr>
          <w:rFonts w:ascii="Arial" w:eastAsia="Arial" w:hAnsi="Arial" w:cs="Arial"/>
          <w:sz w:val="24"/>
          <w:szCs w:val="24"/>
        </w:rPr>
        <w:t>into t</w:t>
      </w:r>
      <w:r w:rsidR="00E3482B" w:rsidRPr="008E3D69">
        <w:rPr>
          <w:rFonts w:ascii="Arial" w:eastAsia="Arial" w:hAnsi="Arial" w:cs="Arial"/>
          <w:sz w:val="24"/>
          <w:szCs w:val="24"/>
        </w:rPr>
        <w:t>wo</w:t>
      </w:r>
      <w:r w:rsidRPr="008E3D69">
        <w:rPr>
          <w:rFonts w:ascii="Arial" w:eastAsia="Arial" w:hAnsi="Arial" w:cs="Arial"/>
          <w:sz w:val="24"/>
          <w:szCs w:val="24"/>
        </w:rPr>
        <w:t xml:space="preserve"> </w:t>
      </w:r>
      <w:proofErr w:type="gramStart"/>
      <w:r w:rsidRPr="35060FA4">
        <w:rPr>
          <w:rFonts w:ascii="Arial" w:eastAsia="Arial" w:hAnsi="Arial" w:cs="Arial"/>
          <w:sz w:val="24"/>
          <w:szCs w:val="24"/>
        </w:rPr>
        <w:t>s</w:t>
      </w:r>
      <w:r w:rsidR="6FF14BC4" w:rsidRPr="35060FA4">
        <w:rPr>
          <w:rFonts w:ascii="Arial" w:eastAsia="Arial" w:hAnsi="Arial" w:cs="Arial"/>
          <w:sz w:val="24"/>
          <w:szCs w:val="24"/>
        </w:rPr>
        <w:t>teps</w:t>
      </w:r>
      <w:r w:rsidRPr="00A2657A">
        <w:rPr>
          <w:rFonts w:ascii="Arial" w:eastAsia="Arial" w:hAnsi="Arial" w:cs="Arial"/>
          <w:sz w:val="24"/>
          <w:szCs w:val="24"/>
        </w:rPr>
        <w:t>;</w:t>
      </w:r>
      <w:proofErr w:type="gramEnd"/>
    </w:p>
    <w:p w14:paraId="01059406" w14:textId="78BDB864" w:rsidR="00A62E6B" w:rsidRPr="00A2657A" w:rsidRDefault="00A62E6B" w:rsidP="002D7D57">
      <w:pPr>
        <w:pStyle w:val="DeptBullets"/>
        <w:numPr>
          <w:ilvl w:val="0"/>
          <w:numId w:val="0"/>
        </w:numPr>
        <w:spacing w:before="100" w:beforeAutospacing="1" w:after="100" w:afterAutospacing="1"/>
        <w:ind w:left="851" w:hanging="851"/>
        <w:rPr>
          <w:rFonts w:cs="Arial"/>
        </w:rPr>
      </w:pPr>
      <w:r w:rsidRPr="35060FA4">
        <w:rPr>
          <w:rFonts w:cs="Arial"/>
        </w:rPr>
        <w:t>13.1.1</w:t>
      </w:r>
      <w:r>
        <w:tab/>
      </w:r>
      <w:r w:rsidR="00FB55F6" w:rsidRPr="35060FA4">
        <w:rPr>
          <w:rFonts w:cs="Arial"/>
          <w:b/>
          <w:bCs/>
        </w:rPr>
        <w:t>S</w:t>
      </w:r>
      <w:r w:rsidR="4E3BBC14" w:rsidRPr="35060FA4">
        <w:rPr>
          <w:rFonts w:cs="Arial"/>
          <w:b/>
          <w:bCs/>
        </w:rPr>
        <w:t>tep</w:t>
      </w:r>
      <w:r w:rsidR="00FB55F6" w:rsidRPr="35060FA4">
        <w:rPr>
          <w:rFonts w:cs="Arial"/>
          <w:b/>
        </w:rPr>
        <w:t xml:space="preserve"> 1: </w:t>
      </w:r>
      <w:r w:rsidRPr="35060FA4">
        <w:rPr>
          <w:rFonts w:cs="Arial"/>
          <w:b/>
        </w:rPr>
        <w:t>Compliance / Validation</w:t>
      </w:r>
      <w:r w:rsidRPr="35060FA4">
        <w:rPr>
          <w:rFonts w:cs="Arial"/>
        </w:rPr>
        <w:t xml:space="preserve"> – The Authority will check Tenders to ensure they are compliant with the ITT and that all responses are valid. Non-compliant Tenders may be excluded from this Procurement by the Authority.</w:t>
      </w:r>
    </w:p>
    <w:p w14:paraId="4E0C6227" w14:textId="03A15214" w:rsidR="00A62E6B" w:rsidRPr="00A2657A" w:rsidRDefault="00A62E6B" w:rsidP="002D7D57">
      <w:pPr>
        <w:pStyle w:val="DeptBullets"/>
        <w:numPr>
          <w:ilvl w:val="0"/>
          <w:numId w:val="0"/>
        </w:numPr>
        <w:spacing w:before="100" w:beforeAutospacing="1" w:after="100" w:afterAutospacing="1"/>
        <w:ind w:left="851" w:hanging="851"/>
        <w:rPr>
          <w:rFonts w:cs="Arial"/>
        </w:rPr>
      </w:pPr>
      <w:r w:rsidRPr="35060FA4">
        <w:rPr>
          <w:rFonts w:cs="Arial"/>
        </w:rPr>
        <w:t>13.1.2</w:t>
      </w:r>
      <w:r>
        <w:tab/>
      </w:r>
      <w:r w:rsidR="00FB55F6" w:rsidRPr="35060FA4">
        <w:rPr>
          <w:rFonts w:cs="Arial"/>
          <w:b/>
          <w:bCs/>
        </w:rPr>
        <w:t>S</w:t>
      </w:r>
      <w:r w:rsidR="18127EB1" w:rsidRPr="35060FA4">
        <w:rPr>
          <w:rFonts w:cs="Arial"/>
          <w:b/>
          <w:bCs/>
        </w:rPr>
        <w:t xml:space="preserve">tep </w:t>
      </w:r>
      <w:r w:rsidR="00FB55F6" w:rsidRPr="35060FA4">
        <w:rPr>
          <w:rFonts w:cs="Arial"/>
          <w:b/>
          <w:bCs/>
        </w:rPr>
        <w:t>2</w:t>
      </w:r>
      <w:r w:rsidR="122DC531" w:rsidRPr="35060FA4">
        <w:rPr>
          <w:rFonts w:cs="Arial"/>
          <w:b/>
          <w:bCs/>
        </w:rPr>
        <w:t>a</w:t>
      </w:r>
      <w:r w:rsidR="00FB55F6" w:rsidRPr="35060FA4">
        <w:rPr>
          <w:rFonts w:cs="Arial"/>
          <w:b/>
        </w:rPr>
        <w:t xml:space="preserve">: Tender Evaluation - </w:t>
      </w:r>
      <w:r w:rsidRPr="35060FA4">
        <w:rPr>
          <w:rFonts w:cs="Arial"/>
          <w:b/>
        </w:rPr>
        <w:t>Quality Evaluation</w:t>
      </w:r>
      <w:r w:rsidRPr="35060FA4">
        <w:rPr>
          <w:rFonts w:cs="Arial"/>
        </w:rPr>
        <w:t xml:space="preserve"> – The Authority will assess responses to Document 5 </w:t>
      </w:r>
      <w:r w:rsidR="002D7D57" w:rsidRPr="35060FA4">
        <w:rPr>
          <w:rFonts w:cs="Arial"/>
        </w:rPr>
        <w:t>(</w:t>
      </w:r>
      <w:r w:rsidR="00F133CF" w:rsidRPr="35060FA4">
        <w:rPr>
          <w:rFonts w:cs="Arial"/>
        </w:rPr>
        <w:t xml:space="preserve">ITT </w:t>
      </w:r>
      <w:r w:rsidR="0000028E" w:rsidRPr="35060FA4">
        <w:rPr>
          <w:rFonts w:cs="Arial"/>
        </w:rPr>
        <w:t>S</w:t>
      </w:r>
      <w:r w:rsidR="00F133CF" w:rsidRPr="35060FA4">
        <w:rPr>
          <w:rFonts w:cs="Arial"/>
        </w:rPr>
        <w:t xml:space="preserve">upplier </w:t>
      </w:r>
      <w:r w:rsidR="0000028E" w:rsidRPr="35060FA4">
        <w:rPr>
          <w:rFonts w:cs="Arial"/>
        </w:rPr>
        <w:t>R</w:t>
      </w:r>
      <w:r w:rsidR="00F133CF" w:rsidRPr="35060FA4">
        <w:rPr>
          <w:rFonts w:cs="Arial"/>
        </w:rPr>
        <w:t xml:space="preserve">esponse </w:t>
      </w:r>
      <w:r w:rsidR="001975FA" w:rsidRPr="35060FA4">
        <w:rPr>
          <w:rFonts w:cs="Arial"/>
        </w:rPr>
        <w:t>f</w:t>
      </w:r>
      <w:r w:rsidR="00F133CF" w:rsidRPr="35060FA4">
        <w:rPr>
          <w:rFonts w:cs="Arial"/>
        </w:rPr>
        <w:t>orm</w:t>
      </w:r>
      <w:r w:rsidR="002D7D57" w:rsidRPr="35060FA4">
        <w:rPr>
          <w:rFonts w:cs="Arial"/>
        </w:rPr>
        <w:t>)</w:t>
      </w:r>
      <w:r w:rsidRPr="35060FA4">
        <w:rPr>
          <w:rFonts w:cs="Arial"/>
        </w:rPr>
        <w:t xml:space="preserve"> in accordance with paragraph 15 below. Tenders that do not meet the Quality Threshold will be excluded from this Procurement by the Authority and will not proceed to the Price Evaluation.</w:t>
      </w:r>
    </w:p>
    <w:p w14:paraId="4C1E3FF2" w14:textId="3993FCD4" w:rsidR="00A62E6B" w:rsidRPr="00A2657A" w:rsidRDefault="00A62E6B" w:rsidP="002D7D57">
      <w:pPr>
        <w:pStyle w:val="DeptBullets"/>
        <w:numPr>
          <w:ilvl w:val="0"/>
          <w:numId w:val="0"/>
        </w:numPr>
        <w:spacing w:before="100" w:beforeAutospacing="1" w:after="100" w:afterAutospacing="1"/>
        <w:ind w:left="851" w:hanging="851"/>
        <w:rPr>
          <w:rFonts w:cs="Arial"/>
        </w:rPr>
      </w:pPr>
      <w:r w:rsidRPr="35060FA4">
        <w:rPr>
          <w:rFonts w:cs="Arial"/>
        </w:rPr>
        <w:t>13.1.3</w:t>
      </w:r>
      <w:r>
        <w:tab/>
      </w:r>
      <w:r w:rsidR="00FB55F6" w:rsidRPr="35060FA4">
        <w:rPr>
          <w:rFonts w:cs="Arial"/>
          <w:b/>
          <w:bCs/>
        </w:rPr>
        <w:t>S</w:t>
      </w:r>
      <w:r w:rsidR="3A4A40C6" w:rsidRPr="35060FA4">
        <w:rPr>
          <w:rFonts w:cs="Arial"/>
          <w:b/>
          <w:bCs/>
        </w:rPr>
        <w:t xml:space="preserve">tep </w:t>
      </w:r>
      <w:r w:rsidR="00FB55F6" w:rsidRPr="35060FA4">
        <w:rPr>
          <w:rFonts w:cs="Arial"/>
          <w:b/>
          <w:bCs/>
        </w:rPr>
        <w:t>2</w:t>
      </w:r>
      <w:r w:rsidR="6A7DA217" w:rsidRPr="35060FA4">
        <w:rPr>
          <w:rFonts w:cs="Arial"/>
          <w:b/>
          <w:bCs/>
        </w:rPr>
        <w:t>b</w:t>
      </w:r>
      <w:r w:rsidR="00FB55F6" w:rsidRPr="35060FA4">
        <w:rPr>
          <w:rFonts w:cs="Arial"/>
          <w:b/>
        </w:rPr>
        <w:t xml:space="preserve">: Tender Evaluation - </w:t>
      </w:r>
      <w:r w:rsidRPr="35060FA4">
        <w:rPr>
          <w:rFonts w:cs="Arial"/>
          <w:b/>
        </w:rPr>
        <w:t>Price Evaluation</w:t>
      </w:r>
      <w:r w:rsidRPr="35060FA4">
        <w:rPr>
          <w:rFonts w:cs="Arial"/>
        </w:rPr>
        <w:t xml:space="preserve"> – The Authority will assess responses to Document 6 </w:t>
      </w:r>
      <w:r w:rsidR="002D7D57" w:rsidRPr="35060FA4">
        <w:rPr>
          <w:rFonts w:cs="Arial"/>
        </w:rPr>
        <w:t>(</w:t>
      </w:r>
      <w:r w:rsidR="00BE6745" w:rsidRPr="35060FA4">
        <w:rPr>
          <w:rFonts w:cs="Arial"/>
        </w:rPr>
        <w:t xml:space="preserve">Cost </w:t>
      </w:r>
      <w:r w:rsidR="0000028E" w:rsidRPr="35060FA4">
        <w:rPr>
          <w:rFonts w:cs="Arial"/>
        </w:rPr>
        <w:t>M</w:t>
      </w:r>
      <w:r w:rsidR="00BE6745" w:rsidRPr="35060FA4">
        <w:rPr>
          <w:rFonts w:cs="Arial"/>
        </w:rPr>
        <w:t>atrix</w:t>
      </w:r>
      <w:r w:rsidR="002D7D57" w:rsidRPr="35060FA4">
        <w:rPr>
          <w:rFonts w:cs="Arial"/>
        </w:rPr>
        <w:t>)</w:t>
      </w:r>
      <w:r w:rsidRPr="35060FA4">
        <w:rPr>
          <w:rFonts w:cs="Arial"/>
        </w:rPr>
        <w:t xml:space="preserve"> in accordance with paragraph 16 below.</w:t>
      </w:r>
    </w:p>
    <w:p w14:paraId="3F87FAAF" w14:textId="413C3A42" w:rsidR="00A62E6B" w:rsidRPr="00A2657A" w:rsidRDefault="00A62E6B" w:rsidP="35060FA4">
      <w:pPr>
        <w:pStyle w:val="DeptBullets"/>
        <w:numPr>
          <w:ilvl w:val="0"/>
          <w:numId w:val="0"/>
        </w:numPr>
        <w:spacing w:before="100" w:beforeAutospacing="1" w:after="100" w:afterAutospacing="1"/>
        <w:ind w:left="900" w:hanging="900"/>
        <w:rPr>
          <w:rFonts w:cs="Arial"/>
        </w:rPr>
      </w:pPr>
      <w:r w:rsidRPr="35060FA4">
        <w:rPr>
          <w:rFonts w:cs="Arial"/>
        </w:rPr>
        <w:t>13.2</w:t>
      </w:r>
      <w:r w:rsidR="01CA6EE6" w:rsidRPr="35060FA4">
        <w:rPr>
          <w:rFonts w:cs="Arial"/>
        </w:rPr>
        <w:t xml:space="preserve"> </w:t>
      </w:r>
      <w:r>
        <w:tab/>
      </w:r>
      <w:r w:rsidRPr="35060FA4">
        <w:rPr>
          <w:rFonts w:cs="Arial"/>
        </w:rPr>
        <w:t>The maximum possible score capable of being achieved by a Potential Contractor for the Award Stage Evaluation is 100 points being the combined sum of the scores achieved for Quality Evaluation, namely 70, and the Price Evaluation, namely 30.</w:t>
      </w:r>
    </w:p>
    <w:p w14:paraId="10E32045" w14:textId="21BE9D24" w:rsidR="00A62E6B" w:rsidRPr="00A2657A" w:rsidRDefault="00A62E6B" w:rsidP="002D7D57">
      <w:pPr>
        <w:pStyle w:val="DeptBullets"/>
        <w:numPr>
          <w:ilvl w:val="0"/>
          <w:numId w:val="0"/>
        </w:numPr>
        <w:spacing w:before="100" w:beforeAutospacing="1" w:after="100" w:afterAutospacing="1"/>
        <w:ind w:left="851" w:hanging="851"/>
        <w:rPr>
          <w:rFonts w:cs="Arial"/>
          <w:szCs w:val="24"/>
        </w:rPr>
      </w:pPr>
      <w:r w:rsidRPr="00A2657A">
        <w:rPr>
          <w:rFonts w:cs="Arial"/>
          <w:szCs w:val="24"/>
        </w:rPr>
        <w:t>13.3</w:t>
      </w:r>
      <w:r w:rsidRPr="00A2657A">
        <w:rPr>
          <w:rFonts w:cs="Arial"/>
          <w:szCs w:val="24"/>
        </w:rPr>
        <w:tab/>
        <w:t>This procurement will be awarded on the basis of the Most Economically Advantageous Tender. The Authority will assess which Tender constitutes the Most Economically Advantageous Tender based on the methodologies detailed in Sections 15 and 16 and calculated as per paragraph 16.</w:t>
      </w:r>
      <w:r w:rsidR="00C60649">
        <w:rPr>
          <w:rFonts w:cs="Arial"/>
          <w:szCs w:val="24"/>
        </w:rPr>
        <w:t>2</w:t>
      </w:r>
      <w:r w:rsidRPr="00A2657A">
        <w:rPr>
          <w:rFonts w:cs="Arial"/>
          <w:szCs w:val="24"/>
        </w:rPr>
        <w:t>.</w:t>
      </w:r>
    </w:p>
    <w:p w14:paraId="7459A6F1" w14:textId="6AA7558D" w:rsidR="00A62E6B" w:rsidRPr="00A2657A" w:rsidRDefault="00A62E6B" w:rsidP="002D7D57">
      <w:pPr>
        <w:pStyle w:val="DeptBullets"/>
        <w:numPr>
          <w:ilvl w:val="0"/>
          <w:numId w:val="0"/>
        </w:numPr>
        <w:spacing w:before="120" w:after="120"/>
        <w:ind w:left="851" w:hanging="851"/>
        <w:rPr>
          <w:rFonts w:cs="Arial"/>
          <w:szCs w:val="24"/>
        </w:rPr>
      </w:pPr>
      <w:r w:rsidRPr="00A2657A">
        <w:rPr>
          <w:rFonts w:eastAsia="Arial" w:cs="Arial"/>
          <w:szCs w:val="24"/>
        </w:rPr>
        <w:t>13.4</w:t>
      </w:r>
      <w:r w:rsidRPr="00A2657A">
        <w:rPr>
          <w:rFonts w:cs="Arial"/>
          <w:szCs w:val="24"/>
        </w:rPr>
        <w:tab/>
      </w:r>
      <w:r w:rsidRPr="00A2657A">
        <w:rPr>
          <w:rFonts w:eastAsia="Arial" w:cs="Arial"/>
          <w:b/>
          <w:szCs w:val="24"/>
        </w:rPr>
        <w:t>Consensus Marking Procedure</w:t>
      </w:r>
    </w:p>
    <w:p w14:paraId="7ADDACE3" w14:textId="6B1BA5E6" w:rsidR="00967464" w:rsidRPr="002D7D57" w:rsidRDefault="00A62E6B" w:rsidP="002D7D57">
      <w:pPr>
        <w:tabs>
          <w:tab w:val="left" w:pos="851"/>
        </w:tabs>
        <w:spacing w:before="100" w:beforeAutospacing="1" w:after="100" w:afterAutospacing="1" w:line="240" w:lineRule="auto"/>
        <w:ind w:left="851" w:right="80" w:hanging="851"/>
        <w:rPr>
          <w:rFonts w:ascii="Arial" w:eastAsia="Arial" w:hAnsi="Arial" w:cs="Arial"/>
          <w:sz w:val="24"/>
          <w:szCs w:val="24"/>
        </w:rPr>
      </w:pPr>
      <w:r w:rsidRPr="00A2657A">
        <w:rPr>
          <w:rFonts w:ascii="Arial" w:eastAsia="Arial" w:hAnsi="Arial" w:cs="Arial"/>
          <w:sz w:val="24"/>
          <w:szCs w:val="24"/>
        </w:rPr>
        <w:t>13.4.1</w:t>
      </w:r>
      <w:r w:rsidRPr="00A2657A">
        <w:rPr>
          <w:rFonts w:ascii="Arial" w:eastAsia="Arial" w:hAnsi="Arial" w:cs="Arial"/>
          <w:sz w:val="24"/>
          <w:szCs w:val="24"/>
        </w:rPr>
        <w:tab/>
        <w:t xml:space="preserve">Responses to the scored questions in Document 5 – </w:t>
      </w:r>
      <w:r w:rsidR="00652D9D">
        <w:rPr>
          <w:rFonts w:ascii="Arial" w:eastAsia="Arial" w:hAnsi="Arial" w:cs="Arial"/>
          <w:sz w:val="24"/>
          <w:szCs w:val="24"/>
        </w:rPr>
        <w:t xml:space="preserve">ITT </w:t>
      </w:r>
      <w:r w:rsidR="0000028E">
        <w:rPr>
          <w:rFonts w:ascii="Arial" w:eastAsia="Arial" w:hAnsi="Arial" w:cs="Arial"/>
          <w:sz w:val="24"/>
          <w:szCs w:val="24"/>
        </w:rPr>
        <w:t>S</w:t>
      </w:r>
      <w:r w:rsidR="00652D9D">
        <w:rPr>
          <w:rFonts w:ascii="Arial" w:eastAsia="Arial" w:hAnsi="Arial" w:cs="Arial"/>
          <w:sz w:val="24"/>
          <w:szCs w:val="24"/>
        </w:rPr>
        <w:t xml:space="preserve">upplier </w:t>
      </w:r>
      <w:r w:rsidR="0000028E">
        <w:rPr>
          <w:rFonts w:ascii="Arial" w:eastAsia="Arial" w:hAnsi="Arial" w:cs="Arial"/>
          <w:sz w:val="24"/>
          <w:szCs w:val="24"/>
        </w:rPr>
        <w:t>R</w:t>
      </w:r>
      <w:r w:rsidR="00652D9D">
        <w:rPr>
          <w:rFonts w:ascii="Arial" w:eastAsia="Arial" w:hAnsi="Arial" w:cs="Arial"/>
          <w:sz w:val="24"/>
          <w:szCs w:val="24"/>
        </w:rPr>
        <w:t xml:space="preserve">esponse </w:t>
      </w:r>
      <w:r w:rsidR="001975FA">
        <w:rPr>
          <w:rFonts w:ascii="Arial" w:eastAsia="Arial" w:hAnsi="Arial" w:cs="Arial"/>
          <w:sz w:val="24"/>
          <w:szCs w:val="24"/>
        </w:rPr>
        <w:t>f</w:t>
      </w:r>
      <w:r w:rsidR="00652D9D">
        <w:rPr>
          <w:rFonts w:ascii="Arial" w:eastAsia="Arial" w:hAnsi="Arial" w:cs="Arial"/>
          <w:sz w:val="24"/>
          <w:szCs w:val="24"/>
        </w:rPr>
        <w:t>orm</w:t>
      </w:r>
      <w:r w:rsidRPr="00A2657A">
        <w:rPr>
          <w:rFonts w:ascii="Arial" w:eastAsia="Arial" w:hAnsi="Arial" w:cs="Arial"/>
          <w:sz w:val="24"/>
          <w:szCs w:val="24"/>
        </w:rPr>
        <w:t xml:space="preserve"> will be evaluated in accordance with the procedure described in </w:t>
      </w:r>
      <w:r w:rsidR="00D63945">
        <w:rPr>
          <w:rFonts w:ascii="Arial" w:eastAsia="Arial" w:hAnsi="Arial" w:cs="Arial"/>
          <w:sz w:val="24"/>
          <w:szCs w:val="24"/>
        </w:rPr>
        <w:t xml:space="preserve">this </w:t>
      </w:r>
      <w:r w:rsidRPr="00A2657A">
        <w:rPr>
          <w:rFonts w:ascii="Arial" w:eastAsia="Arial" w:hAnsi="Arial" w:cs="Arial"/>
          <w:sz w:val="24"/>
          <w:szCs w:val="24"/>
        </w:rPr>
        <w:t>paragraph.</w:t>
      </w:r>
    </w:p>
    <w:p w14:paraId="4A31FEF5" w14:textId="26405627" w:rsidR="00967464" w:rsidRPr="00C90C3F" w:rsidRDefault="00967464" w:rsidP="002D7D57">
      <w:pPr>
        <w:pStyle w:val="Default"/>
        <w:spacing w:before="100" w:beforeAutospacing="1" w:after="100" w:afterAutospacing="1"/>
        <w:ind w:left="851" w:hanging="851"/>
      </w:pPr>
      <w:r w:rsidRPr="00C90C3F">
        <w:t xml:space="preserve">13.4 2. The Consensus Marking Procedure is a two-step process, comprising of: </w:t>
      </w:r>
    </w:p>
    <w:p w14:paraId="67F36D6D" w14:textId="77777777" w:rsidR="002D7D57" w:rsidRDefault="00967464" w:rsidP="002D7D57">
      <w:pPr>
        <w:pStyle w:val="Default"/>
        <w:numPr>
          <w:ilvl w:val="0"/>
          <w:numId w:val="12"/>
        </w:numPr>
        <w:spacing w:before="100" w:beforeAutospacing="1" w:after="100" w:afterAutospacing="1"/>
      </w:pPr>
      <w:r w:rsidRPr="00C90C3F">
        <w:t xml:space="preserve">Independent evaluation; and </w:t>
      </w:r>
    </w:p>
    <w:p w14:paraId="6884E12E" w14:textId="00B9E8BC" w:rsidR="00967464" w:rsidRPr="00C90C3F" w:rsidRDefault="00967464" w:rsidP="002D7D57">
      <w:pPr>
        <w:pStyle w:val="Default"/>
        <w:numPr>
          <w:ilvl w:val="0"/>
          <w:numId w:val="12"/>
        </w:numPr>
        <w:spacing w:before="100" w:beforeAutospacing="1" w:after="100" w:afterAutospacing="1"/>
      </w:pPr>
      <w:r w:rsidRPr="00C90C3F">
        <w:t xml:space="preserve">Group consensus marking. </w:t>
      </w:r>
    </w:p>
    <w:p w14:paraId="4CBF9925" w14:textId="77777777" w:rsidR="00967464" w:rsidRPr="00C90C3F" w:rsidRDefault="00967464" w:rsidP="002D7D57">
      <w:pPr>
        <w:pStyle w:val="Default"/>
        <w:spacing w:before="100" w:beforeAutospacing="1" w:after="100" w:afterAutospacing="1"/>
      </w:pPr>
    </w:p>
    <w:p w14:paraId="6D630ECF" w14:textId="77777777" w:rsidR="00967464" w:rsidRPr="00C90C3F" w:rsidRDefault="00967464" w:rsidP="002D7D57">
      <w:pPr>
        <w:pStyle w:val="Default"/>
        <w:spacing w:before="100" w:beforeAutospacing="1" w:after="100" w:afterAutospacing="1"/>
      </w:pPr>
    </w:p>
    <w:p w14:paraId="46055740" w14:textId="3BA63609" w:rsidR="00967464" w:rsidRPr="00C90C3F" w:rsidRDefault="00967464" w:rsidP="002D7D57">
      <w:pPr>
        <w:pStyle w:val="Default"/>
        <w:spacing w:before="100" w:beforeAutospacing="1" w:after="100" w:afterAutospacing="1"/>
        <w:ind w:left="851" w:hanging="851"/>
        <w:rPr>
          <w:color w:val="auto"/>
        </w:rPr>
      </w:pPr>
      <w:r w:rsidRPr="00C90C3F">
        <w:t>13.4.3</w:t>
      </w:r>
      <w:r w:rsidRPr="00C90C3F">
        <w:tab/>
        <w:t>During the independent evaluation process each evaluator will separately (</w:t>
      </w:r>
      <w:proofErr w:type="gramStart"/>
      <w:r w:rsidRPr="00C90C3F">
        <w:t>i.e.</w:t>
      </w:r>
      <w:proofErr w:type="gramEnd"/>
      <w:r w:rsidRPr="00C90C3F">
        <w:t xml:space="preserve"> without conferring with other evaluators) scrutinise the quality of answers given by the Potential Contractor in their </w:t>
      </w:r>
      <w:r w:rsidR="00796B73" w:rsidRPr="00C90C3F">
        <w:t>ITT Supplier R</w:t>
      </w:r>
      <w:r w:rsidRPr="00C90C3F">
        <w:t>esponse</w:t>
      </w:r>
      <w:r w:rsidR="00796B73" w:rsidRPr="00C90C3F">
        <w:t xml:space="preserve"> form</w:t>
      </w:r>
      <w:r w:rsidR="00395330">
        <w:t xml:space="preserve"> (Document 5)</w:t>
      </w:r>
      <w:r w:rsidRPr="00C90C3F">
        <w:t xml:space="preserve">. Evaluators will apply the criteria applicable to the question as set out in the evaluation guidance to determine the overall quality of each answer. Each evaluator will then allocate a mark for the answer in accordance with the Marking Scheme applicable to that question. Each evaluator will </w:t>
      </w:r>
      <w:r w:rsidRPr="00C90C3F">
        <w:rPr>
          <w:color w:val="auto"/>
        </w:rPr>
        <w:t>also provide a justification for the mark he/she attributed to an answer. All the evaluators’ marks and related justifications will be recorded separately</w:t>
      </w:r>
      <w:r w:rsidR="003A6CF8" w:rsidRPr="00C90C3F">
        <w:rPr>
          <w:color w:val="auto"/>
        </w:rPr>
        <w:t>.</w:t>
      </w:r>
      <w:r w:rsidRPr="00C90C3F">
        <w:rPr>
          <w:color w:val="auto"/>
        </w:rPr>
        <w:t xml:space="preserve"> </w:t>
      </w:r>
    </w:p>
    <w:p w14:paraId="55F10C8A" w14:textId="6663E1AF" w:rsidR="00967464" w:rsidRPr="00C90C3F" w:rsidRDefault="003A6CF8" w:rsidP="002D7D57">
      <w:pPr>
        <w:pStyle w:val="Default"/>
        <w:ind w:left="851" w:hanging="851"/>
        <w:rPr>
          <w:color w:val="auto"/>
        </w:rPr>
      </w:pPr>
      <w:r w:rsidRPr="00C90C3F">
        <w:rPr>
          <w:color w:val="auto"/>
        </w:rPr>
        <w:t>13.4.4</w:t>
      </w:r>
      <w:r w:rsidRPr="00C90C3F">
        <w:rPr>
          <w:color w:val="auto"/>
        </w:rPr>
        <w:tab/>
      </w:r>
      <w:r w:rsidR="00967464" w:rsidRPr="00C90C3F">
        <w:rPr>
          <w:color w:val="auto"/>
        </w:rPr>
        <w:t xml:space="preserve">When the independent evaluation exercise has been completed by all the evaluators, a group consensus marking exercise will be coordinated by a moderator as follows: </w:t>
      </w:r>
    </w:p>
    <w:p w14:paraId="1B7ADF41" w14:textId="77777777" w:rsidR="00967464" w:rsidRPr="00C90C3F" w:rsidRDefault="00967464" w:rsidP="002D7D57">
      <w:pPr>
        <w:pStyle w:val="Default"/>
        <w:ind w:left="851" w:hanging="851"/>
        <w:rPr>
          <w:color w:val="auto"/>
        </w:rPr>
      </w:pPr>
    </w:p>
    <w:p w14:paraId="67463B5C" w14:textId="54FD7C29" w:rsidR="003A6CF8" w:rsidRDefault="003A6CF8" w:rsidP="002D7D57">
      <w:pPr>
        <w:pStyle w:val="Default"/>
        <w:ind w:left="851" w:hanging="851"/>
        <w:rPr>
          <w:color w:val="auto"/>
        </w:rPr>
      </w:pPr>
      <w:r w:rsidRPr="00C90C3F">
        <w:rPr>
          <w:color w:val="auto"/>
        </w:rPr>
        <w:t>13.4.5</w:t>
      </w:r>
      <w:r w:rsidRPr="00C90C3F">
        <w:rPr>
          <w:color w:val="auto"/>
        </w:rPr>
        <w:tab/>
      </w:r>
      <w:r w:rsidR="00967464" w:rsidRPr="00C90C3F">
        <w:rPr>
          <w:color w:val="auto"/>
        </w:rPr>
        <w:t xml:space="preserve">The moderator will review the marks allocated by the individual evaluators together with their justifications for awarding the marks. </w:t>
      </w:r>
    </w:p>
    <w:p w14:paraId="1B91154D" w14:textId="77777777" w:rsidR="004B4672" w:rsidRPr="00C90C3F" w:rsidRDefault="004B4672" w:rsidP="002D7D57">
      <w:pPr>
        <w:pStyle w:val="Default"/>
        <w:ind w:left="851" w:hanging="851"/>
        <w:rPr>
          <w:color w:val="auto"/>
        </w:rPr>
      </w:pPr>
    </w:p>
    <w:p w14:paraId="7CCCC8A1" w14:textId="670A78EA" w:rsidR="00F129E4" w:rsidRPr="00C90C3F" w:rsidRDefault="00990C50" w:rsidP="002D7D57">
      <w:pPr>
        <w:pStyle w:val="Default"/>
        <w:ind w:left="851" w:hanging="851"/>
        <w:rPr>
          <w:color w:val="auto"/>
        </w:rPr>
      </w:pPr>
      <w:r w:rsidRPr="00C90C3F">
        <w:rPr>
          <w:color w:val="auto"/>
        </w:rPr>
        <w:t>13.4.</w:t>
      </w:r>
      <w:r w:rsidR="00106429" w:rsidRPr="00C90C3F">
        <w:rPr>
          <w:color w:val="auto"/>
        </w:rPr>
        <w:t>5.1</w:t>
      </w:r>
      <w:r w:rsidR="00F129E4">
        <w:rPr>
          <w:color w:val="auto"/>
        </w:rPr>
        <w:t xml:space="preserve"> </w:t>
      </w:r>
      <w:r w:rsidR="00967464" w:rsidRPr="00C90C3F">
        <w:rPr>
          <w:color w:val="auto"/>
        </w:rPr>
        <w:t xml:space="preserve">The moderator will arrange for the evaluators to meet and discuss the marks they have allocated to answers provided in the </w:t>
      </w:r>
      <w:r w:rsidR="00895B59">
        <w:rPr>
          <w:color w:val="auto"/>
        </w:rPr>
        <w:t>ITT Supplier Response form</w:t>
      </w:r>
      <w:r w:rsidR="00967464" w:rsidRPr="00C90C3F">
        <w:rPr>
          <w:color w:val="auto"/>
        </w:rPr>
        <w:t>. The consensus marker will facilitate discussion among the evaluators regarding the marks awarded and the related justifications</w:t>
      </w:r>
      <w:r w:rsidR="2F838457" w:rsidRPr="35060FA4">
        <w:rPr>
          <w:color w:val="auto"/>
        </w:rPr>
        <w:t>.</w:t>
      </w:r>
    </w:p>
    <w:p w14:paraId="7FE25D64" w14:textId="77777777" w:rsidR="00F129E4" w:rsidRDefault="00F129E4" w:rsidP="002D7D57">
      <w:pPr>
        <w:pStyle w:val="Default"/>
        <w:ind w:left="851" w:hanging="851"/>
        <w:rPr>
          <w:color w:val="auto"/>
        </w:rPr>
      </w:pPr>
    </w:p>
    <w:p w14:paraId="74135143" w14:textId="4F08D4C6" w:rsidR="00967464" w:rsidRDefault="00106429" w:rsidP="002D7D57">
      <w:pPr>
        <w:pStyle w:val="Default"/>
        <w:ind w:left="851" w:hanging="851"/>
        <w:rPr>
          <w:color w:val="auto"/>
        </w:rPr>
      </w:pPr>
      <w:r w:rsidRPr="00C90C3F">
        <w:rPr>
          <w:color w:val="auto"/>
        </w:rPr>
        <w:t>13.4.5.2</w:t>
      </w:r>
      <w:r w:rsidR="00F129E4">
        <w:rPr>
          <w:color w:val="auto"/>
        </w:rPr>
        <w:t xml:space="preserve"> </w:t>
      </w:r>
      <w:r w:rsidR="00967464" w:rsidRPr="00C90C3F">
        <w:rPr>
          <w:color w:val="auto"/>
        </w:rPr>
        <w:t>During the meeting, each evaluator will discuss the quality of the answers given to a question and review his/her justification for attributing the marks having regard to the relevant response guidance, evaluation and the marking scheme. The evaluators will continue discussing the answers until the evaluators reach a consensus regarding the mark that should be attributed to each Potential Contractor’s answer to the question</w:t>
      </w:r>
      <w:r w:rsidR="6EC8658B" w:rsidRPr="35060FA4">
        <w:rPr>
          <w:color w:val="auto"/>
        </w:rPr>
        <w:t>.</w:t>
      </w:r>
      <w:r w:rsidR="00967464" w:rsidRPr="35060FA4">
        <w:rPr>
          <w:color w:val="auto"/>
        </w:rPr>
        <w:t xml:space="preserve"> </w:t>
      </w:r>
    </w:p>
    <w:p w14:paraId="04011C36" w14:textId="77777777" w:rsidR="00F129E4" w:rsidRPr="00C90C3F" w:rsidRDefault="00F129E4" w:rsidP="002D7D57">
      <w:pPr>
        <w:pStyle w:val="Default"/>
        <w:ind w:left="851" w:hanging="851"/>
        <w:rPr>
          <w:color w:val="auto"/>
        </w:rPr>
      </w:pPr>
    </w:p>
    <w:p w14:paraId="24217AB1" w14:textId="54FD46D1" w:rsidR="00967464" w:rsidRDefault="00106429" w:rsidP="002D7D57">
      <w:pPr>
        <w:pStyle w:val="Default"/>
        <w:ind w:left="851" w:hanging="851"/>
        <w:rPr>
          <w:color w:val="auto"/>
        </w:rPr>
      </w:pPr>
      <w:r w:rsidRPr="00C90C3F">
        <w:rPr>
          <w:color w:val="auto"/>
        </w:rPr>
        <w:t>13.4.5.3</w:t>
      </w:r>
      <w:r w:rsidR="00967464" w:rsidRPr="00C90C3F">
        <w:rPr>
          <w:color w:val="auto"/>
        </w:rPr>
        <w:t xml:space="preserve"> The moderator will record the consensus mark and the justification for the consensus mark (in addition to each evaluator’s original mark and justification</w:t>
      </w:r>
      <w:r w:rsidR="00967464" w:rsidRPr="35060FA4">
        <w:rPr>
          <w:color w:val="auto"/>
        </w:rPr>
        <w:t>)</w:t>
      </w:r>
      <w:r w:rsidR="65BD9E0D" w:rsidRPr="35060FA4">
        <w:rPr>
          <w:color w:val="auto"/>
        </w:rPr>
        <w:t>.</w:t>
      </w:r>
    </w:p>
    <w:p w14:paraId="69C4BFB9" w14:textId="77777777" w:rsidR="00F129E4" w:rsidRPr="00C90C3F" w:rsidRDefault="00F129E4" w:rsidP="002D7D57">
      <w:pPr>
        <w:pStyle w:val="Default"/>
        <w:ind w:left="851" w:hanging="851"/>
        <w:rPr>
          <w:color w:val="auto"/>
        </w:rPr>
      </w:pPr>
    </w:p>
    <w:p w14:paraId="336C9BD0" w14:textId="765E851D" w:rsidR="00967464" w:rsidRDefault="00106429" w:rsidP="002D7D57">
      <w:pPr>
        <w:pStyle w:val="Default"/>
        <w:ind w:left="851" w:hanging="851"/>
        <w:rPr>
          <w:color w:val="auto"/>
        </w:rPr>
      </w:pPr>
      <w:r w:rsidRPr="00C90C3F">
        <w:rPr>
          <w:color w:val="auto"/>
        </w:rPr>
        <w:t>13.4.5.4</w:t>
      </w:r>
      <w:r w:rsidR="00967464" w:rsidRPr="00C90C3F">
        <w:rPr>
          <w:color w:val="auto"/>
        </w:rPr>
        <w:t xml:space="preserve"> The process above will be repeated until all applicable answers in the </w:t>
      </w:r>
      <w:r w:rsidR="00895B59">
        <w:rPr>
          <w:color w:val="auto"/>
        </w:rPr>
        <w:t>ITT Supplier Response form</w:t>
      </w:r>
      <w:r w:rsidR="00895B59" w:rsidRPr="00C90C3F">
        <w:rPr>
          <w:color w:val="auto"/>
        </w:rPr>
        <w:t xml:space="preserve"> </w:t>
      </w:r>
      <w:r w:rsidR="00967464" w:rsidRPr="00C90C3F">
        <w:rPr>
          <w:color w:val="auto"/>
        </w:rPr>
        <w:t>have been consensus marked by evaluators</w:t>
      </w:r>
      <w:r w:rsidR="0DA31710" w:rsidRPr="35060FA4">
        <w:rPr>
          <w:color w:val="auto"/>
        </w:rPr>
        <w:t>.</w:t>
      </w:r>
    </w:p>
    <w:p w14:paraId="51032384" w14:textId="77777777" w:rsidR="00F129E4" w:rsidRPr="00C90C3F" w:rsidRDefault="00F129E4" w:rsidP="002D7D57">
      <w:pPr>
        <w:pStyle w:val="Default"/>
        <w:ind w:left="851" w:hanging="851"/>
        <w:rPr>
          <w:color w:val="auto"/>
        </w:rPr>
      </w:pPr>
    </w:p>
    <w:p w14:paraId="68A24749" w14:textId="5D10E074" w:rsidR="00967464" w:rsidRPr="00C90C3F" w:rsidRDefault="007F60EB" w:rsidP="002D7D57">
      <w:pPr>
        <w:pStyle w:val="Default"/>
        <w:ind w:left="851" w:hanging="851"/>
        <w:rPr>
          <w:color w:val="auto"/>
        </w:rPr>
      </w:pPr>
      <w:r w:rsidRPr="00C90C3F">
        <w:rPr>
          <w:color w:val="auto"/>
        </w:rPr>
        <w:t>13.4.5.5</w:t>
      </w:r>
      <w:r w:rsidR="00967464" w:rsidRPr="00C90C3F">
        <w:rPr>
          <w:color w:val="auto"/>
        </w:rPr>
        <w:t xml:space="preserve"> Where evaluators cannot agree on a consensus mark, the consensus marker will use the view of the majority as the consensus mark and record this </w:t>
      </w:r>
      <w:r w:rsidR="00FA5AE2">
        <w:rPr>
          <w:color w:val="auto"/>
        </w:rPr>
        <w:t>justification.</w:t>
      </w:r>
    </w:p>
    <w:p w14:paraId="2AA53869" w14:textId="77777777" w:rsidR="00A62E6B" w:rsidRPr="00A2657A" w:rsidRDefault="00A62E6B" w:rsidP="002C00B9">
      <w:pPr>
        <w:tabs>
          <w:tab w:val="left" w:pos="851"/>
        </w:tabs>
        <w:spacing w:before="120" w:after="120"/>
        <w:ind w:right="80"/>
        <w:rPr>
          <w:rFonts w:ascii="Arial" w:eastAsia="Arial" w:hAnsi="Arial" w:cs="Arial"/>
          <w:sz w:val="24"/>
          <w:szCs w:val="24"/>
        </w:rPr>
      </w:pPr>
    </w:p>
    <w:p w14:paraId="1F71DE53" w14:textId="1A79F04D" w:rsidR="00A62E6B" w:rsidRPr="00A2657A" w:rsidRDefault="00A62E6B" w:rsidP="00A62E6B">
      <w:pPr>
        <w:pStyle w:val="DeptBullets"/>
        <w:numPr>
          <w:ilvl w:val="0"/>
          <w:numId w:val="0"/>
        </w:numPr>
        <w:spacing w:before="120" w:after="120"/>
        <w:ind w:left="720" w:hanging="709"/>
        <w:rPr>
          <w:rFonts w:cs="Arial"/>
          <w:b/>
        </w:rPr>
      </w:pPr>
      <w:r w:rsidRPr="35060FA4">
        <w:rPr>
          <w:rFonts w:cs="Arial"/>
          <w:b/>
        </w:rPr>
        <w:t>14.</w:t>
      </w:r>
      <w:r>
        <w:tab/>
      </w:r>
      <w:r w:rsidRPr="35060FA4">
        <w:rPr>
          <w:rFonts w:cs="Arial"/>
          <w:b/>
        </w:rPr>
        <w:t xml:space="preserve">COMPLIANCE / VALIDATION </w:t>
      </w:r>
      <w:r w:rsidRPr="35060FA4">
        <w:rPr>
          <w:rFonts w:cs="Arial"/>
          <w:b/>
          <w:bCs/>
        </w:rPr>
        <w:t>S</w:t>
      </w:r>
      <w:r w:rsidR="303FE4F7" w:rsidRPr="35060FA4">
        <w:rPr>
          <w:rFonts w:cs="Arial"/>
          <w:b/>
          <w:bCs/>
        </w:rPr>
        <w:t>TEP</w:t>
      </w:r>
    </w:p>
    <w:p w14:paraId="6E6AE93F" w14:textId="62027B21" w:rsidR="00A62E6B" w:rsidRPr="00A2657A" w:rsidRDefault="00A62E6B" w:rsidP="00A62E6B">
      <w:pPr>
        <w:pStyle w:val="DeptBullets"/>
        <w:numPr>
          <w:ilvl w:val="0"/>
          <w:numId w:val="0"/>
        </w:numPr>
        <w:spacing w:before="120" w:after="120"/>
        <w:ind w:left="720" w:hanging="709"/>
        <w:rPr>
          <w:rFonts w:cs="Arial"/>
        </w:rPr>
      </w:pPr>
      <w:r w:rsidRPr="35060FA4">
        <w:rPr>
          <w:rFonts w:cs="Arial"/>
        </w:rPr>
        <w:t>14.1</w:t>
      </w:r>
      <w:r>
        <w:tab/>
      </w:r>
      <w:r w:rsidRPr="35060FA4">
        <w:rPr>
          <w:rFonts w:cs="Arial"/>
        </w:rPr>
        <w:t xml:space="preserve">Prior to commencing the formal evaluation process, Tenders will be checked to ensure they are compliant with the requirements of this ITT and its Attachments. Any non-compliant Tenders may, including in the event further questions are </w:t>
      </w:r>
      <w:proofErr w:type="gramStart"/>
      <w:r w:rsidRPr="35060FA4">
        <w:rPr>
          <w:rFonts w:cs="Arial"/>
        </w:rPr>
        <w:t>asked</w:t>
      </w:r>
      <w:proofErr w:type="gramEnd"/>
      <w:r w:rsidRPr="35060FA4">
        <w:rPr>
          <w:rFonts w:cs="Arial"/>
        </w:rPr>
        <w:t xml:space="preserve"> or clarification is sought by the Potential Contractors but fail to produce a satisfactory response, be rejected by the Authority without </w:t>
      </w:r>
      <w:r w:rsidRPr="35060FA4">
        <w:rPr>
          <w:rFonts w:cs="Arial"/>
        </w:rPr>
        <w:lastRenderedPageBreak/>
        <w:t>proceeding to the next s</w:t>
      </w:r>
      <w:r w:rsidR="4C1BB363" w:rsidRPr="35060FA4">
        <w:rPr>
          <w:rFonts w:cs="Arial"/>
        </w:rPr>
        <w:t>tep</w:t>
      </w:r>
      <w:r w:rsidRPr="35060FA4">
        <w:rPr>
          <w:rFonts w:cs="Arial"/>
        </w:rPr>
        <w:t xml:space="preserve"> of evaluation.</w:t>
      </w:r>
    </w:p>
    <w:p w14:paraId="16830096" w14:textId="77777777" w:rsidR="00A62E6B" w:rsidRPr="00A2657A" w:rsidRDefault="00A62E6B" w:rsidP="00A62E6B">
      <w:pPr>
        <w:pStyle w:val="DeptBullets"/>
        <w:numPr>
          <w:ilvl w:val="0"/>
          <w:numId w:val="0"/>
        </w:numPr>
        <w:spacing w:before="120" w:after="120"/>
        <w:ind w:left="720" w:hanging="709"/>
        <w:rPr>
          <w:rFonts w:cs="Arial"/>
          <w:szCs w:val="24"/>
        </w:rPr>
      </w:pPr>
      <w:r w:rsidRPr="00A2657A">
        <w:rPr>
          <w:rFonts w:cs="Arial"/>
          <w:szCs w:val="24"/>
        </w:rPr>
        <w:t>14.2</w:t>
      </w:r>
      <w:r w:rsidRPr="00A2657A">
        <w:rPr>
          <w:rFonts w:cs="Arial"/>
          <w:szCs w:val="24"/>
        </w:rPr>
        <w:tab/>
        <w:t>Potential Contractors who are excluded on grounds of non-compliance will be notified accordingly.</w:t>
      </w:r>
    </w:p>
    <w:p w14:paraId="3ABA4725" w14:textId="77777777" w:rsidR="00A62E6B" w:rsidRPr="00A2657A" w:rsidRDefault="00A62E6B" w:rsidP="00A62E6B">
      <w:pPr>
        <w:tabs>
          <w:tab w:val="left" w:pos="0"/>
        </w:tabs>
        <w:spacing w:before="120" w:after="120"/>
        <w:ind w:right="80" w:hanging="709"/>
        <w:rPr>
          <w:rFonts w:ascii="Arial" w:eastAsia="Arial" w:hAnsi="Arial" w:cs="Arial"/>
          <w:sz w:val="24"/>
          <w:szCs w:val="24"/>
        </w:rPr>
      </w:pPr>
    </w:p>
    <w:p w14:paraId="17482951" w14:textId="77777777" w:rsidR="00A62E6B" w:rsidRPr="00A2657A" w:rsidRDefault="00A62E6B" w:rsidP="00A62E6B">
      <w:pPr>
        <w:pStyle w:val="DeptBullets"/>
        <w:numPr>
          <w:ilvl w:val="0"/>
          <w:numId w:val="0"/>
        </w:numPr>
        <w:spacing w:before="120" w:after="120"/>
        <w:ind w:left="720" w:hanging="709"/>
        <w:rPr>
          <w:rFonts w:cs="Arial"/>
          <w:b/>
          <w:szCs w:val="24"/>
        </w:rPr>
      </w:pPr>
      <w:r w:rsidRPr="00A2657A">
        <w:rPr>
          <w:rFonts w:cs="Arial"/>
          <w:b/>
          <w:szCs w:val="24"/>
        </w:rPr>
        <w:t>15.</w:t>
      </w:r>
      <w:r w:rsidRPr="00A2657A">
        <w:rPr>
          <w:rFonts w:cs="Arial"/>
          <w:b/>
          <w:szCs w:val="24"/>
        </w:rPr>
        <w:tab/>
        <w:t>QUALITY EVALUATION</w:t>
      </w:r>
    </w:p>
    <w:p w14:paraId="4665B7DB" w14:textId="0762752B" w:rsidR="00A62E6B" w:rsidRPr="00A2657A" w:rsidRDefault="00A62E6B" w:rsidP="00A62E6B">
      <w:pPr>
        <w:pStyle w:val="DeptBullets"/>
        <w:numPr>
          <w:ilvl w:val="0"/>
          <w:numId w:val="0"/>
        </w:numPr>
        <w:spacing w:before="120" w:after="120"/>
        <w:ind w:left="720" w:hanging="709"/>
        <w:rPr>
          <w:rFonts w:cs="Arial"/>
        </w:rPr>
      </w:pPr>
      <w:r w:rsidRPr="35060FA4">
        <w:rPr>
          <w:rFonts w:cs="Arial"/>
        </w:rPr>
        <w:t>15.1</w:t>
      </w:r>
      <w:r>
        <w:tab/>
      </w:r>
      <w:r w:rsidRPr="35060FA4">
        <w:rPr>
          <w:rFonts w:cs="Arial"/>
        </w:rPr>
        <w:t xml:space="preserve">Tenders will first be evaluated against the Quality Evaluation. All Tenders that </w:t>
      </w:r>
      <w:proofErr w:type="gramStart"/>
      <w:r w:rsidRPr="35060FA4">
        <w:rPr>
          <w:rFonts w:cs="Arial"/>
        </w:rPr>
        <w:t>meets</w:t>
      </w:r>
      <w:proofErr w:type="gramEnd"/>
      <w:r w:rsidRPr="35060FA4">
        <w:rPr>
          <w:rFonts w:cs="Arial"/>
        </w:rPr>
        <w:t xml:space="preserve"> or exceed the Quality Threshold as detailed in paragraph 15.2 will progress to the Price Evaluation s</w:t>
      </w:r>
      <w:r w:rsidR="652C4FF1" w:rsidRPr="35060FA4">
        <w:rPr>
          <w:rFonts w:cs="Arial"/>
        </w:rPr>
        <w:t>tep</w:t>
      </w:r>
      <w:r w:rsidRPr="35060FA4">
        <w:rPr>
          <w:rFonts w:cs="Arial"/>
        </w:rPr>
        <w:t xml:space="preserve"> as detailed in </w:t>
      </w:r>
      <w:r w:rsidR="006753C1" w:rsidRPr="35060FA4">
        <w:rPr>
          <w:rFonts w:cs="Arial"/>
        </w:rPr>
        <w:t xml:space="preserve">paragraph </w:t>
      </w:r>
      <w:r w:rsidRPr="35060FA4">
        <w:rPr>
          <w:rFonts w:cs="Arial"/>
        </w:rPr>
        <w:t>16. Any Potential Contractor whose Tender fails to achieve the Quality Threshold may, at the Authority’s absolute discretion, be excluded from further participation in this Procurement.</w:t>
      </w:r>
    </w:p>
    <w:p w14:paraId="474B2593" w14:textId="0DBBB74B" w:rsidR="00A62E6B" w:rsidRPr="00A2657A" w:rsidRDefault="00A62E6B" w:rsidP="00A62E6B">
      <w:pPr>
        <w:pStyle w:val="DeptBullets"/>
        <w:numPr>
          <w:ilvl w:val="0"/>
          <w:numId w:val="0"/>
        </w:numPr>
        <w:spacing w:before="120" w:after="120"/>
        <w:ind w:left="720" w:hanging="709"/>
        <w:rPr>
          <w:rFonts w:cs="Arial"/>
          <w:szCs w:val="24"/>
        </w:rPr>
      </w:pPr>
      <w:r w:rsidRPr="00A2657A">
        <w:rPr>
          <w:rFonts w:cs="Arial"/>
          <w:szCs w:val="24"/>
        </w:rPr>
        <w:t>15.2</w:t>
      </w:r>
      <w:r w:rsidRPr="00A2657A">
        <w:rPr>
          <w:rFonts w:cs="Arial"/>
          <w:szCs w:val="24"/>
        </w:rPr>
        <w:tab/>
        <w:t>In order to meet the Quality Threshold Potential Contractors must</w:t>
      </w:r>
      <w:r w:rsidR="00823966">
        <w:rPr>
          <w:rFonts w:cs="Arial"/>
          <w:szCs w:val="24"/>
        </w:rPr>
        <w:t>:</w:t>
      </w:r>
    </w:p>
    <w:p w14:paraId="28ED4A27" w14:textId="185D8A89" w:rsidR="00A62E6B" w:rsidRPr="003257E1" w:rsidRDefault="00A62E6B" w:rsidP="002D7D57">
      <w:pPr>
        <w:pStyle w:val="DeptBullets"/>
        <w:numPr>
          <w:ilvl w:val="0"/>
          <w:numId w:val="13"/>
        </w:numPr>
        <w:spacing w:before="120" w:after="120"/>
        <w:ind w:left="1702" w:hanging="851"/>
        <w:rPr>
          <w:rFonts w:cs="Arial"/>
        </w:rPr>
      </w:pPr>
      <w:r w:rsidRPr="1EE0A79B">
        <w:rPr>
          <w:rFonts w:cs="Arial"/>
        </w:rPr>
        <w:t xml:space="preserve">achieve or exceed a Quality Score equivalent to 60% of the Maximum Score Available for the Quality Evaluation, </w:t>
      </w:r>
      <w:proofErr w:type="gramStart"/>
      <w:r w:rsidRPr="1EE0A79B">
        <w:rPr>
          <w:rFonts w:cs="Arial"/>
        </w:rPr>
        <w:t>and;</w:t>
      </w:r>
      <w:proofErr w:type="gramEnd"/>
      <w:r w:rsidRPr="1EE0A79B">
        <w:rPr>
          <w:rFonts w:cs="Arial"/>
        </w:rPr>
        <w:t xml:space="preserve"> </w:t>
      </w:r>
    </w:p>
    <w:p w14:paraId="3242742A" w14:textId="0922B0C8" w:rsidR="00A62E6B" w:rsidRDefault="00A62E6B" w:rsidP="002D7D57">
      <w:pPr>
        <w:pStyle w:val="DeptBullets"/>
        <w:numPr>
          <w:ilvl w:val="0"/>
          <w:numId w:val="13"/>
        </w:numPr>
        <w:spacing w:before="120" w:after="120"/>
        <w:ind w:left="1702" w:hanging="851"/>
        <w:rPr>
          <w:rFonts w:cs="Arial"/>
        </w:rPr>
      </w:pPr>
      <w:r w:rsidRPr="1EE0A79B">
        <w:rPr>
          <w:rFonts w:cs="Arial"/>
        </w:rPr>
        <w:t xml:space="preserve">achieve a </w:t>
      </w:r>
      <w:r w:rsidRPr="00012E6D">
        <w:rPr>
          <w:rFonts w:cs="Arial"/>
        </w:rPr>
        <w:t>score of 2 or above (unweighted</w:t>
      </w:r>
      <w:r w:rsidRPr="1EE0A79B">
        <w:rPr>
          <w:rFonts w:cs="Arial"/>
        </w:rPr>
        <w:t>) in each individual question response in the quality evaluation.</w:t>
      </w:r>
    </w:p>
    <w:p w14:paraId="723A5104" w14:textId="77777777" w:rsidR="00F129E4" w:rsidRPr="00A2657A" w:rsidRDefault="00F129E4" w:rsidP="00A62E6B">
      <w:pPr>
        <w:pStyle w:val="DeptBullets"/>
        <w:numPr>
          <w:ilvl w:val="0"/>
          <w:numId w:val="0"/>
        </w:numPr>
        <w:spacing w:before="120" w:after="120"/>
        <w:ind w:left="851" w:hanging="851"/>
        <w:rPr>
          <w:rFonts w:cs="Arial"/>
        </w:rPr>
      </w:pPr>
    </w:p>
    <w:p w14:paraId="1F54F8F0" w14:textId="2DF7915F" w:rsidR="00F129E4" w:rsidRPr="00F129E4" w:rsidRDefault="00A62E6B" w:rsidP="00F129E4">
      <w:pPr>
        <w:pStyle w:val="DeptBullets"/>
        <w:numPr>
          <w:ilvl w:val="0"/>
          <w:numId w:val="0"/>
        </w:numPr>
        <w:spacing w:before="120" w:after="120"/>
        <w:ind w:left="851" w:hanging="851"/>
        <w:rPr>
          <w:rFonts w:eastAsia="Arial" w:cs="Arial"/>
          <w:b/>
          <w:szCs w:val="24"/>
        </w:rPr>
      </w:pPr>
      <w:r w:rsidRPr="00F129E4">
        <w:rPr>
          <w:rFonts w:cs="Arial"/>
        </w:rPr>
        <w:t>15</w:t>
      </w:r>
      <w:r w:rsidRPr="00A2657A">
        <w:rPr>
          <w:rFonts w:eastAsia="Arial" w:cs="Arial"/>
          <w:szCs w:val="24"/>
        </w:rPr>
        <w:t>.3</w:t>
      </w:r>
      <w:r w:rsidRPr="00A2657A">
        <w:rPr>
          <w:rFonts w:cs="Arial"/>
          <w:szCs w:val="24"/>
        </w:rPr>
        <w:tab/>
      </w:r>
      <w:r w:rsidRPr="00A2657A">
        <w:rPr>
          <w:rFonts w:eastAsia="Arial" w:cs="Arial"/>
          <w:b/>
          <w:szCs w:val="24"/>
        </w:rPr>
        <w:t>Quality Evaluation Process</w:t>
      </w:r>
    </w:p>
    <w:p w14:paraId="57F870E9" w14:textId="5FCDF201" w:rsidR="00A62E6B" w:rsidRPr="00A2657A" w:rsidRDefault="00A62E6B" w:rsidP="002D7D57">
      <w:pPr>
        <w:tabs>
          <w:tab w:val="left" w:pos="851"/>
        </w:tabs>
        <w:spacing w:before="100" w:beforeAutospacing="1" w:after="100" w:afterAutospacing="1" w:line="240" w:lineRule="auto"/>
        <w:ind w:left="851" w:hanging="851"/>
        <w:rPr>
          <w:rFonts w:ascii="Arial" w:hAnsi="Arial" w:cs="Arial"/>
          <w:sz w:val="24"/>
          <w:szCs w:val="24"/>
        </w:rPr>
      </w:pPr>
      <w:r w:rsidRPr="00A2657A">
        <w:rPr>
          <w:rFonts w:ascii="Arial" w:eastAsia="Arial" w:hAnsi="Arial" w:cs="Arial"/>
          <w:sz w:val="24"/>
          <w:szCs w:val="24"/>
        </w:rPr>
        <w:t>15.3.1</w:t>
      </w:r>
      <w:r w:rsidRPr="00A2657A">
        <w:rPr>
          <w:rFonts w:ascii="Arial" w:eastAsia="Arial" w:hAnsi="Arial" w:cs="Arial"/>
          <w:sz w:val="24"/>
          <w:szCs w:val="24"/>
        </w:rPr>
        <w:tab/>
      </w:r>
      <w:r w:rsidRPr="008D1D2C">
        <w:rPr>
          <w:rFonts w:ascii="Arial" w:eastAsia="Arial" w:hAnsi="Arial" w:cs="Arial"/>
          <w:sz w:val="24"/>
          <w:szCs w:val="24"/>
        </w:rPr>
        <w:t>The Quality Evaluation is weighted at 70% of the total marks available in this Procurement.</w:t>
      </w:r>
    </w:p>
    <w:p w14:paraId="71108976" w14:textId="15CDA2A8" w:rsidR="00A62E6B" w:rsidRPr="00A2657A" w:rsidRDefault="00A62E6B" w:rsidP="002D7D57">
      <w:pPr>
        <w:tabs>
          <w:tab w:val="left" w:pos="1843"/>
        </w:tabs>
        <w:spacing w:before="100" w:beforeAutospacing="1" w:after="100" w:afterAutospacing="1" w:line="240" w:lineRule="auto"/>
        <w:ind w:left="851" w:hanging="851"/>
        <w:rPr>
          <w:rFonts w:ascii="Arial" w:hAnsi="Arial" w:cs="Arial"/>
          <w:sz w:val="24"/>
          <w:szCs w:val="24"/>
        </w:rPr>
      </w:pPr>
      <w:r w:rsidRPr="00A2657A">
        <w:rPr>
          <w:rFonts w:ascii="Arial" w:eastAsia="Arial" w:hAnsi="Arial" w:cs="Arial"/>
          <w:sz w:val="24"/>
          <w:szCs w:val="24"/>
        </w:rPr>
        <w:t>15.3.1.1</w:t>
      </w:r>
      <w:r w:rsidR="003D5E79">
        <w:rPr>
          <w:rFonts w:ascii="Arial" w:eastAsia="Arial" w:hAnsi="Arial" w:cs="Arial"/>
          <w:sz w:val="24"/>
          <w:szCs w:val="24"/>
        </w:rPr>
        <w:t xml:space="preserve"> </w:t>
      </w:r>
      <w:r w:rsidRPr="00A2657A">
        <w:rPr>
          <w:rFonts w:ascii="Arial" w:eastAsia="Arial" w:hAnsi="Arial" w:cs="Arial"/>
          <w:sz w:val="24"/>
          <w:szCs w:val="24"/>
        </w:rPr>
        <w:t>The</w:t>
      </w:r>
      <w:r w:rsidRPr="00A2657A">
        <w:rPr>
          <w:rFonts w:ascii="Arial" w:hAnsi="Arial" w:cs="Arial"/>
          <w:sz w:val="24"/>
          <w:szCs w:val="24"/>
        </w:rPr>
        <w:t xml:space="preserve"> </w:t>
      </w:r>
      <w:r w:rsidRPr="00A2657A">
        <w:rPr>
          <w:rFonts w:ascii="Arial" w:eastAsia="Arial" w:hAnsi="Arial" w:cs="Arial"/>
          <w:sz w:val="24"/>
          <w:szCs w:val="24"/>
        </w:rPr>
        <w:t xml:space="preserve">evaluation of each Potential Contractor’s response to the </w:t>
      </w:r>
      <w:r w:rsidR="00E26D0C">
        <w:rPr>
          <w:rFonts w:ascii="Arial" w:eastAsia="Arial" w:hAnsi="Arial" w:cs="Arial"/>
          <w:sz w:val="24"/>
          <w:szCs w:val="24"/>
        </w:rPr>
        <w:t xml:space="preserve">ITT Supplier Response form </w:t>
      </w:r>
      <w:r w:rsidRPr="00A2657A">
        <w:rPr>
          <w:rFonts w:ascii="Arial" w:eastAsia="Arial" w:hAnsi="Arial" w:cs="Arial"/>
          <w:sz w:val="24"/>
          <w:szCs w:val="24"/>
        </w:rPr>
        <w:t>will be conducted and consensus checked in accordance with the Consensus Markin</w:t>
      </w:r>
      <w:r w:rsidRPr="008D1D2C">
        <w:rPr>
          <w:rFonts w:ascii="Arial" w:eastAsia="Arial" w:hAnsi="Arial" w:cs="Arial"/>
          <w:sz w:val="24"/>
          <w:szCs w:val="24"/>
        </w:rPr>
        <w:t xml:space="preserve">g Procedure described in paragraph </w:t>
      </w:r>
      <w:r w:rsidR="00C90C3F" w:rsidRPr="008D1D2C">
        <w:rPr>
          <w:rFonts w:ascii="Arial" w:eastAsia="Arial" w:hAnsi="Arial" w:cs="Arial"/>
          <w:sz w:val="24"/>
          <w:szCs w:val="24"/>
        </w:rPr>
        <w:t>13</w:t>
      </w:r>
      <w:r w:rsidR="008D1D2C" w:rsidRPr="008D1D2C">
        <w:rPr>
          <w:rFonts w:ascii="Arial" w:eastAsia="Arial" w:hAnsi="Arial" w:cs="Arial"/>
          <w:sz w:val="24"/>
          <w:szCs w:val="24"/>
        </w:rPr>
        <w:t>.4</w:t>
      </w:r>
      <w:r w:rsidR="00C90C3F" w:rsidRPr="008D1D2C">
        <w:rPr>
          <w:rFonts w:ascii="Arial" w:eastAsia="Arial" w:hAnsi="Arial" w:cs="Arial"/>
          <w:sz w:val="24"/>
          <w:szCs w:val="24"/>
        </w:rPr>
        <w:t xml:space="preserve"> of this document</w:t>
      </w:r>
      <w:r w:rsidRPr="008D1D2C">
        <w:rPr>
          <w:rFonts w:ascii="Arial" w:eastAsia="Arial" w:hAnsi="Arial" w:cs="Arial"/>
          <w:sz w:val="24"/>
          <w:szCs w:val="24"/>
        </w:rPr>
        <w:t>.</w:t>
      </w:r>
    </w:p>
    <w:p w14:paraId="22766682" w14:textId="26D83A2E" w:rsidR="00A62E6B" w:rsidRPr="00A2657A" w:rsidRDefault="00A62E6B" w:rsidP="002D7D57">
      <w:pPr>
        <w:tabs>
          <w:tab w:val="left" w:pos="1843"/>
        </w:tabs>
        <w:spacing w:before="100" w:beforeAutospacing="1" w:after="100" w:afterAutospacing="1" w:line="240" w:lineRule="auto"/>
        <w:ind w:left="851" w:hanging="851"/>
        <w:rPr>
          <w:rFonts w:ascii="Arial" w:eastAsia="Arial" w:hAnsi="Arial" w:cs="Arial"/>
          <w:sz w:val="24"/>
          <w:szCs w:val="24"/>
        </w:rPr>
      </w:pPr>
      <w:r w:rsidRPr="00A2657A">
        <w:rPr>
          <w:rFonts w:ascii="Arial" w:eastAsia="Arial" w:hAnsi="Arial" w:cs="Arial"/>
          <w:sz w:val="24"/>
          <w:szCs w:val="24"/>
        </w:rPr>
        <w:t>15.3.1.2</w:t>
      </w:r>
      <w:r w:rsidR="00B47DD6">
        <w:rPr>
          <w:rFonts w:ascii="Arial" w:eastAsia="Arial" w:hAnsi="Arial" w:cs="Arial"/>
          <w:sz w:val="24"/>
          <w:szCs w:val="24"/>
        </w:rPr>
        <w:t xml:space="preserve"> </w:t>
      </w:r>
      <w:r w:rsidRPr="00A2657A">
        <w:rPr>
          <w:rFonts w:ascii="Arial" w:eastAsia="Arial" w:hAnsi="Arial" w:cs="Arial"/>
          <w:sz w:val="24"/>
          <w:szCs w:val="24"/>
        </w:rPr>
        <w:t xml:space="preserve">When the Consensus Marking Procedure has been completed each response will be awarded a score out of 5 in line with the evaluation scoring criteria outlined in </w:t>
      </w:r>
      <w:r w:rsidR="12B09AEA" w:rsidRPr="655C458F">
        <w:rPr>
          <w:rFonts w:ascii="Arial" w:eastAsia="Arial" w:hAnsi="Arial" w:cs="Arial"/>
          <w:sz w:val="24"/>
          <w:szCs w:val="24"/>
        </w:rPr>
        <w:t>section 15.</w:t>
      </w:r>
      <w:r w:rsidRPr="00A2657A">
        <w:rPr>
          <w:rFonts w:ascii="Arial" w:eastAsia="Arial" w:hAnsi="Arial" w:cs="Arial"/>
          <w:sz w:val="24"/>
          <w:szCs w:val="24"/>
        </w:rPr>
        <w:t>5.</w:t>
      </w:r>
    </w:p>
    <w:p w14:paraId="33475FC5" w14:textId="7D258B20" w:rsidR="00A62E6B" w:rsidRDefault="00A62E6B" w:rsidP="002D7D57">
      <w:pPr>
        <w:tabs>
          <w:tab w:val="left" w:pos="1843"/>
        </w:tabs>
        <w:spacing w:before="100" w:beforeAutospacing="1" w:after="100" w:afterAutospacing="1" w:line="240" w:lineRule="auto"/>
        <w:ind w:left="851" w:hanging="851"/>
        <w:rPr>
          <w:rFonts w:ascii="Arial" w:eastAsia="Arial" w:hAnsi="Arial" w:cs="Arial"/>
          <w:sz w:val="24"/>
          <w:szCs w:val="24"/>
        </w:rPr>
      </w:pPr>
      <w:r w:rsidRPr="00A2657A">
        <w:rPr>
          <w:rFonts w:ascii="Arial" w:eastAsia="Arial" w:hAnsi="Arial" w:cs="Arial"/>
          <w:sz w:val="24"/>
          <w:szCs w:val="24"/>
        </w:rPr>
        <w:t>15.3.1.3</w:t>
      </w:r>
      <w:r w:rsidR="00B47DD6">
        <w:rPr>
          <w:rFonts w:ascii="Arial" w:eastAsia="Arial" w:hAnsi="Arial" w:cs="Arial"/>
          <w:sz w:val="24"/>
          <w:szCs w:val="24"/>
        </w:rPr>
        <w:t xml:space="preserve"> </w:t>
      </w:r>
      <w:r w:rsidR="44303B12" w:rsidRPr="655C458F">
        <w:rPr>
          <w:rFonts w:ascii="Arial" w:eastAsia="Arial" w:hAnsi="Arial" w:cs="Arial"/>
          <w:sz w:val="24"/>
          <w:szCs w:val="24"/>
        </w:rPr>
        <w:t>To reflect the weightings stated in the Evaluation Criteria table above, t</w:t>
      </w:r>
      <w:r w:rsidR="734D1B54" w:rsidRPr="655C458F">
        <w:rPr>
          <w:rFonts w:ascii="Arial" w:eastAsia="Arial" w:hAnsi="Arial" w:cs="Arial"/>
          <w:sz w:val="24"/>
          <w:szCs w:val="24"/>
        </w:rPr>
        <w:t>he</w:t>
      </w:r>
      <w:r w:rsidRPr="00A2657A">
        <w:rPr>
          <w:rFonts w:ascii="Arial" w:eastAsia="Arial" w:hAnsi="Arial" w:cs="Arial"/>
          <w:sz w:val="24"/>
          <w:szCs w:val="24"/>
        </w:rPr>
        <w:t xml:space="preserve"> score awarded for each response to the </w:t>
      </w:r>
      <w:r w:rsidR="00670AE6">
        <w:rPr>
          <w:rFonts w:ascii="Arial" w:eastAsia="Arial" w:hAnsi="Arial" w:cs="Arial"/>
          <w:sz w:val="24"/>
          <w:szCs w:val="24"/>
        </w:rPr>
        <w:t>ITT Supplier Response form</w:t>
      </w:r>
      <w:r w:rsidR="00670AE6" w:rsidRPr="00A2657A">
        <w:rPr>
          <w:rFonts w:ascii="Arial" w:eastAsia="Arial" w:hAnsi="Arial" w:cs="Arial"/>
          <w:sz w:val="24"/>
          <w:szCs w:val="24"/>
        </w:rPr>
        <w:t xml:space="preserve"> </w:t>
      </w:r>
      <w:r w:rsidRPr="00A2657A">
        <w:rPr>
          <w:rFonts w:ascii="Arial" w:eastAsia="Arial" w:hAnsi="Arial" w:cs="Arial"/>
          <w:sz w:val="24"/>
          <w:szCs w:val="24"/>
        </w:rPr>
        <w:t>will then be multiplied as shown in the table below.</w:t>
      </w:r>
    </w:p>
    <w:p w14:paraId="4E4BBA5F" w14:textId="77777777" w:rsidR="00B47DD6" w:rsidRPr="00A2657A" w:rsidRDefault="00B47DD6" w:rsidP="00B47DD6">
      <w:pPr>
        <w:tabs>
          <w:tab w:val="left" w:pos="1843"/>
        </w:tabs>
        <w:spacing w:before="120" w:after="120" w:line="240" w:lineRule="auto"/>
        <w:ind w:left="851" w:hanging="851"/>
        <w:rPr>
          <w:rFonts w:ascii="Arial" w:hAnsi="Arial" w:cs="Arial"/>
          <w:sz w:val="24"/>
          <w:szCs w:val="24"/>
        </w:rPr>
      </w:pPr>
    </w:p>
    <w:tbl>
      <w:tblPr>
        <w:tblW w:w="9210" w:type="dxa"/>
        <w:tblInd w:w="137" w:type="dxa"/>
        <w:tblCellMar>
          <w:left w:w="10" w:type="dxa"/>
          <w:right w:w="10" w:type="dxa"/>
        </w:tblCellMar>
        <w:tblLook w:val="04A0" w:firstRow="1" w:lastRow="0" w:firstColumn="1" w:lastColumn="0" w:noHBand="0" w:noVBand="1"/>
      </w:tblPr>
      <w:tblGrid>
        <w:gridCol w:w="4770"/>
        <w:gridCol w:w="1575"/>
        <w:gridCol w:w="1320"/>
        <w:gridCol w:w="1545"/>
      </w:tblGrid>
      <w:tr w:rsidR="001D456C" w:rsidRPr="001D456C" w14:paraId="15730258" w14:textId="77777777" w:rsidTr="655C458F">
        <w:trPr>
          <w:trHeight w:val="763"/>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Mar>
              <w:top w:w="0" w:type="dxa"/>
              <w:left w:w="108" w:type="dxa"/>
              <w:bottom w:w="0" w:type="dxa"/>
              <w:right w:w="108" w:type="dxa"/>
            </w:tcMar>
            <w:vAlign w:val="center"/>
          </w:tcPr>
          <w:p w14:paraId="5431DA89" w14:textId="77777777" w:rsidR="00A62E6B" w:rsidRPr="00CC43D3" w:rsidRDefault="00A62E6B" w:rsidP="00F850EA">
            <w:pPr>
              <w:tabs>
                <w:tab w:val="left" w:pos="1843"/>
              </w:tabs>
              <w:spacing w:before="60" w:after="60"/>
              <w:jc w:val="center"/>
              <w:rPr>
                <w:rFonts w:ascii="Arial" w:eastAsia="Arial" w:hAnsi="Arial" w:cs="Arial"/>
                <w:b/>
                <w:sz w:val="24"/>
                <w:szCs w:val="24"/>
              </w:rPr>
            </w:pPr>
            <w:r w:rsidRPr="00CC43D3">
              <w:rPr>
                <w:rFonts w:ascii="Arial" w:eastAsia="Arial" w:hAnsi="Arial" w:cs="Arial"/>
                <w:b/>
                <w:sz w:val="24"/>
                <w:szCs w:val="24"/>
              </w:rPr>
              <w:t>Question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Mar>
              <w:top w:w="0" w:type="dxa"/>
              <w:left w:w="108" w:type="dxa"/>
              <w:bottom w:w="0" w:type="dxa"/>
              <w:right w:w="108" w:type="dxa"/>
            </w:tcMar>
            <w:vAlign w:val="center"/>
          </w:tcPr>
          <w:p w14:paraId="1799AF09" w14:textId="25AA71ED" w:rsidR="00A62E6B" w:rsidRPr="001D456C" w:rsidRDefault="5AC3F46D" w:rsidP="00F850EA">
            <w:pPr>
              <w:tabs>
                <w:tab w:val="left" w:pos="1843"/>
              </w:tabs>
              <w:spacing w:before="60" w:after="60"/>
              <w:jc w:val="center"/>
              <w:rPr>
                <w:rFonts w:ascii="Arial" w:eastAsia="Arial" w:hAnsi="Arial" w:cs="Arial"/>
                <w:b/>
                <w:sz w:val="24"/>
                <w:szCs w:val="24"/>
              </w:rPr>
            </w:pPr>
            <w:r w:rsidRPr="655C458F">
              <w:rPr>
                <w:rFonts w:ascii="Arial" w:eastAsia="Arial" w:hAnsi="Arial" w:cs="Arial"/>
                <w:b/>
                <w:bCs/>
                <w:sz w:val="24"/>
                <w:szCs w:val="24"/>
              </w:rPr>
              <w:t>Maximum score possible</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Mar>
              <w:top w:w="0" w:type="dxa"/>
              <w:left w:w="108" w:type="dxa"/>
              <w:bottom w:w="0" w:type="dxa"/>
              <w:right w:w="108" w:type="dxa"/>
            </w:tcMar>
            <w:vAlign w:val="center"/>
          </w:tcPr>
          <w:p w14:paraId="0416D249" w14:textId="1F2989C8" w:rsidR="06949346" w:rsidRPr="655C458F" w:rsidRDefault="06949346" w:rsidP="655C458F">
            <w:pPr>
              <w:jc w:val="center"/>
              <w:rPr>
                <w:rFonts w:ascii="Arial" w:eastAsia="Arial" w:hAnsi="Arial" w:cs="Arial"/>
                <w:b/>
                <w:bCs/>
                <w:sz w:val="24"/>
                <w:szCs w:val="24"/>
              </w:rPr>
            </w:pPr>
            <w:r w:rsidRPr="655C458F">
              <w:rPr>
                <w:rFonts w:ascii="Arial" w:eastAsia="Arial" w:hAnsi="Arial" w:cs="Arial"/>
                <w:b/>
                <w:bCs/>
                <w:sz w:val="24"/>
                <w:szCs w:val="24"/>
              </w:rPr>
              <w:t>Weighted score adjuster</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Mar>
              <w:top w:w="0" w:type="dxa"/>
              <w:left w:w="108" w:type="dxa"/>
              <w:bottom w:w="0" w:type="dxa"/>
              <w:right w:w="108" w:type="dxa"/>
            </w:tcMar>
            <w:vAlign w:val="center"/>
          </w:tcPr>
          <w:p w14:paraId="7DDCAA02" w14:textId="49F26BAB" w:rsidR="00A62E6B" w:rsidRPr="001D456C" w:rsidRDefault="06949346" w:rsidP="00F850EA">
            <w:pPr>
              <w:tabs>
                <w:tab w:val="left" w:pos="1843"/>
              </w:tabs>
              <w:spacing w:before="60" w:after="60"/>
              <w:jc w:val="center"/>
              <w:rPr>
                <w:rFonts w:ascii="Arial" w:eastAsia="Arial" w:hAnsi="Arial" w:cs="Arial"/>
                <w:b/>
                <w:sz w:val="24"/>
                <w:szCs w:val="24"/>
              </w:rPr>
            </w:pPr>
            <w:r w:rsidRPr="655C458F">
              <w:rPr>
                <w:rFonts w:ascii="Arial" w:eastAsia="Arial" w:hAnsi="Arial" w:cs="Arial"/>
                <w:b/>
                <w:bCs/>
                <w:sz w:val="24"/>
                <w:szCs w:val="24"/>
              </w:rPr>
              <w:t>Maximum</w:t>
            </w:r>
            <w:r w:rsidR="71E5ED29" w:rsidRPr="655C458F">
              <w:rPr>
                <w:rFonts w:ascii="Arial" w:eastAsia="Arial" w:hAnsi="Arial" w:cs="Arial"/>
                <w:b/>
                <w:bCs/>
                <w:sz w:val="24"/>
                <w:szCs w:val="24"/>
              </w:rPr>
              <w:t xml:space="preserve"> </w:t>
            </w:r>
            <w:r w:rsidR="00A62E6B" w:rsidRPr="001D456C">
              <w:rPr>
                <w:rFonts w:ascii="Arial" w:eastAsia="Arial" w:hAnsi="Arial" w:cs="Arial"/>
                <w:b/>
                <w:sz w:val="24"/>
                <w:szCs w:val="24"/>
              </w:rPr>
              <w:t>Score Available</w:t>
            </w:r>
          </w:p>
        </w:tc>
      </w:tr>
      <w:tr w:rsidR="001D456C" w:rsidRPr="001D456C" w14:paraId="3CC9FAF5" w14:textId="77777777" w:rsidTr="655C458F">
        <w:trPr>
          <w:trHeight w:val="1447"/>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2DA7EE" w14:textId="1047F279" w:rsidR="00A62E6B" w:rsidRPr="00CC43D3" w:rsidRDefault="00FE66FB" w:rsidP="003B3EF0">
            <w:pPr>
              <w:shd w:val="clear" w:color="auto" w:fill="FFFFFF"/>
              <w:spacing w:before="100" w:after="75"/>
              <w:rPr>
                <w:rFonts w:ascii="Arial" w:hAnsi="Arial" w:cs="Arial"/>
                <w:b/>
                <w:bCs/>
                <w:sz w:val="24"/>
                <w:szCs w:val="24"/>
              </w:rPr>
            </w:pPr>
            <w:r w:rsidRPr="00CC43D3">
              <w:rPr>
                <w:rFonts w:ascii="Arial" w:hAnsi="Arial" w:cs="Arial"/>
                <w:sz w:val="24"/>
                <w:szCs w:val="24"/>
              </w:rPr>
              <w:t>With reference to Document 3 (Service Specification) and guidance below, please set out how you will deliver the required policy solution.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905DFC" w14:textId="5E7A8ACB" w:rsidR="00A62E6B" w:rsidRPr="001D456C" w:rsidRDefault="000E7F2E" w:rsidP="00F850EA">
            <w:pPr>
              <w:tabs>
                <w:tab w:val="left" w:pos="1843"/>
              </w:tabs>
              <w:spacing w:before="60" w:after="60"/>
              <w:jc w:val="center"/>
              <w:rPr>
                <w:rFonts w:ascii="Arial" w:eastAsia="Arial" w:hAnsi="Arial" w:cs="Arial"/>
                <w:sz w:val="24"/>
                <w:szCs w:val="24"/>
              </w:rPr>
            </w:pPr>
            <w:r w:rsidRPr="001D456C">
              <w:rPr>
                <w:rFonts w:ascii="Arial" w:eastAsia="Arial" w:hAnsi="Arial" w:cs="Arial"/>
                <w:sz w:val="24"/>
                <w:szCs w:val="24"/>
              </w:rPr>
              <w:t>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15E3D4" w14:textId="6E51D3EA" w:rsidR="5047658E" w:rsidRPr="655C458F" w:rsidRDefault="5047658E" w:rsidP="655C458F">
            <w:pPr>
              <w:jc w:val="center"/>
              <w:rPr>
                <w:rFonts w:ascii="Arial" w:eastAsia="Arial" w:hAnsi="Arial" w:cs="Arial"/>
                <w:sz w:val="24"/>
                <w:szCs w:val="24"/>
              </w:rPr>
            </w:pPr>
            <w:r w:rsidRPr="655C458F">
              <w:rPr>
                <w:rFonts w:ascii="Arial" w:eastAsia="Arial" w:hAnsi="Arial" w:cs="Arial"/>
                <w:sz w:val="24"/>
                <w:szCs w:val="24"/>
              </w:rPr>
              <w:t>5</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723E39" w14:textId="40C49E2D" w:rsidR="00A62E6B" w:rsidRPr="001D456C" w:rsidRDefault="00E93D65" w:rsidP="00F850EA">
            <w:pPr>
              <w:tabs>
                <w:tab w:val="left" w:pos="1843"/>
              </w:tabs>
              <w:spacing w:before="60" w:after="60"/>
              <w:jc w:val="center"/>
              <w:rPr>
                <w:rFonts w:ascii="Arial" w:eastAsia="Arial" w:hAnsi="Arial" w:cs="Arial"/>
                <w:sz w:val="24"/>
                <w:szCs w:val="24"/>
              </w:rPr>
            </w:pPr>
            <w:r w:rsidRPr="001D456C">
              <w:rPr>
                <w:rFonts w:ascii="Arial" w:eastAsia="Arial" w:hAnsi="Arial" w:cs="Arial"/>
                <w:sz w:val="24"/>
                <w:szCs w:val="24"/>
              </w:rPr>
              <w:t>25</w:t>
            </w:r>
          </w:p>
        </w:tc>
      </w:tr>
      <w:tr w:rsidR="001D456C" w:rsidRPr="001D456C" w14:paraId="61A35CCE" w14:textId="77777777" w:rsidTr="655C458F">
        <w:trPr>
          <w:trHeight w:val="1456"/>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D5236" w14:textId="5F6186A8" w:rsidR="00A62E6B" w:rsidRPr="00CC43D3" w:rsidRDefault="00D603E6" w:rsidP="00D603E6">
            <w:pPr>
              <w:shd w:val="clear" w:color="auto" w:fill="FFFFFF"/>
              <w:spacing w:before="100" w:after="75"/>
              <w:rPr>
                <w:rFonts w:ascii="Arial" w:hAnsi="Arial" w:cs="Arial"/>
                <w:b/>
                <w:bCs/>
                <w:sz w:val="24"/>
                <w:szCs w:val="24"/>
              </w:rPr>
            </w:pPr>
            <w:r w:rsidRPr="00CC43D3">
              <w:rPr>
                <w:rFonts w:ascii="Arial" w:hAnsi="Arial" w:cs="Arial"/>
                <w:sz w:val="24"/>
                <w:szCs w:val="24"/>
              </w:rPr>
              <w:lastRenderedPageBreak/>
              <w:t>With reference to Document 3 (Service Specification) and guidance below, please set out how you will meet the required user research and digital skill requirements.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37A6DA" w14:textId="75A56B8A" w:rsidR="00A62E6B" w:rsidRPr="001D456C" w:rsidRDefault="20D0093C" w:rsidP="00F850EA">
            <w:pPr>
              <w:tabs>
                <w:tab w:val="left" w:pos="1843"/>
              </w:tabs>
              <w:spacing w:before="60" w:after="60"/>
              <w:jc w:val="center"/>
              <w:rPr>
                <w:rFonts w:ascii="Arial" w:eastAsia="Arial" w:hAnsi="Arial" w:cs="Arial"/>
                <w:sz w:val="24"/>
                <w:szCs w:val="24"/>
              </w:rPr>
            </w:pPr>
            <w:r w:rsidRPr="655C458F">
              <w:rPr>
                <w:rFonts w:ascii="Arial" w:eastAsia="Arial" w:hAnsi="Arial" w:cs="Arial"/>
                <w:sz w:val="24"/>
                <w:szCs w:val="24"/>
              </w:rPr>
              <w:t>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EDCA9D" w14:textId="0E06F3C8" w:rsidR="5047658E" w:rsidRPr="655C458F" w:rsidRDefault="5047658E" w:rsidP="00A45D7F">
            <w:pPr>
              <w:jc w:val="center"/>
              <w:rPr>
                <w:rFonts w:ascii="Arial" w:eastAsia="Arial" w:hAnsi="Arial" w:cs="Arial"/>
                <w:sz w:val="24"/>
                <w:szCs w:val="24"/>
              </w:rPr>
            </w:pPr>
            <w:r w:rsidRPr="655C458F">
              <w:rPr>
                <w:rFonts w:ascii="Arial" w:eastAsia="Arial" w:hAnsi="Arial" w:cs="Arial"/>
                <w:sz w:val="24"/>
                <w:szCs w:val="24"/>
              </w:rPr>
              <w:t>4</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08CCBD" w14:textId="458C26EC" w:rsidR="00A62E6B" w:rsidRPr="001D456C" w:rsidRDefault="001C1D1D" w:rsidP="00F850EA">
            <w:pPr>
              <w:tabs>
                <w:tab w:val="left" w:pos="1843"/>
              </w:tabs>
              <w:spacing w:before="60" w:after="60"/>
              <w:jc w:val="center"/>
              <w:rPr>
                <w:rFonts w:ascii="Arial" w:eastAsia="Arial" w:hAnsi="Arial" w:cs="Arial"/>
                <w:sz w:val="24"/>
                <w:szCs w:val="24"/>
              </w:rPr>
            </w:pPr>
            <w:r w:rsidRPr="001D456C">
              <w:rPr>
                <w:rFonts w:ascii="Arial" w:eastAsia="Arial" w:hAnsi="Arial" w:cs="Arial"/>
                <w:sz w:val="24"/>
                <w:szCs w:val="24"/>
              </w:rPr>
              <w:t>20</w:t>
            </w:r>
          </w:p>
        </w:tc>
      </w:tr>
      <w:tr w:rsidR="001D456C" w:rsidRPr="001D456C" w14:paraId="63AA9C99" w14:textId="77777777" w:rsidTr="655C458F">
        <w:trPr>
          <w:trHeight w:val="1431"/>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2546" w14:textId="6553C835" w:rsidR="00A62E6B" w:rsidRPr="00CC43D3" w:rsidRDefault="00A804D7" w:rsidP="009D2642">
            <w:pPr>
              <w:rPr>
                <w:rFonts w:ascii="Arial" w:hAnsi="Arial" w:cs="Arial"/>
                <w:sz w:val="24"/>
                <w:szCs w:val="24"/>
              </w:rPr>
            </w:pPr>
            <w:r w:rsidRPr="00CC43D3">
              <w:rPr>
                <w:rFonts w:ascii="Arial" w:hAnsi="Arial" w:cs="Arial"/>
                <w:sz w:val="24"/>
                <w:szCs w:val="24"/>
              </w:rPr>
              <w:t>With reference to Document 3 (Service Specification) and guidance below, please set out how you will fulfil the project and risk management requirements.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9ED17C" w14:textId="31AA16EF" w:rsidR="00A62E6B" w:rsidRPr="001D456C" w:rsidRDefault="6B4873AD" w:rsidP="00F850EA">
            <w:pPr>
              <w:tabs>
                <w:tab w:val="left" w:pos="1843"/>
              </w:tabs>
              <w:spacing w:before="60" w:after="60"/>
              <w:jc w:val="center"/>
              <w:rPr>
                <w:rFonts w:ascii="Arial" w:eastAsia="Arial" w:hAnsi="Arial" w:cs="Arial"/>
                <w:sz w:val="24"/>
                <w:szCs w:val="24"/>
              </w:rPr>
            </w:pPr>
            <w:r w:rsidRPr="655C458F">
              <w:rPr>
                <w:rFonts w:ascii="Arial" w:eastAsia="Arial" w:hAnsi="Arial" w:cs="Arial"/>
                <w:sz w:val="24"/>
                <w:szCs w:val="24"/>
              </w:rPr>
              <w:t>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B1F4BC" w14:textId="4F97B200" w:rsidR="48066021" w:rsidRPr="655C458F" w:rsidRDefault="48066021" w:rsidP="655C458F">
            <w:pPr>
              <w:jc w:val="center"/>
              <w:rPr>
                <w:rFonts w:ascii="Arial" w:eastAsia="Arial" w:hAnsi="Arial" w:cs="Arial"/>
                <w:sz w:val="24"/>
                <w:szCs w:val="24"/>
              </w:rPr>
            </w:pPr>
            <w:r w:rsidRPr="655C458F">
              <w:rPr>
                <w:rFonts w:ascii="Arial" w:eastAsia="Arial" w:hAnsi="Arial" w:cs="Arial"/>
                <w:sz w:val="24"/>
                <w:szCs w:val="24"/>
              </w:rPr>
              <w:t>3</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D760D4" w14:textId="3A498EC1" w:rsidR="00A62E6B" w:rsidRPr="001D456C" w:rsidRDefault="00F1165E" w:rsidP="00F850EA">
            <w:pPr>
              <w:tabs>
                <w:tab w:val="left" w:pos="1843"/>
              </w:tabs>
              <w:spacing w:before="60" w:after="60"/>
              <w:jc w:val="center"/>
              <w:rPr>
                <w:rFonts w:ascii="Arial" w:eastAsia="Arial" w:hAnsi="Arial" w:cs="Arial"/>
                <w:sz w:val="24"/>
                <w:szCs w:val="24"/>
              </w:rPr>
            </w:pPr>
            <w:r w:rsidRPr="001D456C">
              <w:rPr>
                <w:rFonts w:ascii="Arial" w:eastAsia="Arial" w:hAnsi="Arial" w:cs="Arial"/>
                <w:sz w:val="24"/>
                <w:szCs w:val="24"/>
              </w:rPr>
              <w:t>15</w:t>
            </w:r>
          </w:p>
        </w:tc>
      </w:tr>
      <w:tr w:rsidR="001D456C" w:rsidRPr="001D456C" w14:paraId="2FDDF9FC" w14:textId="77777777" w:rsidTr="655C458F">
        <w:trPr>
          <w:trHeight w:val="588"/>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695E4" w14:textId="6430F6D6" w:rsidR="00A62E6B" w:rsidRPr="00CC43D3" w:rsidRDefault="004B2C5A" w:rsidP="004B2C5A">
            <w:pPr>
              <w:pStyle w:val="NoSpacing"/>
              <w:rPr>
                <w:rFonts w:cs="Arial"/>
                <w:szCs w:val="24"/>
              </w:rPr>
            </w:pPr>
            <w:r w:rsidRPr="00CC43D3">
              <w:rPr>
                <w:rFonts w:cs="Arial"/>
                <w:szCs w:val="24"/>
              </w:rPr>
              <w:t>Please set out how you will fulfil the Social Value requirements.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F10C6A" w14:textId="07C6182B" w:rsidR="00A62E6B" w:rsidRPr="001D456C" w:rsidRDefault="6B4873AD" w:rsidP="00F850EA">
            <w:pPr>
              <w:tabs>
                <w:tab w:val="left" w:pos="1843"/>
              </w:tabs>
              <w:spacing w:before="60" w:after="60"/>
              <w:jc w:val="center"/>
              <w:rPr>
                <w:rFonts w:ascii="Arial" w:eastAsia="Arial" w:hAnsi="Arial" w:cs="Arial"/>
                <w:sz w:val="24"/>
                <w:szCs w:val="24"/>
              </w:rPr>
            </w:pPr>
            <w:r w:rsidRPr="655C458F">
              <w:rPr>
                <w:rFonts w:ascii="Arial" w:eastAsia="Arial" w:hAnsi="Arial" w:cs="Arial"/>
                <w:sz w:val="24"/>
                <w:szCs w:val="24"/>
              </w:rPr>
              <w:t>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479245" w14:textId="50766D5A" w:rsidR="48066021" w:rsidRPr="655C458F" w:rsidRDefault="48066021" w:rsidP="655C458F">
            <w:pPr>
              <w:jc w:val="center"/>
              <w:rPr>
                <w:rFonts w:ascii="Arial" w:eastAsia="Arial" w:hAnsi="Arial" w:cs="Arial"/>
                <w:sz w:val="24"/>
                <w:szCs w:val="24"/>
              </w:rPr>
            </w:pPr>
            <w:r w:rsidRPr="655C458F">
              <w:rPr>
                <w:rFonts w:ascii="Arial" w:eastAsia="Arial" w:hAnsi="Arial" w:cs="Arial"/>
                <w:sz w:val="24"/>
                <w:szCs w:val="24"/>
              </w:rPr>
              <w:t>2</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762E60" w14:textId="69E6F1B5" w:rsidR="00A62E6B" w:rsidRPr="001D456C" w:rsidRDefault="002C4F16" w:rsidP="00F850EA">
            <w:pPr>
              <w:tabs>
                <w:tab w:val="left" w:pos="1843"/>
              </w:tabs>
              <w:spacing w:before="60" w:after="60"/>
              <w:jc w:val="center"/>
              <w:rPr>
                <w:rFonts w:ascii="Arial" w:eastAsia="Arial" w:hAnsi="Arial" w:cs="Arial"/>
                <w:sz w:val="24"/>
                <w:szCs w:val="24"/>
              </w:rPr>
            </w:pPr>
            <w:r w:rsidRPr="001D456C">
              <w:rPr>
                <w:rFonts w:ascii="Arial" w:eastAsia="Arial" w:hAnsi="Arial" w:cs="Arial"/>
                <w:sz w:val="24"/>
                <w:szCs w:val="24"/>
              </w:rPr>
              <w:t>10</w:t>
            </w:r>
          </w:p>
        </w:tc>
      </w:tr>
      <w:tr w:rsidR="001D456C" w:rsidRPr="001D456C" w14:paraId="6DBDC3B2" w14:textId="77777777" w:rsidTr="655C458F">
        <w:trPr>
          <w:trHeight w:val="453"/>
        </w:trPr>
        <w:tc>
          <w:tcPr>
            <w:tcW w:w="6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Mar>
              <w:top w:w="0" w:type="dxa"/>
              <w:left w:w="108" w:type="dxa"/>
              <w:bottom w:w="0" w:type="dxa"/>
              <w:right w:w="108" w:type="dxa"/>
            </w:tcMar>
          </w:tcPr>
          <w:p w14:paraId="66C23A20" w14:textId="77777777" w:rsidR="00A62E6B" w:rsidRPr="001D456C" w:rsidRDefault="00A62E6B" w:rsidP="00F850EA">
            <w:pPr>
              <w:tabs>
                <w:tab w:val="left" w:pos="1843"/>
              </w:tabs>
              <w:spacing w:before="60" w:after="60"/>
              <w:jc w:val="center"/>
              <w:rPr>
                <w:rFonts w:ascii="Arial" w:eastAsia="Arial" w:hAnsi="Arial" w:cs="Arial"/>
                <w:b/>
                <w:sz w:val="24"/>
                <w:szCs w:val="24"/>
              </w:rPr>
            </w:pPr>
            <w:r w:rsidRPr="001D456C">
              <w:rPr>
                <w:rFonts w:ascii="Arial" w:eastAsia="Arial" w:hAnsi="Arial" w:cs="Arial"/>
                <w:b/>
                <w:sz w:val="24"/>
                <w:szCs w:val="24"/>
              </w:rPr>
              <w:t>Maximum Score Available</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Mar>
              <w:top w:w="0" w:type="dxa"/>
              <w:left w:w="108" w:type="dxa"/>
              <w:bottom w:w="0" w:type="dxa"/>
              <w:right w:w="108" w:type="dxa"/>
            </w:tcMar>
          </w:tcPr>
          <w:p w14:paraId="14BBEA17" w14:textId="301A4382" w:rsidR="655C458F" w:rsidRDefault="655C458F" w:rsidP="655C458F">
            <w:pPr>
              <w:jc w:val="center"/>
              <w:rPr>
                <w:rFonts w:ascii="Arial" w:eastAsia="Arial" w:hAnsi="Arial" w:cs="Arial"/>
                <w:b/>
                <w:bCs/>
                <w:sz w:val="24"/>
                <w:szCs w:val="24"/>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CDB81" w14:textId="76061951" w:rsidR="00A62E6B" w:rsidRPr="001D456C" w:rsidRDefault="00A62E6B" w:rsidP="00F850EA">
            <w:pPr>
              <w:tabs>
                <w:tab w:val="left" w:pos="1843"/>
              </w:tabs>
              <w:spacing w:before="60" w:after="60"/>
              <w:jc w:val="center"/>
              <w:rPr>
                <w:rFonts w:ascii="Arial" w:eastAsia="Arial" w:hAnsi="Arial" w:cs="Arial"/>
                <w:b/>
                <w:sz w:val="24"/>
                <w:szCs w:val="24"/>
              </w:rPr>
            </w:pPr>
            <w:r w:rsidRPr="001D456C">
              <w:rPr>
                <w:rFonts w:ascii="Arial" w:eastAsia="Arial" w:hAnsi="Arial" w:cs="Arial"/>
                <w:b/>
                <w:sz w:val="24"/>
                <w:szCs w:val="24"/>
              </w:rPr>
              <w:t xml:space="preserve">70 </w:t>
            </w:r>
          </w:p>
        </w:tc>
      </w:tr>
    </w:tbl>
    <w:p w14:paraId="240969B8" w14:textId="630637BA" w:rsidR="00A62E6B" w:rsidRPr="00A2657A" w:rsidRDefault="00A62E6B" w:rsidP="002D7D57">
      <w:pPr>
        <w:spacing w:before="100" w:beforeAutospacing="1" w:after="100" w:afterAutospacing="1" w:line="240" w:lineRule="auto"/>
        <w:ind w:left="992" w:hanging="992"/>
        <w:rPr>
          <w:rFonts w:ascii="Arial" w:hAnsi="Arial" w:cs="Arial"/>
          <w:sz w:val="24"/>
          <w:szCs w:val="24"/>
        </w:rPr>
      </w:pPr>
      <w:r w:rsidRPr="00A2657A">
        <w:rPr>
          <w:rFonts w:ascii="Arial" w:eastAsia="Arial" w:hAnsi="Arial" w:cs="Arial"/>
          <w:sz w:val="24"/>
          <w:szCs w:val="24"/>
        </w:rPr>
        <w:t>15.3.1.4</w:t>
      </w:r>
      <w:r w:rsidRPr="00A2657A">
        <w:rPr>
          <w:rFonts w:ascii="Arial" w:eastAsia="Arial" w:hAnsi="Arial" w:cs="Arial"/>
          <w:sz w:val="24"/>
          <w:szCs w:val="24"/>
        </w:rPr>
        <w:tab/>
      </w:r>
      <w:r w:rsidRPr="00CC43D3">
        <w:rPr>
          <w:rFonts w:ascii="Arial" w:eastAsia="Arial" w:hAnsi="Arial" w:cs="Arial"/>
          <w:sz w:val="24"/>
          <w:szCs w:val="24"/>
        </w:rPr>
        <w:t>The weighted score for each response will be added together to determine a total “</w:t>
      </w:r>
      <w:r w:rsidRPr="00CC43D3">
        <w:rPr>
          <w:rFonts w:ascii="Arial" w:eastAsia="Arial" w:hAnsi="Arial" w:cs="Arial"/>
          <w:b/>
          <w:sz w:val="24"/>
          <w:szCs w:val="24"/>
        </w:rPr>
        <w:t>Quality Score</w:t>
      </w:r>
      <w:r w:rsidRPr="00CC43D3">
        <w:rPr>
          <w:rFonts w:ascii="Arial" w:eastAsia="Arial" w:hAnsi="Arial" w:cs="Arial"/>
          <w:sz w:val="24"/>
          <w:szCs w:val="24"/>
        </w:rPr>
        <w:t>” for the Quality Evaluation out of 70.</w:t>
      </w:r>
    </w:p>
    <w:p w14:paraId="18297A9C" w14:textId="66908E2B" w:rsidR="00A62E6B" w:rsidRPr="00A2657A" w:rsidRDefault="00A62E6B" w:rsidP="002D7D57">
      <w:pPr>
        <w:spacing w:before="100" w:beforeAutospacing="1" w:after="100" w:afterAutospacing="1" w:line="240" w:lineRule="auto"/>
        <w:ind w:left="992" w:hanging="992"/>
        <w:rPr>
          <w:rFonts w:ascii="Arial" w:hAnsi="Arial" w:cs="Arial"/>
          <w:sz w:val="24"/>
          <w:szCs w:val="24"/>
        </w:rPr>
      </w:pPr>
      <w:r w:rsidRPr="00A2657A">
        <w:rPr>
          <w:rFonts w:ascii="Arial" w:eastAsia="Arial" w:hAnsi="Arial" w:cs="Arial"/>
          <w:sz w:val="24"/>
          <w:szCs w:val="24"/>
        </w:rPr>
        <w:t>15.3.1.5</w:t>
      </w:r>
      <w:r>
        <w:tab/>
      </w:r>
      <w:r w:rsidRPr="00CC43D3">
        <w:rPr>
          <w:rFonts w:ascii="Arial" w:eastAsia="Arial" w:hAnsi="Arial" w:cs="Arial"/>
          <w:sz w:val="24"/>
          <w:szCs w:val="24"/>
        </w:rPr>
        <w:t>Tenders that do not receive a Quality Score of 42 or above</w:t>
      </w:r>
      <w:r w:rsidR="00CC04BA">
        <w:rPr>
          <w:rFonts w:ascii="Arial" w:eastAsia="Arial" w:hAnsi="Arial" w:cs="Arial"/>
          <w:sz w:val="24"/>
          <w:szCs w:val="24"/>
        </w:rPr>
        <w:t xml:space="preserve"> will</w:t>
      </w:r>
      <w:r w:rsidRPr="00CC43D3">
        <w:rPr>
          <w:rFonts w:ascii="Arial" w:eastAsia="Arial" w:hAnsi="Arial" w:cs="Arial"/>
          <w:sz w:val="24"/>
          <w:szCs w:val="24"/>
        </w:rPr>
        <w:t>, in line with the quality threshold outlined in paragraph 15.2, be excluded from further participation in the procurement.</w:t>
      </w:r>
    </w:p>
    <w:p w14:paraId="0A516015" w14:textId="3B04EA16" w:rsidR="00A62E6B" w:rsidRPr="00A2657A" w:rsidRDefault="00A62E6B" w:rsidP="00C60649">
      <w:pPr>
        <w:spacing w:before="120" w:after="120"/>
        <w:ind w:right="120"/>
        <w:rPr>
          <w:rFonts w:ascii="Arial" w:hAnsi="Arial" w:cs="Arial"/>
          <w:sz w:val="24"/>
          <w:szCs w:val="24"/>
        </w:rPr>
      </w:pPr>
      <w:r w:rsidRPr="00A2657A">
        <w:rPr>
          <w:rFonts w:ascii="Arial" w:eastAsia="Arial" w:hAnsi="Arial" w:cs="Arial"/>
          <w:sz w:val="24"/>
          <w:szCs w:val="24"/>
        </w:rPr>
        <w:t>15.4</w:t>
      </w:r>
      <w:r w:rsidRPr="00A2657A">
        <w:rPr>
          <w:rFonts w:ascii="Arial" w:eastAsia="Arial" w:hAnsi="Arial" w:cs="Arial"/>
          <w:sz w:val="24"/>
          <w:szCs w:val="24"/>
        </w:rPr>
        <w:tab/>
      </w:r>
      <w:r w:rsidRPr="00A2657A">
        <w:rPr>
          <w:rFonts w:ascii="Arial" w:eastAsia="Arial" w:hAnsi="Arial" w:cs="Arial"/>
          <w:b/>
          <w:sz w:val="24"/>
          <w:szCs w:val="24"/>
        </w:rPr>
        <w:t>Clarification / V</w:t>
      </w:r>
      <w:r w:rsidR="00C25275">
        <w:rPr>
          <w:rFonts w:ascii="Arial" w:eastAsia="Arial" w:hAnsi="Arial" w:cs="Arial"/>
          <w:b/>
          <w:sz w:val="24"/>
          <w:szCs w:val="24"/>
        </w:rPr>
        <w:t>erification</w:t>
      </w:r>
    </w:p>
    <w:p w14:paraId="6EDFBBF3" w14:textId="37CD91E4" w:rsidR="00A62E6B" w:rsidRPr="00A2657A" w:rsidRDefault="00A62E6B" w:rsidP="00A62E6B">
      <w:pPr>
        <w:spacing w:before="120" w:after="120"/>
        <w:ind w:left="851" w:right="120" w:hanging="851"/>
        <w:rPr>
          <w:rFonts w:ascii="Arial" w:eastAsia="Arial" w:hAnsi="Arial" w:cs="Arial"/>
          <w:sz w:val="24"/>
          <w:szCs w:val="24"/>
        </w:rPr>
      </w:pPr>
      <w:r w:rsidRPr="00A2657A">
        <w:rPr>
          <w:rFonts w:ascii="Arial" w:eastAsia="Arial" w:hAnsi="Arial" w:cs="Arial"/>
          <w:sz w:val="24"/>
          <w:szCs w:val="24"/>
        </w:rPr>
        <w:t>15.4.1</w:t>
      </w:r>
      <w:r>
        <w:tab/>
      </w:r>
      <w:r w:rsidRPr="00A2657A">
        <w:rPr>
          <w:rFonts w:ascii="Arial" w:eastAsia="Arial" w:hAnsi="Arial" w:cs="Arial"/>
          <w:sz w:val="24"/>
          <w:szCs w:val="24"/>
        </w:rPr>
        <w:t>Following the Quality Evaluation the Authority reserves the right to seek clarification/v</w:t>
      </w:r>
      <w:r w:rsidR="00C25275">
        <w:rPr>
          <w:rFonts w:ascii="Arial" w:eastAsia="Arial" w:hAnsi="Arial" w:cs="Arial"/>
          <w:sz w:val="24"/>
          <w:szCs w:val="24"/>
        </w:rPr>
        <w:t>erification</w:t>
      </w:r>
      <w:r w:rsidRPr="00A2657A">
        <w:rPr>
          <w:rFonts w:ascii="Arial" w:eastAsia="Arial" w:hAnsi="Arial" w:cs="Arial"/>
          <w:sz w:val="24"/>
          <w:szCs w:val="24"/>
        </w:rPr>
        <w:t xml:space="preserve"> on elements of a Potential Contractors response(s) before awarding a final score. This could be either as correspondence via the messaging facility in the e-Sourcing Suite or as a face</w:t>
      </w:r>
      <w:r w:rsidR="58637713" w:rsidRPr="45DE352B">
        <w:rPr>
          <w:rFonts w:ascii="Arial" w:eastAsia="Arial" w:hAnsi="Arial" w:cs="Arial"/>
          <w:sz w:val="24"/>
          <w:szCs w:val="24"/>
        </w:rPr>
        <w:t>-</w:t>
      </w:r>
      <w:r w:rsidRPr="00A2657A">
        <w:rPr>
          <w:rFonts w:ascii="Arial" w:eastAsia="Arial" w:hAnsi="Arial" w:cs="Arial"/>
          <w:sz w:val="24"/>
          <w:szCs w:val="24"/>
        </w:rPr>
        <w:t>to</w:t>
      </w:r>
      <w:r w:rsidR="58637713" w:rsidRPr="45DE352B">
        <w:rPr>
          <w:rFonts w:ascii="Arial" w:eastAsia="Arial" w:hAnsi="Arial" w:cs="Arial"/>
          <w:sz w:val="24"/>
          <w:szCs w:val="24"/>
        </w:rPr>
        <w:t>-</w:t>
      </w:r>
      <w:r w:rsidRPr="00A2657A">
        <w:rPr>
          <w:rFonts w:ascii="Arial" w:eastAsia="Arial" w:hAnsi="Arial" w:cs="Arial"/>
          <w:sz w:val="24"/>
          <w:szCs w:val="24"/>
        </w:rPr>
        <w:t>face interview.</w:t>
      </w:r>
    </w:p>
    <w:p w14:paraId="183A4D92" w14:textId="6233348D" w:rsidR="00A62E6B" w:rsidRPr="00A2657A" w:rsidRDefault="00A62E6B" w:rsidP="00A62E6B">
      <w:pPr>
        <w:spacing w:before="120" w:after="120"/>
        <w:ind w:left="851" w:right="120" w:hanging="851"/>
        <w:rPr>
          <w:rFonts w:ascii="Arial" w:eastAsia="Arial" w:hAnsi="Arial" w:cs="Arial"/>
          <w:sz w:val="24"/>
          <w:szCs w:val="24"/>
        </w:rPr>
      </w:pPr>
      <w:r w:rsidRPr="00A2657A">
        <w:rPr>
          <w:rFonts w:ascii="Arial" w:eastAsia="Arial" w:hAnsi="Arial" w:cs="Arial"/>
          <w:sz w:val="24"/>
          <w:szCs w:val="24"/>
        </w:rPr>
        <w:t>15.4.2</w:t>
      </w:r>
      <w:r w:rsidRPr="00A2657A">
        <w:rPr>
          <w:rFonts w:ascii="Arial" w:eastAsia="Arial" w:hAnsi="Arial" w:cs="Arial"/>
          <w:sz w:val="24"/>
          <w:szCs w:val="24"/>
        </w:rPr>
        <w:tab/>
        <w:t>The context provided by the Potential Contractor will be used to clarify and/or v</w:t>
      </w:r>
      <w:r w:rsidR="00C25275">
        <w:rPr>
          <w:rFonts w:ascii="Arial" w:eastAsia="Arial" w:hAnsi="Arial" w:cs="Arial"/>
          <w:sz w:val="24"/>
          <w:szCs w:val="24"/>
        </w:rPr>
        <w:t>erify</w:t>
      </w:r>
      <w:r w:rsidRPr="00A2657A">
        <w:rPr>
          <w:rFonts w:ascii="Arial" w:eastAsia="Arial" w:hAnsi="Arial" w:cs="Arial"/>
          <w:sz w:val="24"/>
          <w:szCs w:val="24"/>
        </w:rPr>
        <w:t xml:space="preserve"> the original response(s) to the Quality Evaluation and therefore may impact on the moderated score. On receipt of Potential Contractors response(s) to clarification/v</w:t>
      </w:r>
      <w:r w:rsidR="00F935F1">
        <w:rPr>
          <w:rFonts w:ascii="Arial" w:eastAsia="Arial" w:hAnsi="Arial" w:cs="Arial"/>
          <w:sz w:val="24"/>
          <w:szCs w:val="24"/>
        </w:rPr>
        <w:t>erification</w:t>
      </w:r>
      <w:r w:rsidRPr="00A2657A">
        <w:rPr>
          <w:rFonts w:ascii="Arial" w:eastAsia="Arial" w:hAnsi="Arial" w:cs="Arial"/>
          <w:sz w:val="24"/>
          <w:szCs w:val="24"/>
        </w:rPr>
        <w:t xml:space="preserve"> questions the evaluation panel will re-convene to agree a final score in light of the context provided. </w:t>
      </w:r>
    </w:p>
    <w:p w14:paraId="0FBE89EC" w14:textId="34694756" w:rsidR="00A62E6B" w:rsidRPr="00A2657A" w:rsidRDefault="00A62E6B" w:rsidP="00A62E6B">
      <w:pPr>
        <w:spacing w:before="120" w:after="120"/>
        <w:ind w:left="851" w:right="120" w:hanging="851"/>
        <w:rPr>
          <w:rFonts w:ascii="Arial" w:eastAsia="Arial" w:hAnsi="Arial" w:cs="Arial"/>
          <w:sz w:val="24"/>
          <w:szCs w:val="24"/>
        </w:rPr>
      </w:pPr>
      <w:r w:rsidRPr="00A2657A">
        <w:rPr>
          <w:rFonts w:ascii="Arial" w:eastAsia="Arial" w:hAnsi="Arial" w:cs="Arial"/>
          <w:sz w:val="24"/>
          <w:szCs w:val="24"/>
        </w:rPr>
        <w:t>15.4.3</w:t>
      </w:r>
      <w:r w:rsidRPr="00A2657A">
        <w:rPr>
          <w:rFonts w:ascii="Arial" w:eastAsia="Arial" w:hAnsi="Arial" w:cs="Arial"/>
          <w:sz w:val="24"/>
          <w:szCs w:val="24"/>
        </w:rPr>
        <w:tab/>
        <w:t>The clarification/v</w:t>
      </w:r>
      <w:r w:rsidR="00F935F1">
        <w:rPr>
          <w:rFonts w:ascii="Arial" w:eastAsia="Arial" w:hAnsi="Arial" w:cs="Arial"/>
          <w:sz w:val="24"/>
          <w:szCs w:val="24"/>
        </w:rPr>
        <w:t>erification</w:t>
      </w:r>
      <w:r w:rsidRPr="00A2657A">
        <w:rPr>
          <w:rFonts w:ascii="Arial" w:eastAsia="Arial" w:hAnsi="Arial" w:cs="Arial"/>
          <w:sz w:val="24"/>
          <w:szCs w:val="24"/>
        </w:rPr>
        <w:t xml:space="preserve"> process is not an opportunity for Potential Contractors to provide additional information or address omissions within their tender responses. The questions asked will be specific to elements of the quality evaluation responses that have been identified as requiring clarification/v</w:t>
      </w:r>
      <w:r w:rsidR="00F935F1">
        <w:rPr>
          <w:rFonts w:ascii="Arial" w:eastAsia="Arial" w:hAnsi="Arial" w:cs="Arial"/>
          <w:sz w:val="24"/>
          <w:szCs w:val="24"/>
        </w:rPr>
        <w:t>erification</w:t>
      </w:r>
      <w:r w:rsidRPr="00A2657A">
        <w:rPr>
          <w:rFonts w:ascii="Arial" w:eastAsia="Arial" w:hAnsi="Arial" w:cs="Arial"/>
          <w:sz w:val="24"/>
          <w:szCs w:val="24"/>
        </w:rPr>
        <w:t xml:space="preserve"> and should an interview be </w:t>
      </w:r>
      <w:proofErr w:type="gramStart"/>
      <w:r w:rsidRPr="00A2657A">
        <w:rPr>
          <w:rFonts w:ascii="Arial" w:eastAsia="Arial" w:hAnsi="Arial" w:cs="Arial"/>
          <w:sz w:val="24"/>
          <w:szCs w:val="24"/>
        </w:rPr>
        <w:t>held</w:t>
      </w:r>
      <w:proofErr w:type="gramEnd"/>
      <w:r w:rsidRPr="00A2657A">
        <w:rPr>
          <w:rFonts w:ascii="Arial" w:eastAsia="Arial" w:hAnsi="Arial" w:cs="Arial"/>
          <w:sz w:val="24"/>
          <w:szCs w:val="24"/>
        </w:rPr>
        <w:t xml:space="preserve"> the Potential Contractor will be provided with the questions prior to the interview.    </w:t>
      </w:r>
    </w:p>
    <w:p w14:paraId="3D7A930F" w14:textId="68BB59D6" w:rsidR="002D7D57" w:rsidRPr="002D7D57" w:rsidRDefault="00A62E6B" w:rsidP="002D7D57">
      <w:pPr>
        <w:spacing w:before="120" w:after="120"/>
        <w:ind w:left="851" w:right="120" w:hanging="851"/>
        <w:rPr>
          <w:rFonts w:ascii="Arial" w:eastAsia="Arial" w:hAnsi="Arial" w:cs="Arial"/>
          <w:sz w:val="24"/>
          <w:szCs w:val="24"/>
        </w:rPr>
      </w:pPr>
      <w:r w:rsidRPr="00A2657A">
        <w:rPr>
          <w:rFonts w:ascii="Arial" w:eastAsia="Arial" w:hAnsi="Arial" w:cs="Arial"/>
          <w:sz w:val="24"/>
          <w:szCs w:val="24"/>
        </w:rPr>
        <w:t>15.4.4</w:t>
      </w:r>
      <w:r w:rsidRPr="00A2657A">
        <w:rPr>
          <w:rFonts w:ascii="Arial" w:eastAsia="Arial" w:hAnsi="Arial" w:cs="Arial"/>
          <w:sz w:val="24"/>
          <w:szCs w:val="24"/>
        </w:rPr>
        <w:tab/>
        <w:t>The decision to invite a Potential Contractor to a clarification interview is solely at the Authority’s discretion and there is no obligation to invite any or all Potential Contractors to interview. The Authority’s default approach is to manage clarifications via correspondence and interviews will only be held where the panel feel there is justification to do so.</w:t>
      </w:r>
    </w:p>
    <w:p w14:paraId="55F71981" w14:textId="6D449B57" w:rsidR="008C41F5" w:rsidRPr="00A2657A" w:rsidRDefault="00C60649" w:rsidP="008C41F5">
      <w:pPr>
        <w:pStyle w:val="NormalWeb"/>
        <w:rPr>
          <w:rFonts w:ascii="Arial" w:hAnsi="Arial" w:cs="Arial"/>
          <w:b/>
          <w:bCs/>
          <w:color w:val="000000"/>
        </w:rPr>
      </w:pPr>
      <w:r>
        <w:rPr>
          <w:rFonts w:ascii="Arial" w:hAnsi="Arial" w:cs="Arial"/>
          <w:b/>
          <w:bCs/>
          <w:color w:val="000000"/>
        </w:rPr>
        <w:t>15.5</w:t>
      </w:r>
      <w:r w:rsidR="000B0575">
        <w:rPr>
          <w:rFonts w:ascii="Arial" w:hAnsi="Arial" w:cs="Arial"/>
          <w:b/>
          <w:bCs/>
          <w:color w:val="000000"/>
        </w:rPr>
        <w:t xml:space="preserve"> </w:t>
      </w:r>
      <w:r w:rsidR="008C41F5" w:rsidRPr="00A2657A">
        <w:rPr>
          <w:rFonts w:ascii="Arial" w:hAnsi="Arial" w:cs="Arial"/>
          <w:b/>
          <w:bCs/>
          <w:color w:val="000000"/>
        </w:rPr>
        <w:t>Quality Scoring Scale</w:t>
      </w:r>
    </w:p>
    <w:p w14:paraId="32CB1CBC" w14:textId="4B9A1238" w:rsidR="00B11EA9" w:rsidRPr="00CC04BA" w:rsidRDefault="00C60649" w:rsidP="00B11EA9">
      <w:pPr>
        <w:pStyle w:val="NormalWeb"/>
        <w:rPr>
          <w:rFonts w:ascii="Arial" w:hAnsi="Arial" w:cs="Arial"/>
          <w:color w:val="000000" w:themeColor="text1"/>
        </w:rPr>
      </w:pPr>
      <w:r>
        <w:rPr>
          <w:rFonts w:ascii="Arial" w:hAnsi="Arial" w:cs="Arial"/>
          <w:color w:val="000000" w:themeColor="text1"/>
        </w:rPr>
        <w:lastRenderedPageBreak/>
        <w:t>15.5.1</w:t>
      </w:r>
      <w:r w:rsidR="000B0575">
        <w:rPr>
          <w:rFonts w:ascii="Arial" w:hAnsi="Arial" w:cs="Arial"/>
          <w:color w:val="000000" w:themeColor="text1"/>
        </w:rPr>
        <w:t xml:space="preserve"> </w:t>
      </w:r>
      <w:r w:rsidR="008C41F5" w:rsidRPr="45DE352B">
        <w:rPr>
          <w:rFonts w:ascii="Arial" w:hAnsi="Arial" w:cs="Arial"/>
          <w:color w:val="000000" w:themeColor="text1"/>
        </w:rPr>
        <w:t>The following scoring scale will be used:</w:t>
      </w:r>
    </w:p>
    <w:tbl>
      <w:tblPr>
        <w:tblStyle w:val="TableGrid"/>
        <w:tblW w:w="0" w:type="auto"/>
        <w:tblLayout w:type="fixed"/>
        <w:tblLook w:val="06A0" w:firstRow="1" w:lastRow="0" w:firstColumn="1" w:lastColumn="0" w:noHBand="1" w:noVBand="1"/>
      </w:tblPr>
      <w:tblGrid>
        <w:gridCol w:w="2190"/>
        <w:gridCol w:w="1740"/>
        <w:gridCol w:w="5085"/>
      </w:tblGrid>
      <w:tr w:rsidR="45DE352B" w14:paraId="20937DC3" w14:textId="77777777" w:rsidTr="45DE352B">
        <w:tc>
          <w:tcPr>
            <w:tcW w:w="2190" w:type="dxa"/>
          </w:tcPr>
          <w:p w14:paraId="43079A5B" w14:textId="3EBFE54E" w:rsidR="42E7A199" w:rsidRDefault="42E7A199" w:rsidP="45DE352B">
            <w:pPr>
              <w:pStyle w:val="NormalWeb"/>
              <w:jc w:val="center"/>
              <w:rPr>
                <w:color w:val="000000" w:themeColor="text1"/>
              </w:rPr>
            </w:pPr>
            <w:r w:rsidRPr="45DE352B">
              <w:rPr>
                <w:rFonts w:ascii="Arial" w:eastAsia="Arial" w:hAnsi="Arial" w:cs="Arial"/>
                <w:color w:val="000000" w:themeColor="text1"/>
              </w:rPr>
              <w:t>Assessment</w:t>
            </w:r>
          </w:p>
          <w:p w14:paraId="33628F00" w14:textId="73B9978C" w:rsidR="45DE352B" w:rsidRDefault="45DE352B" w:rsidP="45DE352B">
            <w:pPr>
              <w:pStyle w:val="NormalWeb"/>
              <w:jc w:val="center"/>
              <w:rPr>
                <w:color w:val="000000" w:themeColor="text1"/>
              </w:rPr>
            </w:pPr>
          </w:p>
        </w:tc>
        <w:tc>
          <w:tcPr>
            <w:tcW w:w="1740" w:type="dxa"/>
          </w:tcPr>
          <w:p w14:paraId="021327D8" w14:textId="1196AE50" w:rsidR="42E7A199" w:rsidRDefault="42E7A199"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Marks</w:t>
            </w:r>
          </w:p>
        </w:tc>
        <w:tc>
          <w:tcPr>
            <w:tcW w:w="5085" w:type="dxa"/>
          </w:tcPr>
          <w:p w14:paraId="13C01741" w14:textId="3A6B220A" w:rsidR="42E7A199" w:rsidRDefault="42E7A199"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Criteria</w:t>
            </w:r>
          </w:p>
        </w:tc>
      </w:tr>
      <w:tr w:rsidR="45DE352B" w14:paraId="3E8D9EE3" w14:textId="77777777" w:rsidTr="45DE352B">
        <w:tc>
          <w:tcPr>
            <w:tcW w:w="2190" w:type="dxa"/>
          </w:tcPr>
          <w:p w14:paraId="39A3F70D" w14:textId="3992B137" w:rsidR="45DE352B" w:rsidRDefault="45DE352B" w:rsidP="45DE352B">
            <w:pPr>
              <w:pStyle w:val="NormalWeb"/>
              <w:jc w:val="center"/>
              <w:rPr>
                <w:rFonts w:ascii="Arial" w:eastAsia="Arial" w:hAnsi="Arial" w:cs="Arial"/>
                <w:color w:val="000000" w:themeColor="text1"/>
              </w:rPr>
            </w:pPr>
          </w:p>
          <w:p w14:paraId="7C9412E7" w14:textId="3CA3E63A" w:rsidR="45DE352B" w:rsidRDefault="45DE352B" w:rsidP="45DE352B">
            <w:pPr>
              <w:pStyle w:val="NormalWeb"/>
              <w:jc w:val="center"/>
              <w:rPr>
                <w:rFonts w:ascii="Arial" w:eastAsia="Arial" w:hAnsi="Arial" w:cs="Arial"/>
                <w:color w:val="000000" w:themeColor="text1"/>
              </w:rPr>
            </w:pPr>
          </w:p>
          <w:p w14:paraId="7A41A647" w14:textId="75F1AF40" w:rsidR="45DE352B" w:rsidRDefault="45DE352B" w:rsidP="45DE352B">
            <w:pPr>
              <w:pStyle w:val="NormalWeb"/>
              <w:jc w:val="center"/>
              <w:rPr>
                <w:rFonts w:ascii="Arial" w:eastAsia="Arial" w:hAnsi="Arial" w:cs="Arial"/>
                <w:color w:val="000000" w:themeColor="text1"/>
              </w:rPr>
            </w:pPr>
          </w:p>
          <w:p w14:paraId="471C4786" w14:textId="6F814AB6" w:rsidR="45DE352B" w:rsidRDefault="45DE352B" w:rsidP="45DE352B">
            <w:pPr>
              <w:pStyle w:val="NormalWeb"/>
              <w:jc w:val="center"/>
              <w:rPr>
                <w:rFonts w:ascii="Arial" w:eastAsia="Arial" w:hAnsi="Arial" w:cs="Arial"/>
                <w:color w:val="000000" w:themeColor="text1"/>
              </w:rPr>
            </w:pPr>
          </w:p>
          <w:p w14:paraId="5EAFA327" w14:textId="11B464FE" w:rsidR="45DE352B" w:rsidRDefault="45DE352B" w:rsidP="45DE352B">
            <w:pPr>
              <w:pStyle w:val="NormalWeb"/>
              <w:jc w:val="center"/>
              <w:rPr>
                <w:rFonts w:ascii="Arial" w:eastAsia="Arial" w:hAnsi="Arial" w:cs="Arial"/>
                <w:color w:val="000000" w:themeColor="text1"/>
              </w:rPr>
            </w:pPr>
          </w:p>
          <w:p w14:paraId="266B8E20" w14:textId="1F26E45F" w:rsidR="45DE352B" w:rsidRDefault="45DE352B" w:rsidP="45DE352B">
            <w:pPr>
              <w:pStyle w:val="NormalWeb"/>
              <w:jc w:val="center"/>
              <w:rPr>
                <w:rFonts w:ascii="Arial" w:eastAsia="Arial" w:hAnsi="Arial" w:cs="Arial"/>
                <w:color w:val="000000" w:themeColor="text1"/>
              </w:rPr>
            </w:pPr>
          </w:p>
          <w:p w14:paraId="5DCB21EB" w14:textId="46E1AA8B" w:rsidR="5EA3A6B0" w:rsidRDefault="5EA3A6B0" w:rsidP="45DE352B">
            <w:pPr>
              <w:pStyle w:val="NormalWeb"/>
              <w:jc w:val="center"/>
              <w:rPr>
                <w:color w:val="000000" w:themeColor="text1"/>
              </w:rPr>
            </w:pPr>
            <w:r w:rsidRPr="45DE352B">
              <w:rPr>
                <w:rFonts w:ascii="Arial" w:eastAsia="Arial" w:hAnsi="Arial" w:cs="Arial"/>
                <w:color w:val="000000" w:themeColor="text1"/>
              </w:rPr>
              <w:t xml:space="preserve">Excellent </w:t>
            </w:r>
          </w:p>
          <w:p w14:paraId="15028443" w14:textId="5E986E3F" w:rsidR="45DE352B" w:rsidRDefault="45DE352B" w:rsidP="45DE352B">
            <w:pPr>
              <w:pStyle w:val="NormalWeb"/>
              <w:rPr>
                <w:color w:val="000000" w:themeColor="text1"/>
              </w:rPr>
            </w:pPr>
          </w:p>
        </w:tc>
        <w:tc>
          <w:tcPr>
            <w:tcW w:w="1740" w:type="dxa"/>
          </w:tcPr>
          <w:p w14:paraId="0A4500AA" w14:textId="2858473D" w:rsidR="45DE352B" w:rsidRDefault="45DE352B" w:rsidP="45DE352B">
            <w:pPr>
              <w:pStyle w:val="NormalWeb"/>
              <w:jc w:val="center"/>
              <w:rPr>
                <w:rFonts w:ascii="Arial" w:eastAsia="Arial" w:hAnsi="Arial" w:cs="Arial"/>
                <w:color w:val="000000" w:themeColor="text1"/>
              </w:rPr>
            </w:pPr>
          </w:p>
          <w:p w14:paraId="69A50A1C" w14:textId="0978615E" w:rsidR="45DE352B" w:rsidRDefault="45DE352B" w:rsidP="45DE352B">
            <w:pPr>
              <w:pStyle w:val="NormalWeb"/>
              <w:jc w:val="center"/>
              <w:rPr>
                <w:rFonts w:ascii="Arial" w:eastAsia="Arial" w:hAnsi="Arial" w:cs="Arial"/>
                <w:color w:val="000000" w:themeColor="text1"/>
              </w:rPr>
            </w:pPr>
          </w:p>
          <w:p w14:paraId="304882DA" w14:textId="3A5FA3DB" w:rsidR="45DE352B" w:rsidRDefault="45DE352B" w:rsidP="45DE352B">
            <w:pPr>
              <w:pStyle w:val="NormalWeb"/>
              <w:jc w:val="center"/>
              <w:rPr>
                <w:rFonts w:ascii="Arial" w:eastAsia="Arial" w:hAnsi="Arial" w:cs="Arial"/>
                <w:color w:val="000000" w:themeColor="text1"/>
              </w:rPr>
            </w:pPr>
          </w:p>
          <w:p w14:paraId="57A4BAC1" w14:textId="1F35924A" w:rsidR="45DE352B" w:rsidRDefault="45DE352B" w:rsidP="45DE352B">
            <w:pPr>
              <w:pStyle w:val="NormalWeb"/>
              <w:jc w:val="center"/>
              <w:rPr>
                <w:rFonts w:ascii="Arial" w:eastAsia="Arial" w:hAnsi="Arial" w:cs="Arial"/>
                <w:color w:val="000000" w:themeColor="text1"/>
              </w:rPr>
            </w:pPr>
          </w:p>
          <w:p w14:paraId="0971AA46" w14:textId="6A88AD60" w:rsidR="45DE352B" w:rsidRDefault="45DE352B" w:rsidP="45DE352B">
            <w:pPr>
              <w:pStyle w:val="NormalWeb"/>
              <w:jc w:val="center"/>
              <w:rPr>
                <w:rFonts w:ascii="Arial" w:eastAsia="Arial" w:hAnsi="Arial" w:cs="Arial"/>
                <w:color w:val="000000" w:themeColor="text1"/>
              </w:rPr>
            </w:pPr>
          </w:p>
          <w:p w14:paraId="640CBC9B" w14:textId="418F3608" w:rsidR="45DE352B" w:rsidRDefault="45DE352B" w:rsidP="45DE352B">
            <w:pPr>
              <w:pStyle w:val="NormalWeb"/>
              <w:jc w:val="center"/>
              <w:rPr>
                <w:rFonts w:ascii="Arial" w:eastAsia="Arial" w:hAnsi="Arial" w:cs="Arial"/>
                <w:color w:val="000000" w:themeColor="text1"/>
              </w:rPr>
            </w:pPr>
          </w:p>
          <w:p w14:paraId="1C5AA635" w14:textId="37A5B2A3" w:rsidR="5EA3A6B0" w:rsidRDefault="5EA3A6B0"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5</w:t>
            </w:r>
          </w:p>
        </w:tc>
        <w:tc>
          <w:tcPr>
            <w:tcW w:w="5085" w:type="dxa"/>
          </w:tcPr>
          <w:p w14:paraId="721927AD" w14:textId="6C7EAA28"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 xml:space="preserve">The response answers the question in full, successfully meets all the criteria, and presents proposals that exceed or enhance the Department’s requirement. </w:t>
            </w:r>
          </w:p>
          <w:p w14:paraId="77F6EB57" w14:textId="0D961195"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Full and relevant evidence is provided to enhance the response.</w:t>
            </w:r>
          </w:p>
          <w:p w14:paraId="19D2AA21" w14:textId="5CA6F191"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Demonstrates a comprehensive level of knowledge, experience, capability, or capacity and demonstrates that the Potential Provider can meet the requirement in full and to a high standard.</w:t>
            </w:r>
          </w:p>
        </w:tc>
      </w:tr>
      <w:tr w:rsidR="45DE352B" w14:paraId="5387ED9B" w14:textId="77777777" w:rsidTr="45DE352B">
        <w:tc>
          <w:tcPr>
            <w:tcW w:w="2190" w:type="dxa"/>
          </w:tcPr>
          <w:p w14:paraId="625D045F" w14:textId="28A82ABF" w:rsidR="45DE352B" w:rsidRDefault="45DE352B" w:rsidP="45DE352B">
            <w:pPr>
              <w:pStyle w:val="NormalWeb"/>
              <w:rPr>
                <w:color w:val="000000" w:themeColor="text1"/>
              </w:rPr>
            </w:pPr>
          </w:p>
          <w:p w14:paraId="5E12C5C3" w14:textId="69A8A8AD" w:rsidR="45DE352B" w:rsidRDefault="45DE352B" w:rsidP="45DE352B">
            <w:pPr>
              <w:pStyle w:val="NormalWeb"/>
              <w:rPr>
                <w:color w:val="000000" w:themeColor="text1"/>
              </w:rPr>
            </w:pPr>
          </w:p>
          <w:p w14:paraId="1380ECCD" w14:textId="0EEAEF9F" w:rsidR="45DE352B" w:rsidRDefault="45DE352B" w:rsidP="45DE352B">
            <w:pPr>
              <w:pStyle w:val="NormalWeb"/>
              <w:rPr>
                <w:color w:val="000000" w:themeColor="text1"/>
              </w:rPr>
            </w:pPr>
          </w:p>
          <w:p w14:paraId="510B14A9" w14:textId="0ABC984C" w:rsidR="5EA3A6B0" w:rsidRDefault="5EA3A6B0" w:rsidP="45DE352B">
            <w:pPr>
              <w:pStyle w:val="NormalWeb"/>
              <w:jc w:val="center"/>
              <w:rPr>
                <w:color w:val="000000" w:themeColor="text1"/>
              </w:rPr>
            </w:pPr>
            <w:r w:rsidRPr="45DE352B">
              <w:rPr>
                <w:rFonts w:ascii="Arial" w:eastAsia="Arial" w:hAnsi="Arial" w:cs="Arial"/>
                <w:color w:val="000000" w:themeColor="text1"/>
              </w:rPr>
              <w:t>Good</w:t>
            </w:r>
          </w:p>
        </w:tc>
        <w:tc>
          <w:tcPr>
            <w:tcW w:w="1740" w:type="dxa"/>
          </w:tcPr>
          <w:p w14:paraId="2519FB55" w14:textId="0F4284FD" w:rsidR="45DE352B" w:rsidRDefault="45DE352B" w:rsidP="45DE352B">
            <w:pPr>
              <w:pStyle w:val="NormalWeb"/>
              <w:jc w:val="center"/>
              <w:rPr>
                <w:color w:val="000000" w:themeColor="text1"/>
              </w:rPr>
            </w:pPr>
          </w:p>
          <w:p w14:paraId="31EC2456" w14:textId="22651ACD" w:rsidR="45DE352B" w:rsidRDefault="45DE352B" w:rsidP="45DE352B">
            <w:pPr>
              <w:pStyle w:val="NormalWeb"/>
              <w:jc w:val="center"/>
              <w:rPr>
                <w:color w:val="000000" w:themeColor="text1"/>
              </w:rPr>
            </w:pPr>
          </w:p>
          <w:p w14:paraId="2F6D9AE9" w14:textId="18EA7061" w:rsidR="45DE352B" w:rsidRDefault="45DE352B" w:rsidP="45DE352B">
            <w:pPr>
              <w:pStyle w:val="NormalWeb"/>
              <w:jc w:val="center"/>
              <w:rPr>
                <w:color w:val="000000" w:themeColor="text1"/>
              </w:rPr>
            </w:pPr>
          </w:p>
          <w:p w14:paraId="282E72C2" w14:textId="472F6143" w:rsidR="5EA3A6B0" w:rsidRDefault="5EA3A6B0" w:rsidP="45DE352B">
            <w:pPr>
              <w:pStyle w:val="NormalWeb"/>
              <w:jc w:val="center"/>
              <w:rPr>
                <w:color w:val="000000" w:themeColor="text1"/>
              </w:rPr>
            </w:pPr>
            <w:r w:rsidRPr="45DE352B">
              <w:rPr>
                <w:rFonts w:ascii="Arial" w:eastAsia="Arial" w:hAnsi="Arial" w:cs="Arial"/>
                <w:color w:val="000000" w:themeColor="text1"/>
              </w:rPr>
              <w:t>4</w:t>
            </w:r>
          </w:p>
        </w:tc>
        <w:tc>
          <w:tcPr>
            <w:tcW w:w="5085" w:type="dxa"/>
          </w:tcPr>
          <w:p w14:paraId="08003196" w14:textId="6E3CC787"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The response answers the question in full and successfully meets all the criteria.</w:t>
            </w:r>
          </w:p>
          <w:p w14:paraId="71752F64" w14:textId="5279AFCF"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Full and relevant evidence is provided to support the response.</w:t>
            </w:r>
          </w:p>
          <w:p w14:paraId="150D294D" w14:textId="70F3A3A5" w:rsidR="5EA3A6B0" w:rsidRDefault="5EA3A6B0" w:rsidP="45DE352B">
            <w:pPr>
              <w:pStyle w:val="NormalWeb"/>
              <w:rPr>
                <w:color w:val="000000" w:themeColor="text1"/>
              </w:rPr>
            </w:pPr>
            <w:r w:rsidRPr="45DE352B">
              <w:rPr>
                <w:rFonts w:ascii="Arial" w:eastAsia="Arial" w:hAnsi="Arial" w:cs="Arial"/>
                <w:color w:val="000000" w:themeColor="text1"/>
              </w:rPr>
              <w:t>Demonstrates a good level of knowledge, experience, capability, or capacity and no concerns or omissions are identified.</w:t>
            </w:r>
          </w:p>
          <w:p w14:paraId="03EDDAF6" w14:textId="371B613A" w:rsidR="45DE352B" w:rsidRDefault="45DE352B" w:rsidP="45DE352B">
            <w:pPr>
              <w:pStyle w:val="NormalWeb"/>
              <w:rPr>
                <w:color w:val="000000" w:themeColor="text1"/>
              </w:rPr>
            </w:pPr>
          </w:p>
        </w:tc>
      </w:tr>
      <w:tr w:rsidR="45DE352B" w14:paraId="1C900EE3" w14:textId="77777777" w:rsidTr="45DE352B">
        <w:tc>
          <w:tcPr>
            <w:tcW w:w="2190" w:type="dxa"/>
          </w:tcPr>
          <w:p w14:paraId="69034F0D" w14:textId="6A1D1BA6" w:rsidR="45DE352B" w:rsidRDefault="45DE352B" w:rsidP="45DE352B">
            <w:pPr>
              <w:pStyle w:val="NormalWeb"/>
              <w:jc w:val="center"/>
              <w:rPr>
                <w:color w:val="000000" w:themeColor="text1"/>
              </w:rPr>
            </w:pPr>
          </w:p>
          <w:p w14:paraId="25644FE6" w14:textId="27A75FE6" w:rsidR="45DE352B" w:rsidRDefault="45DE352B" w:rsidP="45DE352B">
            <w:pPr>
              <w:pStyle w:val="NormalWeb"/>
              <w:jc w:val="center"/>
              <w:rPr>
                <w:color w:val="000000" w:themeColor="text1"/>
              </w:rPr>
            </w:pPr>
          </w:p>
          <w:p w14:paraId="7DA5D2BC" w14:textId="60471077" w:rsidR="45DE352B" w:rsidRDefault="45DE352B" w:rsidP="45DE352B">
            <w:pPr>
              <w:pStyle w:val="NormalWeb"/>
              <w:jc w:val="center"/>
              <w:rPr>
                <w:color w:val="000000" w:themeColor="text1"/>
              </w:rPr>
            </w:pPr>
          </w:p>
          <w:p w14:paraId="0A00CA85" w14:textId="0C7C3E0C" w:rsidR="45DE352B" w:rsidRDefault="45DE352B" w:rsidP="45DE352B">
            <w:pPr>
              <w:pStyle w:val="NormalWeb"/>
              <w:jc w:val="center"/>
              <w:rPr>
                <w:rFonts w:ascii="Arial" w:eastAsia="Arial" w:hAnsi="Arial" w:cs="Arial"/>
                <w:color w:val="000000" w:themeColor="text1"/>
              </w:rPr>
            </w:pPr>
          </w:p>
          <w:p w14:paraId="44CE4B7B" w14:textId="3AD82068" w:rsidR="45DE352B" w:rsidRDefault="45DE352B" w:rsidP="45DE352B">
            <w:pPr>
              <w:pStyle w:val="NormalWeb"/>
              <w:jc w:val="center"/>
              <w:rPr>
                <w:rFonts w:ascii="Arial" w:eastAsia="Arial" w:hAnsi="Arial" w:cs="Arial"/>
                <w:color w:val="000000" w:themeColor="text1"/>
              </w:rPr>
            </w:pPr>
          </w:p>
          <w:p w14:paraId="7EF60526" w14:textId="73A3C5DC" w:rsidR="45DE352B" w:rsidRDefault="45DE352B" w:rsidP="45DE352B">
            <w:pPr>
              <w:pStyle w:val="NormalWeb"/>
              <w:jc w:val="center"/>
              <w:rPr>
                <w:rFonts w:ascii="Arial" w:eastAsia="Arial" w:hAnsi="Arial" w:cs="Arial"/>
                <w:color w:val="000000" w:themeColor="text1"/>
              </w:rPr>
            </w:pPr>
          </w:p>
          <w:p w14:paraId="119119E5" w14:textId="0B7BEFC2" w:rsidR="45DE352B" w:rsidRDefault="45DE352B" w:rsidP="45DE352B">
            <w:pPr>
              <w:pStyle w:val="NormalWeb"/>
              <w:jc w:val="center"/>
              <w:rPr>
                <w:rFonts w:ascii="Arial" w:eastAsia="Arial" w:hAnsi="Arial" w:cs="Arial"/>
                <w:color w:val="000000" w:themeColor="text1"/>
              </w:rPr>
            </w:pPr>
          </w:p>
          <w:p w14:paraId="5F083BE9" w14:textId="45C360A7" w:rsidR="5EA3A6B0" w:rsidRDefault="5EA3A6B0" w:rsidP="45DE352B">
            <w:pPr>
              <w:pStyle w:val="NormalWeb"/>
              <w:jc w:val="center"/>
              <w:rPr>
                <w:color w:val="000000" w:themeColor="text1"/>
              </w:rPr>
            </w:pPr>
            <w:r w:rsidRPr="45DE352B">
              <w:rPr>
                <w:rFonts w:ascii="Arial" w:eastAsia="Arial" w:hAnsi="Arial" w:cs="Arial"/>
                <w:color w:val="000000" w:themeColor="text1"/>
              </w:rPr>
              <w:t xml:space="preserve">Satisfactory </w:t>
            </w:r>
          </w:p>
        </w:tc>
        <w:tc>
          <w:tcPr>
            <w:tcW w:w="1740" w:type="dxa"/>
          </w:tcPr>
          <w:p w14:paraId="3EEE51E7" w14:textId="516C81F1" w:rsidR="45DE352B" w:rsidRDefault="45DE352B" w:rsidP="45DE352B">
            <w:pPr>
              <w:pStyle w:val="NormalWeb"/>
              <w:jc w:val="center"/>
              <w:rPr>
                <w:color w:val="000000" w:themeColor="text1"/>
              </w:rPr>
            </w:pPr>
          </w:p>
          <w:p w14:paraId="05D5A5DE" w14:textId="336F3C75" w:rsidR="45DE352B" w:rsidRDefault="45DE352B" w:rsidP="45DE352B">
            <w:pPr>
              <w:pStyle w:val="NormalWeb"/>
              <w:jc w:val="center"/>
              <w:rPr>
                <w:color w:val="000000" w:themeColor="text1"/>
              </w:rPr>
            </w:pPr>
          </w:p>
          <w:p w14:paraId="182E1979" w14:textId="3872F5BF" w:rsidR="45DE352B" w:rsidRDefault="45DE352B" w:rsidP="45DE352B">
            <w:pPr>
              <w:pStyle w:val="NormalWeb"/>
              <w:jc w:val="center"/>
              <w:rPr>
                <w:color w:val="000000" w:themeColor="text1"/>
              </w:rPr>
            </w:pPr>
          </w:p>
          <w:p w14:paraId="0EEFBEB7" w14:textId="4C7A0E09" w:rsidR="45DE352B" w:rsidRDefault="45DE352B" w:rsidP="45DE352B">
            <w:pPr>
              <w:pStyle w:val="NormalWeb"/>
              <w:jc w:val="center"/>
              <w:rPr>
                <w:rFonts w:ascii="Arial" w:eastAsia="Arial" w:hAnsi="Arial" w:cs="Arial"/>
                <w:color w:val="000000" w:themeColor="text1"/>
              </w:rPr>
            </w:pPr>
          </w:p>
          <w:p w14:paraId="25D8A3EE" w14:textId="184D8B49" w:rsidR="45DE352B" w:rsidRDefault="45DE352B" w:rsidP="45DE352B">
            <w:pPr>
              <w:pStyle w:val="NormalWeb"/>
              <w:jc w:val="center"/>
              <w:rPr>
                <w:rFonts w:ascii="Arial" w:eastAsia="Arial" w:hAnsi="Arial" w:cs="Arial"/>
                <w:color w:val="000000" w:themeColor="text1"/>
              </w:rPr>
            </w:pPr>
          </w:p>
          <w:p w14:paraId="66666FA2" w14:textId="3F39ED2A" w:rsidR="45DE352B" w:rsidRDefault="45DE352B" w:rsidP="45DE352B">
            <w:pPr>
              <w:pStyle w:val="NormalWeb"/>
              <w:jc w:val="center"/>
              <w:rPr>
                <w:rFonts w:ascii="Arial" w:eastAsia="Arial" w:hAnsi="Arial" w:cs="Arial"/>
                <w:color w:val="000000" w:themeColor="text1"/>
              </w:rPr>
            </w:pPr>
          </w:p>
          <w:p w14:paraId="37F39A07" w14:textId="5A1CDC22" w:rsidR="45DE352B" w:rsidRDefault="45DE352B" w:rsidP="45DE352B">
            <w:pPr>
              <w:pStyle w:val="NormalWeb"/>
              <w:jc w:val="center"/>
              <w:rPr>
                <w:rFonts w:ascii="Arial" w:eastAsia="Arial" w:hAnsi="Arial" w:cs="Arial"/>
                <w:color w:val="000000" w:themeColor="text1"/>
              </w:rPr>
            </w:pPr>
          </w:p>
          <w:p w14:paraId="66139076" w14:textId="7EB92311" w:rsidR="5EA3A6B0" w:rsidRDefault="5EA3A6B0" w:rsidP="45DE352B">
            <w:pPr>
              <w:pStyle w:val="NormalWeb"/>
              <w:jc w:val="center"/>
              <w:rPr>
                <w:color w:val="000000" w:themeColor="text1"/>
              </w:rPr>
            </w:pPr>
            <w:r w:rsidRPr="45DE352B">
              <w:rPr>
                <w:rFonts w:ascii="Arial" w:eastAsia="Arial" w:hAnsi="Arial" w:cs="Arial"/>
                <w:color w:val="000000" w:themeColor="text1"/>
              </w:rPr>
              <w:t>3</w:t>
            </w:r>
          </w:p>
        </w:tc>
        <w:tc>
          <w:tcPr>
            <w:tcW w:w="5085" w:type="dxa"/>
          </w:tcPr>
          <w:p w14:paraId="6DF6E172" w14:textId="235C4338"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The response answers the question and meets the criteria to a satisfactory standard but may lack some clarity or detail in how the proposed solutions will be achieved.</w:t>
            </w:r>
          </w:p>
          <w:p w14:paraId="59DA72E1" w14:textId="5A87B418"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Relevant evidence is provided to support the response. Lack of clarity and any missing evidence or detail is only minor.</w:t>
            </w:r>
          </w:p>
          <w:p w14:paraId="26CCFE40" w14:textId="7539E81F"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Demonstrates a satisfactory level of knowledge, experience, capability, or capacity and any concerns or omissions are not considered to represent a risk or could be reasonably resolved.</w:t>
            </w:r>
          </w:p>
        </w:tc>
      </w:tr>
      <w:tr w:rsidR="45DE352B" w14:paraId="1B3A92A9" w14:textId="77777777" w:rsidTr="45DE352B">
        <w:tc>
          <w:tcPr>
            <w:tcW w:w="2190" w:type="dxa"/>
          </w:tcPr>
          <w:p w14:paraId="23DEB4A3" w14:textId="11EC4E7B" w:rsidR="45DE352B" w:rsidRDefault="45DE352B" w:rsidP="45DE352B">
            <w:pPr>
              <w:pStyle w:val="NormalWeb"/>
              <w:jc w:val="center"/>
              <w:rPr>
                <w:color w:val="000000" w:themeColor="text1"/>
              </w:rPr>
            </w:pPr>
          </w:p>
          <w:p w14:paraId="13E64ED3" w14:textId="1BE34061" w:rsidR="45DE352B" w:rsidRDefault="45DE352B" w:rsidP="45DE352B">
            <w:pPr>
              <w:pStyle w:val="NormalWeb"/>
              <w:jc w:val="center"/>
              <w:rPr>
                <w:color w:val="000000" w:themeColor="text1"/>
              </w:rPr>
            </w:pPr>
          </w:p>
          <w:p w14:paraId="6F26DA2D" w14:textId="186A0E84" w:rsidR="45DE352B" w:rsidRDefault="45DE352B" w:rsidP="45DE352B">
            <w:pPr>
              <w:pStyle w:val="NormalWeb"/>
              <w:jc w:val="center"/>
              <w:rPr>
                <w:color w:val="000000" w:themeColor="text1"/>
              </w:rPr>
            </w:pPr>
          </w:p>
          <w:p w14:paraId="226CACC6" w14:textId="34735F7A" w:rsidR="5EA3A6B0" w:rsidRDefault="5EA3A6B0" w:rsidP="45DE352B">
            <w:pPr>
              <w:pStyle w:val="NormalWeb"/>
              <w:jc w:val="center"/>
              <w:rPr>
                <w:color w:val="000000" w:themeColor="text1"/>
              </w:rPr>
            </w:pPr>
            <w:r w:rsidRPr="45DE352B">
              <w:rPr>
                <w:rFonts w:ascii="Arial" w:eastAsia="Arial" w:hAnsi="Arial" w:cs="Arial"/>
                <w:color w:val="000000" w:themeColor="text1"/>
              </w:rPr>
              <w:t>Poor</w:t>
            </w:r>
          </w:p>
        </w:tc>
        <w:tc>
          <w:tcPr>
            <w:tcW w:w="1740" w:type="dxa"/>
          </w:tcPr>
          <w:p w14:paraId="5998D853" w14:textId="5D2621BC" w:rsidR="45DE352B" w:rsidRDefault="45DE352B" w:rsidP="45DE352B">
            <w:pPr>
              <w:pStyle w:val="NormalWeb"/>
              <w:jc w:val="center"/>
              <w:rPr>
                <w:color w:val="000000" w:themeColor="text1"/>
              </w:rPr>
            </w:pPr>
          </w:p>
          <w:p w14:paraId="69AC44D2" w14:textId="0C4CDC61" w:rsidR="45DE352B" w:rsidRDefault="45DE352B" w:rsidP="45DE352B">
            <w:pPr>
              <w:pStyle w:val="NormalWeb"/>
              <w:jc w:val="center"/>
              <w:rPr>
                <w:color w:val="000000" w:themeColor="text1"/>
              </w:rPr>
            </w:pPr>
          </w:p>
          <w:p w14:paraId="6A85844E" w14:textId="5F2AA410" w:rsidR="45DE352B" w:rsidRDefault="45DE352B" w:rsidP="45DE352B">
            <w:pPr>
              <w:pStyle w:val="NormalWeb"/>
              <w:jc w:val="center"/>
              <w:rPr>
                <w:color w:val="000000" w:themeColor="text1"/>
              </w:rPr>
            </w:pPr>
          </w:p>
          <w:p w14:paraId="39D3467B" w14:textId="7750EA21" w:rsidR="5EA3A6B0" w:rsidRDefault="5EA3A6B0" w:rsidP="45DE352B">
            <w:pPr>
              <w:pStyle w:val="NormalWeb"/>
              <w:jc w:val="center"/>
              <w:rPr>
                <w:color w:val="000000" w:themeColor="text1"/>
              </w:rPr>
            </w:pPr>
            <w:r w:rsidRPr="45DE352B">
              <w:rPr>
                <w:rFonts w:ascii="Arial" w:eastAsia="Arial" w:hAnsi="Arial" w:cs="Arial"/>
                <w:color w:val="000000" w:themeColor="text1"/>
              </w:rPr>
              <w:t xml:space="preserve">2 </w:t>
            </w:r>
          </w:p>
        </w:tc>
        <w:tc>
          <w:tcPr>
            <w:tcW w:w="5085" w:type="dxa"/>
          </w:tcPr>
          <w:p w14:paraId="537BF9EB" w14:textId="348CD502"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lastRenderedPageBreak/>
              <w:t xml:space="preserve">The response does not answer the question in full and either satisfies only some of the </w:t>
            </w:r>
            <w:r w:rsidRPr="45DE352B">
              <w:rPr>
                <w:rFonts w:ascii="Arial" w:eastAsia="Arial" w:hAnsi="Arial" w:cs="Arial"/>
                <w:color w:val="000000" w:themeColor="text1"/>
                <w:sz w:val="24"/>
                <w:szCs w:val="24"/>
              </w:rPr>
              <w:lastRenderedPageBreak/>
              <w:t>criteria or exhibits omissions regarding meeting the criteria.</w:t>
            </w:r>
          </w:p>
          <w:p w14:paraId="5B0319BC" w14:textId="42E717DF"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Some evidence is provided to support the response but is lacking in sufficient detail in one or more areas.</w:t>
            </w:r>
          </w:p>
          <w:p w14:paraId="443B28D5" w14:textId="77777777" w:rsidR="45DE352B" w:rsidRDefault="5EA3A6B0" w:rsidP="45DE352B">
            <w:pPr>
              <w:pStyle w:val="NormalWeb"/>
              <w:rPr>
                <w:color w:val="000000" w:themeColor="text1"/>
              </w:rPr>
            </w:pPr>
            <w:r w:rsidRPr="45DE352B">
              <w:rPr>
                <w:rFonts w:ascii="Arial" w:eastAsia="Arial" w:hAnsi="Arial" w:cs="Arial"/>
                <w:color w:val="000000" w:themeColor="text1"/>
              </w:rPr>
              <w:t>Demonstrates a lack of knowledge, experience, capability, or capacity and presents concerns or omissions that are considered to represent a risk or would have an impact on service delivery that would require significant external intervention to manage or resolve</w:t>
            </w:r>
            <w:r w:rsidR="65B3B968" w:rsidRPr="45DE352B">
              <w:rPr>
                <w:rFonts w:ascii="Arial" w:eastAsia="Arial" w:hAnsi="Arial" w:cs="Arial"/>
                <w:color w:val="000000" w:themeColor="text1"/>
              </w:rPr>
              <w:t>.</w:t>
            </w:r>
          </w:p>
          <w:p w14:paraId="1315E012" w14:textId="6311FD9C" w:rsidR="00E240E2" w:rsidRDefault="00E240E2" w:rsidP="45DE352B">
            <w:pPr>
              <w:pStyle w:val="NormalWeb"/>
              <w:rPr>
                <w:color w:val="000000" w:themeColor="text1"/>
              </w:rPr>
            </w:pPr>
          </w:p>
        </w:tc>
      </w:tr>
      <w:tr w:rsidR="45DE352B" w14:paraId="578916A0" w14:textId="77777777" w:rsidTr="45DE352B">
        <w:tc>
          <w:tcPr>
            <w:tcW w:w="2190" w:type="dxa"/>
          </w:tcPr>
          <w:p w14:paraId="447AC179" w14:textId="1E841ADF" w:rsidR="45DE352B" w:rsidRDefault="45DE352B" w:rsidP="45DE352B">
            <w:pPr>
              <w:pStyle w:val="NormalWeb"/>
              <w:jc w:val="center"/>
              <w:rPr>
                <w:rFonts w:ascii="Arial" w:eastAsia="Arial" w:hAnsi="Arial" w:cs="Arial"/>
                <w:color w:val="000000" w:themeColor="text1"/>
              </w:rPr>
            </w:pPr>
          </w:p>
          <w:p w14:paraId="103E147F" w14:textId="6D31B47C" w:rsidR="45DE352B" w:rsidRDefault="45DE352B" w:rsidP="45DE352B">
            <w:pPr>
              <w:pStyle w:val="NormalWeb"/>
              <w:jc w:val="center"/>
              <w:rPr>
                <w:rFonts w:ascii="Arial" w:eastAsia="Arial" w:hAnsi="Arial" w:cs="Arial"/>
                <w:color w:val="000000" w:themeColor="text1"/>
              </w:rPr>
            </w:pPr>
          </w:p>
          <w:p w14:paraId="6A3B349F" w14:textId="49EE52F8" w:rsidR="45DE352B" w:rsidRDefault="45DE352B" w:rsidP="45DE352B">
            <w:pPr>
              <w:pStyle w:val="NormalWeb"/>
              <w:jc w:val="center"/>
              <w:rPr>
                <w:rFonts w:ascii="Arial" w:eastAsia="Arial" w:hAnsi="Arial" w:cs="Arial"/>
                <w:color w:val="000000" w:themeColor="text1"/>
              </w:rPr>
            </w:pPr>
          </w:p>
          <w:p w14:paraId="49B0F51E" w14:textId="55453BD6" w:rsidR="45DE352B" w:rsidRDefault="45DE352B" w:rsidP="45DE352B">
            <w:pPr>
              <w:pStyle w:val="NormalWeb"/>
              <w:jc w:val="center"/>
              <w:rPr>
                <w:rFonts w:ascii="Arial" w:eastAsia="Arial" w:hAnsi="Arial" w:cs="Arial"/>
                <w:color w:val="000000" w:themeColor="text1"/>
              </w:rPr>
            </w:pPr>
          </w:p>
          <w:p w14:paraId="3484EBE2" w14:textId="61711103" w:rsidR="45DE352B" w:rsidRDefault="45DE352B" w:rsidP="45DE352B">
            <w:pPr>
              <w:pStyle w:val="NormalWeb"/>
              <w:jc w:val="center"/>
              <w:rPr>
                <w:rFonts w:ascii="Arial" w:eastAsia="Arial" w:hAnsi="Arial" w:cs="Arial"/>
                <w:color w:val="000000" w:themeColor="text1"/>
              </w:rPr>
            </w:pPr>
          </w:p>
          <w:p w14:paraId="308053CF" w14:textId="510EBCB9" w:rsidR="45DE352B" w:rsidRDefault="45DE352B" w:rsidP="45DE352B">
            <w:pPr>
              <w:pStyle w:val="NormalWeb"/>
              <w:jc w:val="center"/>
              <w:rPr>
                <w:rFonts w:ascii="Arial" w:eastAsia="Arial" w:hAnsi="Arial" w:cs="Arial"/>
                <w:color w:val="000000" w:themeColor="text1"/>
              </w:rPr>
            </w:pPr>
          </w:p>
          <w:p w14:paraId="7BF87DA2" w14:textId="4ED42183" w:rsidR="5EA3A6B0" w:rsidRDefault="5EA3A6B0"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Very Poor</w:t>
            </w:r>
          </w:p>
        </w:tc>
        <w:tc>
          <w:tcPr>
            <w:tcW w:w="1740" w:type="dxa"/>
          </w:tcPr>
          <w:p w14:paraId="1FAFF090" w14:textId="0D2730CF" w:rsidR="45DE352B" w:rsidRDefault="45DE352B" w:rsidP="45DE352B">
            <w:pPr>
              <w:pStyle w:val="NormalWeb"/>
              <w:jc w:val="center"/>
              <w:rPr>
                <w:rFonts w:ascii="Arial" w:eastAsia="Arial" w:hAnsi="Arial" w:cs="Arial"/>
                <w:color w:val="000000" w:themeColor="text1"/>
              </w:rPr>
            </w:pPr>
          </w:p>
          <w:p w14:paraId="2602ED09" w14:textId="21D327FC" w:rsidR="45DE352B" w:rsidRDefault="45DE352B" w:rsidP="45DE352B">
            <w:pPr>
              <w:pStyle w:val="NormalWeb"/>
              <w:jc w:val="center"/>
              <w:rPr>
                <w:rFonts w:ascii="Arial" w:eastAsia="Arial" w:hAnsi="Arial" w:cs="Arial"/>
                <w:color w:val="000000" w:themeColor="text1"/>
              </w:rPr>
            </w:pPr>
          </w:p>
          <w:p w14:paraId="584E3399" w14:textId="015EC3A2" w:rsidR="45DE352B" w:rsidRDefault="45DE352B" w:rsidP="45DE352B">
            <w:pPr>
              <w:pStyle w:val="NormalWeb"/>
              <w:jc w:val="center"/>
              <w:rPr>
                <w:rFonts w:ascii="Arial" w:eastAsia="Arial" w:hAnsi="Arial" w:cs="Arial"/>
                <w:color w:val="000000" w:themeColor="text1"/>
              </w:rPr>
            </w:pPr>
          </w:p>
          <w:p w14:paraId="5CEE576E" w14:textId="21994460" w:rsidR="45DE352B" w:rsidRDefault="45DE352B" w:rsidP="45DE352B">
            <w:pPr>
              <w:pStyle w:val="NormalWeb"/>
              <w:jc w:val="center"/>
              <w:rPr>
                <w:rFonts w:ascii="Arial" w:eastAsia="Arial" w:hAnsi="Arial" w:cs="Arial"/>
                <w:color w:val="000000" w:themeColor="text1"/>
              </w:rPr>
            </w:pPr>
          </w:p>
          <w:p w14:paraId="50E27B9C" w14:textId="6C43A8C1" w:rsidR="45DE352B" w:rsidRDefault="45DE352B" w:rsidP="45DE352B">
            <w:pPr>
              <w:pStyle w:val="NormalWeb"/>
              <w:jc w:val="center"/>
              <w:rPr>
                <w:rFonts w:ascii="Arial" w:eastAsia="Arial" w:hAnsi="Arial" w:cs="Arial"/>
                <w:color w:val="000000" w:themeColor="text1"/>
              </w:rPr>
            </w:pPr>
          </w:p>
          <w:p w14:paraId="258C4B54" w14:textId="4E9EAC61" w:rsidR="45DE352B" w:rsidRDefault="45DE352B" w:rsidP="45DE352B">
            <w:pPr>
              <w:pStyle w:val="NormalWeb"/>
              <w:jc w:val="center"/>
              <w:rPr>
                <w:rFonts w:ascii="Arial" w:eastAsia="Arial" w:hAnsi="Arial" w:cs="Arial"/>
                <w:color w:val="000000" w:themeColor="text1"/>
              </w:rPr>
            </w:pPr>
          </w:p>
          <w:p w14:paraId="57A7197E" w14:textId="2FC92C45" w:rsidR="5EA3A6B0" w:rsidRDefault="5EA3A6B0"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1</w:t>
            </w:r>
          </w:p>
        </w:tc>
        <w:tc>
          <w:tcPr>
            <w:tcW w:w="5085" w:type="dxa"/>
          </w:tcPr>
          <w:p w14:paraId="5095C1EE" w14:textId="2D0A6A9C"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The response does not answer the question and either fails to meet a number of the criteria or exhibits clear and significant omissions with regard to meeting the criteria.</w:t>
            </w:r>
          </w:p>
          <w:p w14:paraId="5C707D69" w14:textId="489257C2" w:rsidR="5EA3A6B0" w:rsidRDefault="5EA3A6B0" w:rsidP="45DE352B">
            <w:pPr>
              <w:spacing w:after="200" w:line="276" w:lineRule="auto"/>
              <w:rPr>
                <w:rFonts w:ascii="Arial" w:eastAsia="Arial" w:hAnsi="Arial" w:cs="Arial"/>
                <w:color w:val="000000" w:themeColor="text1"/>
                <w:sz w:val="24"/>
                <w:szCs w:val="24"/>
              </w:rPr>
            </w:pPr>
            <w:r w:rsidRPr="45DE352B">
              <w:rPr>
                <w:rFonts w:ascii="Arial" w:eastAsia="Arial" w:hAnsi="Arial" w:cs="Arial"/>
                <w:color w:val="000000" w:themeColor="text1"/>
                <w:sz w:val="24"/>
                <w:szCs w:val="24"/>
              </w:rPr>
              <w:t xml:space="preserve">Inadequate or no supporting evidence has been provided to support the response. </w:t>
            </w:r>
          </w:p>
          <w:p w14:paraId="17EE3AD5" w14:textId="61667B19" w:rsidR="5EA3A6B0" w:rsidRDefault="5EA3A6B0" w:rsidP="45DE352B">
            <w:pPr>
              <w:pStyle w:val="NormalWeb"/>
              <w:rPr>
                <w:color w:val="000000" w:themeColor="text1"/>
              </w:rPr>
            </w:pPr>
            <w:r w:rsidRPr="45DE352B">
              <w:rPr>
                <w:rFonts w:ascii="Arial" w:eastAsia="Arial" w:hAnsi="Arial" w:cs="Arial"/>
                <w:color w:val="000000" w:themeColor="text1"/>
              </w:rPr>
              <w:t>Demonstrates a lack of knowledge, experience, capability, or capacity and presents significant concerns or omissions that are considered to represent an unacceptable level of risk and/or would have a detrimental impact on service delivery</w:t>
            </w:r>
            <w:r w:rsidR="69AEBB9C" w:rsidRPr="45DE352B">
              <w:rPr>
                <w:rFonts w:ascii="Arial" w:eastAsia="Arial" w:hAnsi="Arial" w:cs="Arial"/>
                <w:color w:val="000000" w:themeColor="text1"/>
              </w:rPr>
              <w:t>.</w:t>
            </w:r>
          </w:p>
          <w:p w14:paraId="1A01966D" w14:textId="7AE126B6" w:rsidR="45DE352B" w:rsidRDefault="45DE352B" w:rsidP="45DE352B">
            <w:pPr>
              <w:pStyle w:val="NormalWeb"/>
              <w:rPr>
                <w:color w:val="000000" w:themeColor="text1"/>
              </w:rPr>
            </w:pPr>
          </w:p>
        </w:tc>
      </w:tr>
      <w:tr w:rsidR="45DE352B" w14:paraId="4D8BD50E" w14:textId="77777777" w:rsidTr="45DE352B">
        <w:tc>
          <w:tcPr>
            <w:tcW w:w="2190" w:type="dxa"/>
          </w:tcPr>
          <w:p w14:paraId="0C7CA16B" w14:textId="489074BC" w:rsidR="45DE352B" w:rsidRDefault="45DE352B" w:rsidP="45DE352B">
            <w:pPr>
              <w:pStyle w:val="NormalWeb"/>
              <w:jc w:val="center"/>
              <w:rPr>
                <w:rFonts w:ascii="Arial" w:eastAsia="Arial" w:hAnsi="Arial" w:cs="Arial"/>
                <w:color w:val="000000" w:themeColor="text1"/>
              </w:rPr>
            </w:pPr>
          </w:p>
          <w:p w14:paraId="765CE67E" w14:textId="10AB7D13" w:rsidR="45DE352B" w:rsidRDefault="45DE352B" w:rsidP="45DE352B">
            <w:pPr>
              <w:pStyle w:val="NormalWeb"/>
              <w:jc w:val="center"/>
              <w:rPr>
                <w:rFonts w:ascii="Arial" w:eastAsia="Arial" w:hAnsi="Arial" w:cs="Arial"/>
                <w:color w:val="000000" w:themeColor="text1"/>
              </w:rPr>
            </w:pPr>
          </w:p>
          <w:p w14:paraId="5BF5CD29" w14:textId="3F50EA21" w:rsidR="5EA3A6B0" w:rsidRDefault="5EA3A6B0"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 xml:space="preserve">Unacceptable </w:t>
            </w:r>
          </w:p>
          <w:p w14:paraId="2E5D390E" w14:textId="5BACB999" w:rsidR="45DE352B" w:rsidRDefault="45DE352B" w:rsidP="45DE352B">
            <w:pPr>
              <w:pStyle w:val="NormalWeb"/>
              <w:jc w:val="center"/>
              <w:rPr>
                <w:rFonts w:ascii="Arial" w:eastAsia="Arial" w:hAnsi="Arial" w:cs="Arial"/>
                <w:color w:val="000000" w:themeColor="text1"/>
              </w:rPr>
            </w:pPr>
          </w:p>
          <w:p w14:paraId="17090664" w14:textId="21F92EFE" w:rsidR="45DE352B" w:rsidRDefault="45DE352B" w:rsidP="45DE352B">
            <w:pPr>
              <w:pStyle w:val="NormalWeb"/>
              <w:jc w:val="center"/>
              <w:rPr>
                <w:rFonts w:ascii="Arial" w:eastAsia="Arial" w:hAnsi="Arial" w:cs="Arial"/>
                <w:color w:val="000000" w:themeColor="text1"/>
              </w:rPr>
            </w:pPr>
          </w:p>
        </w:tc>
        <w:tc>
          <w:tcPr>
            <w:tcW w:w="1740" w:type="dxa"/>
          </w:tcPr>
          <w:p w14:paraId="2CA2B9E3" w14:textId="34E8EE16" w:rsidR="45DE352B" w:rsidRDefault="45DE352B" w:rsidP="45DE352B">
            <w:pPr>
              <w:pStyle w:val="NormalWeb"/>
              <w:jc w:val="center"/>
              <w:rPr>
                <w:rFonts w:ascii="Arial" w:eastAsia="Arial" w:hAnsi="Arial" w:cs="Arial"/>
                <w:color w:val="000000" w:themeColor="text1"/>
              </w:rPr>
            </w:pPr>
          </w:p>
          <w:p w14:paraId="5B6942AE" w14:textId="37AE6865" w:rsidR="45DE352B" w:rsidRDefault="45DE352B" w:rsidP="45DE352B">
            <w:pPr>
              <w:pStyle w:val="NormalWeb"/>
              <w:jc w:val="center"/>
              <w:rPr>
                <w:rFonts w:ascii="Arial" w:eastAsia="Arial" w:hAnsi="Arial" w:cs="Arial"/>
                <w:color w:val="000000" w:themeColor="text1"/>
              </w:rPr>
            </w:pPr>
          </w:p>
          <w:p w14:paraId="2EFA5AD3" w14:textId="6C79D89C" w:rsidR="5EA3A6B0" w:rsidRDefault="5EA3A6B0"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0</w:t>
            </w:r>
          </w:p>
        </w:tc>
        <w:tc>
          <w:tcPr>
            <w:tcW w:w="5085" w:type="dxa"/>
          </w:tcPr>
          <w:p w14:paraId="07F37FC2" w14:textId="62ED3E20" w:rsidR="5EA3A6B0" w:rsidRDefault="5EA3A6B0" w:rsidP="45DE352B">
            <w:pPr>
              <w:pStyle w:val="NormalWeb"/>
            </w:pPr>
            <w:r w:rsidRPr="45DE352B">
              <w:rPr>
                <w:rFonts w:ascii="Arial" w:eastAsia="Arial" w:hAnsi="Arial" w:cs="Arial"/>
                <w:color w:val="000000" w:themeColor="text1"/>
              </w:rPr>
              <w:t>The response is absent or incomplete and/or the proposals are not relevant to the Department’s requirements. The response does not meet the Department’s requirements.</w:t>
            </w:r>
          </w:p>
        </w:tc>
      </w:tr>
    </w:tbl>
    <w:p w14:paraId="275A8FAE" w14:textId="0ABAC1CF" w:rsidR="45DE352B" w:rsidRDefault="45DE352B" w:rsidP="45DE352B">
      <w:pPr>
        <w:pStyle w:val="NormalWeb"/>
        <w:rPr>
          <w:color w:val="000000" w:themeColor="text1"/>
        </w:rPr>
      </w:pPr>
    </w:p>
    <w:p w14:paraId="03A0553B" w14:textId="02096CE6" w:rsidR="00A2657A" w:rsidRPr="00A2657A" w:rsidRDefault="00A2657A" w:rsidP="00C60649">
      <w:pPr>
        <w:pStyle w:val="NormalWeb"/>
        <w:numPr>
          <w:ilvl w:val="0"/>
          <w:numId w:val="17"/>
        </w:numPr>
        <w:rPr>
          <w:rFonts w:ascii="Arial" w:hAnsi="Arial" w:cs="Arial"/>
          <w:b/>
          <w:bCs/>
          <w:color w:val="000000"/>
        </w:rPr>
      </w:pPr>
      <w:r w:rsidRPr="655C458F">
        <w:rPr>
          <w:rFonts w:ascii="Arial" w:hAnsi="Arial" w:cs="Arial"/>
          <w:b/>
          <w:color w:val="000000" w:themeColor="text1"/>
        </w:rPr>
        <w:t>Cost</w:t>
      </w:r>
      <w:r w:rsidR="00021A4E" w:rsidRPr="655C458F">
        <w:rPr>
          <w:rFonts w:ascii="Arial" w:hAnsi="Arial" w:cs="Arial"/>
          <w:b/>
          <w:color w:val="000000" w:themeColor="text1"/>
        </w:rPr>
        <w:t>s and value for money</w:t>
      </w:r>
    </w:p>
    <w:p w14:paraId="6DB5DCCE" w14:textId="7B85F808" w:rsidR="003C0516" w:rsidRDefault="00C60649" w:rsidP="00C60649">
      <w:pPr>
        <w:pStyle w:val="NormalWeb"/>
        <w:rPr>
          <w:rFonts w:ascii="Arial" w:hAnsi="Arial" w:cs="Arial"/>
          <w:color w:val="000000"/>
        </w:rPr>
      </w:pPr>
      <w:r>
        <w:rPr>
          <w:rFonts w:ascii="Arial" w:hAnsi="Arial" w:cs="Arial"/>
          <w:color w:val="000000"/>
        </w:rPr>
        <w:t>16.1</w:t>
      </w:r>
      <w:r w:rsidR="002D7D57">
        <w:rPr>
          <w:rFonts w:ascii="Arial" w:hAnsi="Arial" w:cs="Arial"/>
          <w:color w:val="000000"/>
        </w:rPr>
        <w:tab/>
      </w:r>
      <w:r w:rsidR="009D3686">
        <w:rPr>
          <w:rFonts w:ascii="Arial" w:hAnsi="Arial" w:cs="Arial"/>
          <w:color w:val="000000"/>
        </w:rPr>
        <w:t xml:space="preserve">The costs and value for money </w:t>
      </w:r>
      <w:r w:rsidR="003C0516">
        <w:rPr>
          <w:rFonts w:ascii="Arial" w:hAnsi="Arial" w:cs="Arial"/>
          <w:color w:val="000000"/>
        </w:rPr>
        <w:t>evaluation criteria consists of the following</w:t>
      </w:r>
      <w:r w:rsidR="009D3686">
        <w:rPr>
          <w:rFonts w:ascii="Arial" w:hAnsi="Arial" w:cs="Arial"/>
          <w:color w:val="000000"/>
        </w:rPr>
        <w:t>:</w:t>
      </w:r>
    </w:p>
    <w:p w14:paraId="56F79D34" w14:textId="77777777" w:rsidR="002D7D57" w:rsidRDefault="002D7D57" w:rsidP="002D7D57">
      <w:pPr>
        <w:pStyle w:val="NormalWeb"/>
        <w:numPr>
          <w:ilvl w:val="0"/>
          <w:numId w:val="15"/>
        </w:numPr>
        <w:ind w:left="1702" w:hanging="851"/>
        <w:rPr>
          <w:rFonts w:ascii="Arial" w:hAnsi="Arial" w:cs="Arial"/>
          <w:color w:val="000000"/>
        </w:rPr>
      </w:pPr>
      <w:r>
        <w:rPr>
          <w:rFonts w:ascii="Arial" w:hAnsi="Arial" w:cs="Arial"/>
          <w:color w:val="000000"/>
        </w:rPr>
        <w:t>C</w:t>
      </w:r>
      <w:r w:rsidR="003C0516">
        <w:rPr>
          <w:rFonts w:ascii="Arial" w:hAnsi="Arial" w:cs="Arial"/>
          <w:color w:val="000000"/>
        </w:rPr>
        <w:t xml:space="preserve">ost scoring – 25% </w:t>
      </w:r>
    </w:p>
    <w:p w14:paraId="35DFECA2" w14:textId="67D44F6B" w:rsidR="009D3686" w:rsidRPr="002D7D57" w:rsidRDefault="002D7D57" w:rsidP="002D7D57">
      <w:pPr>
        <w:pStyle w:val="NormalWeb"/>
        <w:numPr>
          <w:ilvl w:val="0"/>
          <w:numId w:val="15"/>
        </w:numPr>
        <w:ind w:left="1702" w:hanging="851"/>
        <w:rPr>
          <w:rFonts w:ascii="Arial" w:hAnsi="Arial" w:cs="Arial"/>
          <w:color w:val="000000"/>
        </w:rPr>
      </w:pPr>
      <w:r w:rsidRPr="002D7D57">
        <w:rPr>
          <w:rFonts w:ascii="Arial" w:hAnsi="Arial" w:cs="Arial"/>
          <w:color w:val="000000"/>
        </w:rPr>
        <w:lastRenderedPageBreak/>
        <w:t>C</w:t>
      </w:r>
      <w:r w:rsidR="00EA67CC" w:rsidRPr="002D7D57">
        <w:rPr>
          <w:rFonts w:ascii="Arial" w:hAnsi="Arial" w:cs="Arial"/>
          <w:color w:val="000000"/>
        </w:rPr>
        <w:t>ost assumptions – 5%</w:t>
      </w:r>
      <w:r w:rsidR="009D3686" w:rsidRPr="002D7D57">
        <w:rPr>
          <w:rFonts w:ascii="Arial" w:hAnsi="Arial" w:cs="Arial"/>
          <w:color w:val="000000"/>
        </w:rPr>
        <w:t xml:space="preserve"> </w:t>
      </w:r>
    </w:p>
    <w:p w14:paraId="5D635B25" w14:textId="033B60F8" w:rsidR="008C41F5" w:rsidRPr="00A2657A" w:rsidRDefault="009D3686" w:rsidP="002D7D57">
      <w:pPr>
        <w:pStyle w:val="NormalWeb"/>
        <w:ind w:left="851" w:hanging="851"/>
        <w:rPr>
          <w:rFonts w:ascii="Arial" w:hAnsi="Arial" w:cs="Arial"/>
          <w:color w:val="000000"/>
        </w:rPr>
      </w:pPr>
      <w:r>
        <w:rPr>
          <w:rFonts w:ascii="Arial" w:hAnsi="Arial" w:cs="Arial"/>
          <w:color w:val="000000"/>
        </w:rPr>
        <w:t>16.</w:t>
      </w:r>
      <w:r w:rsidR="00C60649">
        <w:rPr>
          <w:rFonts w:ascii="Arial" w:hAnsi="Arial" w:cs="Arial"/>
          <w:color w:val="000000"/>
        </w:rPr>
        <w:t>2</w:t>
      </w:r>
      <w:r>
        <w:rPr>
          <w:rFonts w:ascii="Arial" w:hAnsi="Arial" w:cs="Arial"/>
          <w:color w:val="000000"/>
        </w:rPr>
        <w:t xml:space="preserve"> </w:t>
      </w:r>
      <w:r w:rsidR="002D7D57">
        <w:rPr>
          <w:rFonts w:ascii="Arial" w:hAnsi="Arial" w:cs="Arial"/>
          <w:color w:val="000000"/>
        </w:rPr>
        <w:tab/>
      </w:r>
      <w:r w:rsidR="008C41F5" w:rsidRPr="00A2657A">
        <w:rPr>
          <w:rFonts w:ascii="Arial" w:hAnsi="Arial" w:cs="Arial"/>
          <w:color w:val="000000"/>
        </w:rPr>
        <w:t>Cost scoring represents</w:t>
      </w:r>
      <w:r w:rsidR="00A2657A" w:rsidRPr="00A2657A">
        <w:rPr>
          <w:rFonts w:ascii="Arial" w:hAnsi="Arial" w:cs="Arial"/>
          <w:color w:val="000000"/>
        </w:rPr>
        <w:t xml:space="preserve"> </w:t>
      </w:r>
      <w:r w:rsidR="00021A4E">
        <w:rPr>
          <w:rFonts w:ascii="Arial" w:hAnsi="Arial" w:cs="Arial"/>
          <w:color w:val="000000"/>
        </w:rPr>
        <w:t>25</w:t>
      </w:r>
      <w:r w:rsidR="00F03577" w:rsidRPr="00A2657A">
        <w:rPr>
          <w:rFonts w:ascii="Arial" w:hAnsi="Arial" w:cs="Arial"/>
          <w:color w:val="000000"/>
        </w:rPr>
        <w:t>%</w:t>
      </w:r>
      <w:r w:rsidR="008C41F5" w:rsidRPr="00A2657A">
        <w:rPr>
          <w:rFonts w:ascii="Arial" w:hAnsi="Arial" w:cs="Arial"/>
          <w:color w:val="000000"/>
        </w:rPr>
        <w:t xml:space="preserve"> of the overall evaluation. The bidder with the</w:t>
      </w:r>
      <w:r w:rsidR="002D7D57">
        <w:rPr>
          <w:rFonts w:ascii="Arial" w:hAnsi="Arial" w:cs="Arial"/>
          <w:color w:val="000000"/>
        </w:rPr>
        <w:t xml:space="preserve"> </w:t>
      </w:r>
      <w:r w:rsidR="008C41F5" w:rsidRPr="00A2657A">
        <w:rPr>
          <w:rFonts w:ascii="Arial" w:hAnsi="Arial" w:cs="Arial"/>
          <w:color w:val="000000"/>
        </w:rPr>
        <w:t xml:space="preserve">lowest cost will receive </w:t>
      </w:r>
      <w:r w:rsidR="00021A4E">
        <w:rPr>
          <w:rFonts w:ascii="Arial" w:hAnsi="Arial" w:cs="Arial"/>
          <w:color w:val="000000"/>
        </w:rPr>
        <w:t>25</w:t>
      </w:r>
      <w:r w:rsidR="006A450B">
        <w:rPr>
          <w:rFonts w:ascii="Arial" w:hAnsi="Arial" w:cs="Arial"/>
          <w:color w:val="000000"/>
        </w:rPr>
        <w:t xml:space="preserve">% of the total </w:t>
      </w:r>
      <w:r w:rsidR="00CE07F9">
        <w:rPr>
          <w:rFonts w:ascii="Arial" w:hAnsi="Arial" w:cs="Arial"/>
          <w:color w:val="000000"/>
        </w:rPr>
        <w:t>overall</w:t>
      </w:r>
      <w:r w:rsidR="008C41F5" w:rsidRPr="00A2657A">
        <w:rPr>
          <w:rFonts w:ascii="Arial" w:hAnsi="Arial" w:cs="Arial"/>
          <w:color w:val="000000"/>
        </w:rPr>
        <w:t xml:space="preserve"> marks and all other bids will be marked as a proportional variance from the top scoring bid. An illustrative example is provided below:</w:t>
      </w:r>
    </w:p>
    <w:p w14:paraId="4DC08ABE" w14:textId="53C2B172" w:rsidR="00A97065" w:rsidRPr="002D7D57" w:rsidRDefault="008C41F5" w:rsidP="002D7D57">
      <w:pPr>
        <w:pStyle w:val="NormalWeb"/>
        <w:rPr>
          <w:rFonts w:ascii="Arial" w:hAnsi="Arial" w:cs="Arial"/>
          <w:color w:val="000000" w:themeColor="text1"/>
        </w:rPr>
      </w:pPr>
      <w:r w:rsidRPr="00A2657A">
        <w:rPr>
          <w:rFonts w:ascii="Arial" w:hAnsi="Arial" w:cs="Arial"/>
          <w:color w:val="000000" w:themeColor="text1"/>
        </w:rPr>
        <w:t>Supplier Price (Please note the figures are purely for illustrative purposes)</w:t>
      </w:r>
    </w:p>
    <w:tbl>
      <w:tblPr>
        <w:tblStyle w:val="TableGrid"/>
        <w:tblW w:w="0" w:type="auto"/>
        <w:tblLayout w:type="fixed"/>
        <w:tblLook w:val="06A0" w:firstRow="1" w:lastRow="0" w:firstColumn="1" w:lastColumn="0" w:noHBand="1" w:noVBand="1"/>
      </w:tblPr>
      <w:tblGrid>
        <w:gridCol w:w="2254"/>
        <w:gridCol w:w="1035"/>
        <w:gridCol w:w="1290"/>
        <w:gridCol w:w="4436"/>
      </w:tblGrid>
      <w:tr w:rsidR="45DE352B" w14:paraId="157F6FF9" w14:textId="77777777" w:rsidTr="45DE352B">
        <w:tc>
          <w:tcPr>
            <w:tcW w:w="2254" w:type="dxa"/>
            <w:vMerge w:val="restart"/>
          </w:tcPr>
          <w:p w14:paraId="03D5070D" w14:textId="327BB98A" w:rsidR="45DE352B" w:rsidRDefault="45DE352B" w:rsidP="45DE352B">
            <w:pPr>
              <w:pStyle w:val="NormalWeb"/>
              <w:jc w:val="center"/>
              <w:rPr>
                <w:color w:val="000000" w:themeColor="text1"/>
              </w:rPr>
            </w:pPr>
          </w:p>
          <w:p w14:paraId="72165E4E" w14:textId="122B930F" w:rsidR="45DE352B" w:rsidRDefault="45DE352B" w:rsidP="45DE352B">
            <w:pPr>
              <w:pStyle w:val="NormalWeb"/>
              <w:jc w:val="center"/>
              <w:rPr>
                <w:color w:val="000000" w:themeColor="text1"/>
              </w:rPr>
            </w:pPr>
          </w:p>
          <w:p w14:paraId="7D2C21D7" w14:textId="4A933B6C" w:rsidR="45DE352B" w:rsidRDefault="45DE352B" w:rsidP="45DE352B">
            <w:pPr>
              <w:pStyle w:val="NormalWeb"/>
              <w:jc w:val="center"/>
              <w:rPr>
                <w:color w:val="000000" w:themeColor="text1"/>
              </w:rPr>
            </w:pPr>
          </w:p>
          <w:p w14:paraId="429D8522" w14:textId="36B6BE28" w:rsidR="45DE352B" w:rsidRDefault="45DE352B" w:rsidP="45DE352B">
            <w:pPr>
              <w:pStyle w:val="NormalWeb"/>
              <w:jc w:val="center"/>
              <w:rPr>
                <w:rFonts w:ascii="Arial" w:eastAsia="Arial" w:hAnsi="Arial" w:cs="Arial"/>
                <w:color w:val="000000" w:themeColor="text1"/>
              </w:rPr>
            </w:pPr>
          </w:p>
          <w:p w14:paraId="0D533B7E" w14:textId="752891D0" w:rsidR="45DE352B" w:rsidRDefault="45DE352B" w:rsidP="45DE352B">
            <w:pPr>
              <w:pStyle w:val="NormalWeb"/>
              <w:jc w:val="center"/>
              <w:rPr>
                <w:rFonts w:ascii="Arial" w:eastAsia="Arial" w:hAnsi="Arial" w:cs="Arial"/>
                <w:color w:val="000000" w:themeColor="text1"/>
              </w:rPr>
            </w:pPr>
          </w:p>
          <w:p w14:paraId="0A697402" w14:textId="13F9439A"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Calculation Final Finance Mark</w:t>
            </w:r>
          </w:p>
          <w:p w14:paraId="246E5632" w14:textId="2B0B402C" w:rsidR="45DE352B" w:rsidRDefault="45DE352B" w:rsidP="45DE352B">
            <w:pPr>
              <w:pStyle w:val="NormalWeb"/>
              <w:jc w:val="center"/>
              <w:rPr>
                <w:color w:val="000000" w:themeColor="text1"/>
              </w:rPr>
            </w:pPr>
          </w:p>
          <w:p w14:paraId="04E2877F" w14:textId="3D7EF804" w:rsidR="45DE352B" w:rsidRDefault="45DE352B" w:rsidP="45DE352B">
            <w:pPr>
              <w:pStyle w:val="NormalWeb"/>
              <w:jc w:val="center"/>
              <w:rPr>
                <w:color w:val="000000" w:themeColor="text1"/>
              </w:rPr>
            </w:pPr>
          </w:p>
          <w:p w14:paraId="2C2B63C3" w14:textId="3BB10A9F" w:rsidR="45DE352B" w:rsidRDefault="45DE352B" w:rsidP="45DE352B">
            <w:pPr>
              <w:pStyle w:val="NormalWeb"/>
              <w:jc w:val="center"/>
              <w:rPr>
                <w:color w:val="000000" w:themeColor="text1"/>
              </w:rPr>
            </w:pPr>
          </w:p>
        </w:tc>
        <w:tc>
          <w:tcPr>
            <w:tcW w:w="1035" w:type="dxa"/>
          </w:tcPr>
          <w:p w14:paraId="56B1BA96" w14:textId="69DEE888" w:rsidR="45DE352B" w:rsidRDefault="45DE352B" w:rsidP="45DE352B">
            <w:pPr>
              <w:pStyle w:val="NormalWeb"/>
              <w:jc w:val="center"/>
              <w:rPr>
                <w:rFonts w:ascii="Arial" w:eastAsia="Arial" w:hAnsi="Arial" w:cs="Arial"/>
                <w:color w:val="000000" w:themeColor="text1"/>
              </w:rPr>
            </w:pPr>
          </w:p>
          <w:p w14:paraId="2A13D035" w14:textId="0D8F8E9A"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 xml:space="preserve">A </w:t>
            </w:r>
          </w:p>
        </w:tc>
        <w:tc>
          <w:tcPr>
            <w:tcW w:w="1290" w:type="dxa"/>
          </w:tcPr>
          <w:p w14:paraId="7D090457" w14:textId="065FD6A9" w:rsidR="45DE352B" w:rsidRDefault="45DE352B" w:rsidP="45DE352B">
            <w:pPr>
              <w:pStyle w:val="NormalWeb"/>
              <w:jc w:val="center"/>
              <w:rPr>
                <w:rFonts w:ascii="Arial" w:eastAsia="Arial" w:hAnsi="Arial" w:cs="Arial"/>
                <w:color w:val="000000" w:themeColor="text1"/>
              </w:rPr>
            </w:pPr>
          </w:p>
          <w:p w14:paraId="689C5A61" w14:textId="73784421"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w:t>
            </w:r>
            <w:r w:rsidR="00507D8D">
              <w:rPr>
                <w:rFonts w:ascii="Arial" w:eastAsia="Arial" w:hAnsi="Arial" w:cs="Arial"/>
                <w:color w:val="000000" w:themeColor="text1"/>
              </w:rPr>
              <w:t>200</w:t>
            </w:r>
            <w:r w:rsidRPr="45DE352B">
              <w:rPr>
                <w:rFonts w:ascii="Arial" w:eastAsia="Arial" w:hAnsi="Arial" w:cs="Arial"/>
                <w:color w:val="000000" w:themeColor="text1"/>
              </w:rPr>
              <w:t>k</w:t>
            </w:r>
          </w:p>
        </w:tc>
        <w:tc>
          <w:tcPr>
            <w:tcW w:w="4436" w:type="dxa"/>
          </w:tcPr>
          <w:p w14:paraId="5E08DD77" w14:textId="1A28A671" w:rsidR="45DE352B" w:rsidRDefault="45DE352B" w:rsidP="45DE352B">
            <w:pPr>
              <w:pStyle w:val="NormalWeb"/>
              <w:jc w:val="center"/>
              <w:rPr>
                <w:rFonts w:ascii="Arial" w:eastAsia="Arial" w:hAnsi="Arial" w:cs="Arial"/>
                <w:color w:val="000000" w:themeColor="text1"/>
              </w:rPr>
            </w:pPr>
          </w:p>
          <w:p w14:paraId="69F08A4F" w14:textId="5FBF6539" w:rsidR="51F5B051" w:rsidRDefault="00021A4E" w:rsidP="45DE352B">
            <w:pPr>
              <w:pStyle w:val="NormalWeb"/>
              <w:jc w:val="center"/>
              <w:rPr>
                <w:rFonts w:ascii="Arial" w:eastAsia="Arial" w:hAnsi="Arial" w:cs="Arial"/>
                <w:color w:val="000000" w:themeColor="text1"/>
              </w:rPr>
            </w:pPr>
            <w:r>
              <w:rPr>
                <w:rFonts w:ascii="Arial" w:eastAsia="Arial" w:hAnsi="Arial" w:cs="Arial"/>
                <w:color w:val="000000" w:themeColor="text1"/>
              </w:rPr>
              <w:t>25</w:t>
            </w:r>
            <w:r w:rsidR="0049479E">
              <w:rPr>
                <w:rFonts w:ascii="Arial" w:eastAsia="Arial" w:hAnsi="Arial" w:cs="Arial"/>
                <w:color w:val="000000" w:themeColor="text1"/>
              </w:rPr>
              <w:t>%</w:t>
            </w:r>
          </w:p>
          <w:p w14:paraId="321A97A7" w14:textId="060CE045" w:rsidR="45DE352B" w:rsidRDefault="45DE352B" w:rsidP="45DE352B">
            <w:pPr>
              <w:pStyle w:val="NormalWeb"/>
              <w:jc w:val="center"/>
              <w:rPr>
                <w:rFonts w:ascii="Arial" w:eastAsia="Arial" w:hAnsi="Arial" w:cs="Arial"/>
                <w:color w:val="000000" w:themeColor="text1"/>
              </w:rPr>
            </w:pPr>
          </w:p>
        </w:tc>
      </w:tr>
      <w:tr w:rsidR="45DE352B" w14:paraId="1AAA8025" w14:textId="77777777" w:rsidTr="45DE352B">
        <w:tc>
          <w:tcPr>
            <w:tcW w:w="2254" w:type="dxa"/>
            <w:vMerge/>
          </w:tcPr>
          <w:p w14:paraId="40B67BB3" w14:textId="77777777" w:rsidR="00AF79A4" w:rsidRDefault="00AF79A4"/>
        </w:tc>
        <w:tc>
          <w:tcPr>
            <w:tcW w:w="1035" w:type="dxa"/>
          </w:tcPr>
          <w:p w14:paraId="6F811034" w14:textId="30448134" w:rsidR="45DE352B" w:rsidRDefault="45DE352B" w:rsidP="45DE352B">
            <w:pPr>
              <w:pStyle w:val="NormalWeb"/>
              <w:jc w:val="center"/>
              <w:rPr>
                <w:rFonts w:ascii="Arial" w:eastAsia="Arial" w:hAnsi="Arial" w:cs="Arial"/>
                <w:color w:val="000000" w:themeColor="text1"/>
              </w:rPr>
            </w:pPr>
          </w:p>
          <w:p w14:paraId="7ECB935F" w14:textId="4219A2C1"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B</w:t>
            </w:r>
          </w:p>
        </w:tc>
        <w:tc>
          <w:tcPr>
            <w:tcW w:w="1290" w:type="dxa"/>
          </w:tcPr>
          <w:p w14:paraId="5F15E483" w14:textId="30001082" w:rsidR="45DE352B" w:rsidRDefault="45DE352B" w:rsidP="45DE352B">
            <w:pPr>
              <w:pStyle w:val="NormalWeb"/>
              <w:jc w:val="center"/>
              <w:rPr>
                <w:rFonts w:ascii="Arial" w:eastAsia="Arial" w:hAnsi="Arial" w:cs="Arial"/>
                <w:color w:val="000000" w:themeColor="text1"/>
              </w:rPr>
            </w:pPr>
          </w:p>
          <w:p w14:paraId="07D07F35" w14:textId="3255EBF0"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w:t>
            </w:r>
            <w:r w:rsidR="00E04C88">
              <w:rPr>
                <w:rFonts w:ascii="Arial" w:eastAsia="Arial" w:hAnsi="Arial" w:cs="Arial"/>
                <w:color w:val="000000" w:themeColor="text1"/>
              </w:rPr>
              <w:t>210k</w:t>
            </w:r>
          </w:p>
        </w:tc>
        <w:tc>
          <w:tcPr>
            <w:tcW w:w="4436" w:type="dxa"/>
          </w:tcPr>
          <w:p w14:paraId="3187786D" w14:textId="2CFC270C" w:rsidR="45DE352B" w:rsidRDefault="45DE352B" w:rsidP="45DE352B">
            <w:pPr>
              <w:pStyle w:val="NormalWeb"/>
              <w:jc w:val="center"/>
              <w:rPr>
                <w:rFonts w:ascii="Arial" w:eastAsia="Arial" w:hAnsi="Arial" w:cs="Arial"/>
                <w:color w:val="000000" w:themeColor="text1"/>
              </w:rPr>
            </w:pPr>
          </w:p>
          <w:p w14:paraId="24D08C98" w14:textId="32312393"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w:t>
            </w:r>
            <w:r w:rsidR="00412B94">
              <w:rPr>
                <w:rFonts w:ascii="Arial" w:eastAsia="Arial" w:hAnsi="Arial" w:cs="Arial"/>
                <w:color w:val="000000" w:themeColor="text1"/>
              </w:rPr>
              <w:t>200</w:t>
            </w:r>
            <w:r w:rsidRPr="45DE352B">
              <w:rPr>
                <w:rFonts w:ascii="Arial" w:eastAsia="Arial" w:hAnsi="Arial" w:cs="Arial"/>
                <w:color w:val="000000" w:themeColor="text1"/>
              </w:rPr>
              <w:t>/</w:t>
            </w:r>
            <w:r w:rsidR="00412B94">
              <w:rPr>
                <w:rFonts w:ascii="Arial" w:eastAsia="Arial" w:hAnsi="Arial" w:cs="Arial"/>
                <w:color w:val="000000" w:themeColor="text1"/>
              </w:rPr>
              <w:t>210</w:t>
            </w:r>
            <w:r w:rsidRPr="45DE352B">
              <w:rPr>
                <w:rFonts w:ascii="Arial" w:eastAsia="Arial" w:hAnsi="Arial" w:cs="Arial"/>
                <w:color w:val="000000" w:themeColor="text1"/>
              </w:rPr>
              <w:t xml:space="preserve">) x </w:t>
            </w:r>
            <w:r w:rsidR="00021A4E">
              <w:rPr>
                <w:rFonts w:ascii="Arial" w:eastAsia="Arial" w:hAnsi="Arial" w:cs="Arial"/>
                <w:color w:val="000000" w:themeColor="text1"/>
              </w:rPr>
              <w:t>25</w:t>
            </w:r>
            <w:r w:rsidRPr="45DE352B">
              <w:rPr>
                <w:rFonts w:ascii="Arial" w:eastAsia="Arial" w:hAnsi="Arial" w:cs="Arial"/>
                <w:color w:val="000000" w:themeColor="text1"/>
              </w:rPr>
              <w:t xml:space="preserve"> =</w:t>
            </w:r>
            <w:r w:rsidR="001F7690">
              <w:rPr>
                <w:rFonts w:ascii="Arial" w:eastAsia="Arial" w:hAnsi="Arial" w:cs="Arial"/>
                <w:color w:val="000000" w:themeColor="text1"/>
              </w:rPr>
              <w:t xml:space="preserve"> </w:t>
            </w:r>
            <w:r w:rsidR="001B5DF1">
              <w:rPr>
                <w:rFonts w:ascii="Arial" w:eastAsia="Arial" w:hAnsi="Arial" w:cs="Arial"/>
                <w:color w:val="000000" w:themeColor="text1"/>
              </w:rPr>
              <w:t>23.8</w:t>
            </w:r>
            <w:r w:rsidR="00E05495">
              <w:rPr>
                <w:rFonts w:ascii="Arial" w:eastAsia="Arial" w:hAnsi="Arial" w:cs="Arial"/>
                <w:color w:val="000000" w:themeColor="text1"/>
              </w:rPr>
              <w:t>%</w:t>
            </w:r>
          </w:p>
          <w:p w14:paraId="76C1E81F" w14:textId="48B5D697" w:rsidR="45DE352B" w:rsidRDefault="45DE352B" w:rsidP="45DE352B">
            <w:pPr>
              <w:pStyle w:val="NormalWeb"/>
              <w:jc w:val="center"/>
              <w:rPr>
                <w:rFonts w:ascii="Arial" w:eastAsia="Arial" w:hAnsi="Arial" w:cs="Arial"/>
                <w:color w:val="000000" w:themeColor="text1"/>
              </w:rPr>
            </w:pPr>
          </w:p>
        </w:tc>
      </w:tr>
      <w:tr w:rsidR="45DE352B" w14:paraId="297EB54E" w14:textId="77777777" w:rsidTr="45DE352B">
        <w:tc>
          <w:tcPr>
            <w:tcW w:w="2254" w:type="dxa"/>
            <w:vMerge/>
          </w:tcPr>
          <w:p w14:paraId="4D03391A" w14:textId="77777777" w:rsidR="00AF79A4" w:rsidRDefault="00AF79A4"/>
        </w:tc>
        <w:tc>
          <w:tcPr>
            <w:tcW w:w="1035" w:type="dxa"/>
          </w:tcPr>
          <w:p w14:paraId="20470CDB" w14:textId="122D8143" w:rsidR="45DE352B" w:rsidRDefault="45DE352B" w:rsidP="45DE352B">
            <w:pPr>
              <w:pStyle w:val="NormalWeb"/>
              <w:jc w:val="center"/>
              <w:rPr>
                <w:rFonts w:ascii="Arial" w:eastAsia="Arial" w:hAnsi="Arial" w:cs="Arial"/>
                <w:color w:val="000000" w:themeColor="text1"/>
              </w:rPr>
            </w:pPr>
          </w:p>
          <w:p w14:paraId="055BE437" w14:textId="11EC048F"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C</w:t>
            </w:r>
          </w:p>
        </w:tc>
        <w:tc>
          <w:tcPr>
            <w:tcW w:w="1290" w:type="dxa"/>
          </w:tcPr>
          <w:p w14:paraId="13A7C1DF" w14:textId="371333FF" w:rsidR="45DE352B" w:rsidRDefault="45DE352B" w:rsidP="45DE352B">
            <w:pPr>
              <w:pStyle w:val="NormalWeb"/>
              <w:jc w:val="center"/>
              <w:rPr>
                <w:rFonts w:ascii="Arial" w:eastAsia="Arial" w:hAnsi="Arial" w:cs="Arial"/>
                <w:color w:val="000000" w:themeColor="text1"/>
              </w:rPr>
            </w:pPr>
          </w:p>
          <w:p w14:paraId="480AA16F" w14:textId="503695F9"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w:t>
            </w:r>
            <w:r w:rsidR="00E04C88">
              <w:rPr>
                <w:rFonts w:ascii="Arial" w:eastAsia="Arial" w:hAnsi="Arial" w:cs="Arial"/>
                <w:color w:val="000000" w:themeColor="text1"/>
              </w:rPr>
              <w:t>225k</w:t>
            </w:r>
          </w:p>
        </w:tc>
        <w:tc>
          <w:tcPr>
            <w:tcW w:w="4436" w:type="dxa"/>
          </w:tcPr>
          <w:p w14:paraId="3C3ACEAD" w14:textId="7E248C29" w:rsidR="45DE352B" w:rsidRDefault="45DE352B" w:rsidP="45DE352B">
            <w:pPr>
              <w:pStyle w:val="NormalWeb"/>
              <w:jc w:val="center"/>
              <w:rPr>
                <w:rFonts w:ascii="Arial" w:eastAsia="Arial" w:hAnsi="Arial" w:cs="Arial"/>
                <w:color w:val="000000" w:themeColor="text1"/>
              </w:rPr>
            </w:pPr>
          </w:p>
          <w:p w14:paraId="1F656609" w14:textId="2675532F"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w:t>
            </w:r>
            <w:r w:rsidR="00412B94">
              <w:rPr>
                <w:rFonts w:ascii="Arial" w:eastAsia="Arial" w:hAnsi="Arial" w:cs="Arial"/>
                <w:color w:val="000000" w:themeColor="text1"/>
              </w:rPr>
              <w:t>200/225</w:t>
            </w:r>
            <w:r w:rsidRPr="45DE352B">
              <w:rPr>
                <w:rFonts w:ascii="Arial" w:eastAsia="Arial" w:hAnsi="Arial" w:cs="Arial"/>
                <w:color w:val="000000" w:themeColor="text1"/>
              </w:rPr>
              <w:t xml:space="preserve">) x </w:t>
            </w:r>
            <w:r w:rsidR="00021A4E">
              <w:rPr>
                <w:rFonts w:ascii="Arial" w:eastAsia="Arial" w:hAnsi="Arial" w:cs="Arial"/>
                <w:color w:val="000000" w:themeColor="text1"/>
              </w:rPr>
              <w:t>25</w:t>
            </w:r>
            <w:r w:rsidRPr="45DE352B">
              <w:rPr>
                <w:rFonts w:ascii="Arial" w:eastAsia="Arial" w:hAnsi="Arial" w:cs="Arial"/>
                <w:color w:val="000000" w:themeColor="text1"/>
              </w:rPr>
              <w:t xml:space="preserve"> =</w:t>
            </w:r>
            <w:r w:rsidR="001F7690">
              <w:rPr>
                <w:rFonts w:ascii="Arial" w:eastAsia="Arial" w:hAnsi="Arial" w:cs="Arial"/>
                <w:color w:val="000000" w:themeColor="text1"/>
              </w:rPr>
              <w:t xml:space="preserve"> </w:t>
            </w:r>
            <w:r w:rsidR="00E05495">
              <w:rPr>
                <w:rFonts w:ascii="Arial" w:eastAsia="Arial" w:hAnsi="Arial" w:cs="Arial"/>
                <w:color w:val="000000" w:themeColor="text1"/>
              </w:rPr>
              <w:t>22.2%</w:t>
            </w:r>
          </w:p>
          <w:p w14:paraId="5F006724" w14:textId="4A388D3F" w:rsidR="45DE352B" w:rsidRDefault="45DE352B" w:rsidP="45DE352B">
            <w:pPr>
              <w:pStyle w:val="NormalWeb"/>
              <w:jc w:val="center"/>
              <w:rPr>
                <w:rFonts w:ascii="Arial" w:eastAsia="Arial" w:hAnsi="Arial" w:cs="Arial"/>
                <w:color w:val="000000" w:themeColor="text1"/>
              </w:rPr>
            </w:pPr>
          </w:p>
        </w:tc>
      </w:tr>
      <w:tr w:rsidR="45DE352B" w14:paraId="64C245AE" w14:textId="77777777" w:rsidTr="45DE352B">
        <w:tc>
          <w:tcPr>
            <w:tcW w:w="2254" w:type="dxa"/>
            <w:vMerge/>
          </w:tcPr>
          <w:p w14:paraId="0E612D92" w14:textId="77777777" w:rsidR="00AF79A4" w:rsidRDefault="00AF79A4"/>
        </w:tc>
        <w:tc>
          <w:tcPr>
            <w:tcW w:w="1035" w:type="dxa"/>
          </w:tcPr>
          <w:p w14:paraId="656FCFCD" w14:textId="211A2B3B" w:rsidR="45DE352B" w:rsidRDefault="45DE352B" w:rsidP="45DE352B">
            <w:pPr>
              <w:pStyle w:val="NormalWeb"/>
              <w:jc w:val="center"/>
              <w:rPr>
                <w:rFonts w:ascii="Arial" w:eastAsia="Arial" w:hAnsi="Arial" w:cs="Arial"/>
                <w:color w:val="000000" w:themeColor="text1"/>
              </w:rPr>
            </w:pPr>
          </w:p>
          <w:p w14:paraId="74B4852E" w14:textId="40B639FC"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D</w:t>
            </w:r>
          </w:p>
        </w:tc>
        <w:tc>
          <w:tcPr>
            <w:tcW w:w="1290" w:type="dxa"/>
          </w:tcPr>
          <w:p w14:paraId="43CABDB5" w14:textId="21B775EE" w:rsidR="45DE352B" w:rsidRDefault="45DE352B" w:rsidP="45DE352B">
            <w:pPr>
              <w:pStyle w:val="NormalWeb"/>
              <w:jc w:val="center"/>
              <w:rPr>
                <w:rFonts w:ascii="Arial" w:eastAsia="Arial" w:hAnsi="Arial" w:cs="Arial"/>
                <w:color w:val="000000" w:themeColor="text1"/>
              </w:rPr>
            </w:pPr>
          </w:p>
          <w:p w14:paraId="67C9DA5F" w14:textId="76208539"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w:t>
            </w:r>
            <w:r w:rsidR="00E04C88">
              <w:rPr>
                <w:rFonts w:ascii="Arial" w:eastAsia="Arial" w:hAnsi="Arial" w:cs="Arial"/>
                <w:color w:val="000000" w:themeColor="text1"/>
              </w:rPr>
              <w:t>250k</w:t>
            </w:r>
          </w:p>
        </w:tc>
        <w:tc>
          <w:tcPr>
            <w:tcW w:w="4436" w:type="dxa"/>
          </w:tcPr>
          <w:p w14:paraId="1BAD1FBD" w14:textId="38EBEDB6" w:rsidR="45DE352B" w:rsidRDefault="45DE352B" w:rsidP="45DE352B">
            <w:pPr>
              <w:pStyle w:val="NormalWeb"/>
              <w:jc w:val="center"/>
              <w:rPr>
                <w:rFonts w:ascii="Arial" w:eastAsia="Arial" w:hAnsi="Arial" w:cs="Arial"/>
                <w:color w:val="000000" w:themeColor="text1"/>
              </w:rPr>
            </w:pPr>
          </w:p>
          <w:p w14:paraId="7AD66FBB" w14:textId="2B021B07" w:rsidR="51F5B051" w:rsidRDefault="51F5B051" w:rsidP="45DE352B">
            <w:pPr>
              <w:pStyle w:val="NormalWeb"/>
              <w:jc w:val="center"/>
              <w:rPr>
                <w:rFonts w:ascii="Arial" w:eastAsia="Arial" w:hAnsi="Arial" w:cs="Arial"/>
                <w:color w:val="000000" w:themeColor="text1"/>
              </w:rPr>
            </w:pPr>
            <w:r w:rsidRPr="45DE352B">
              <w:rPr>
                <w:rFonts w:ascii="Arial" w:eastAsia="Arial" w:hAnsi="Arial" w:cs="Arial"/>
                <w:color w:val="000000" w:themeColor="text1"/>
              </w:rPr>
              <w:t>(</w:t>
            </w:r>
            <w:r w:rsidR="00507D8D">
              <w:rPr>
                <w:rFonts w:ascii="Arial" w:eastAsia="Arial" w:hAnsi="Arial" w:cs="Arial"/>
                <w:color w:val="000000" w:themeColor="text1"/>
              </w:rPr>
              <w:t>2</w:t>
            </w:r>
            <w:r w:rsidR="00412B94">
              <w:rPr>
                <w:rFonts w:ascii="Arial" w:eastAsia="Arial" w:hAnsi="Arial" w:cs="Arial"/>
                <w:color w:val="000000" w:themeColor="text1"/>
              </w:rPr>
              <w:t>00/250</w:t>
            </w:r>
            <w:r w:rsidRPr="45DE352B">
              <w:rPr>
                <w:rFonts w:ascii="Arial" w:eastAsia="Arial" w:hAnsi="Arial" w:cs="Arial"/>
                <w:color w:val="000000" w:themeColor="text1"/>
              </w:rPr>
              <w:t xml:space="preserve">) x </w:t>
            </w:r>
            <w:r w:rsidR="00021A4E">
              <w:rPr>
                <w:rFonts w:ascii="Arial" w:eastAsia="Arial" w:hAnsi="Arial" w:cs="Arial"/>
                <w:color w:val="000000" w:themeColor="text1"/>
              </w:rPr>
              <w:t>25</w:t>
            </w:r>
            <w:r w:rsidRPr="45DE352B">
              <w:rPr>
                <w:rFonts w:ascii="Arial" w:eastAsia="Arial" w:hAnsi="Arial" w:cs="Arial"/>
                <w:color w:val="000000" w:themeColor="text1"/>
              </w:rPr>
              <w:t xml:space="preserve"> =</w:t>
            </w:r>
            <w:r w:rsidR="00E2082B">
              <w:rPr>
                <w:rFonts w:ascii="Arial" w:eastAsia="Arial" w:hAnsi="Arial" w:cs="Arial"/>
                <w:color w:val="000000" w:themeColor="text1"/>
              </w:rPr>
              <w:t xml:space="preserve"> </w:t>
            </w:r>
            <w:r w:rsidR="0022510D">
              <w:rPr>
                <w:rFonts w:ascii="Arial" w:eastAsia="Arial" w:hAnsi="Arial" w:cs="Arial"/>
                <w:color w:val="000000" w:themeColor="text1"/>
              </w:rPr>
              <w:t>20%</w:t>
            </w:r>
          </w:p>
          <w:p w14:paraId="5D51909C" w14:textId="465BB1BF" w:rsidR="45DE352B" w:rsidRDefault="45DE352B" w:rsidP="45DE352B">
            <w:pPr>
              <w:pStyle w:val="NormalWeb"/>
              <w:jc w:val="center"/>
              <w:rPr>
                <w:rFonts w:ascii="Arial" w:eastAsia="Arial" w:hAnsi="Arial" w:cs="Arial"/>
                <w:color w:val="000000" w:themeColor="text1"/>
              </w:rPr>
            </w:pPr>
          </w:p>
        </w:tc>
      </w:tr>
      <w:tr w:rsidR="00E04C88" w14:paraId="3518E64A" w14:textId="77777777" w:rsidTr="45DE352B">
        <w:tc>
          <w:tcPr>
            <w:tcW w:w="2254" w:type="dxa"/>
          </w:tcPr>
          <w:p w14:paraId="7B33384F" w14:textId="77777777" w:rsidR="00E04C88" w:rsidRDefault="00E04C88"/>
        </w:tc>
        <w:tc>
          <w:tcPr>
            <w:tcW w:w="1035" w:type="dxa"/>
          </w:tcPr>
          <w:p w14:paraId="77042276" w14:textId="17477D00" w:rsidR="00E04C88" w:rsidRDefault="00E04C88" w:rsidP="45DE352B">
            <w:pPr>
              <w:pStyle w:val="NormalWeb"/>
              <w:jc w:val="center"/>
              <w:rPr>
                <w:rFonts w:ascii="Arial" w:eastAsia="Arial" w:hAnsi="Arial" w:cs="Arial"/>
                <w:color w:val="000000" w:themeColor="text1"/>
              </w:rPr>
            </w:pPr>
            <w:r>
              <w:rPr>
                <w:rFonts w:ascii="Arial" w:eastAsia="Arial" w:hAnsi="Arial" w:cs="Arial"/>
                <w:color w:val="000000" w:themeColor="text1"/>
              </w:rPr>
              <w:t>E</w:t>
            </w:r>
          </w:p>
        </w:tc>
        <w:tc>
          <w:tcPr>
            <w:tcW w:w="1290" w:type="dxa"/>
          </w:tcPr>
          <w:p w14:paraId="74AAFB21" w14:textId="7438AE12" w:rsidR="00E04C88" w:rsidRDefault="00E04C88" w:rsidP="45DE352B">
            <w:pPr>
              <w:pStyle w:val="NormalWeb"/>
              <w:jc w:val="center"/>
              <w:rPr>
                <w:rFonts w:ascii="Arial" w:eastAsia="Arial" w:hAnsi="Arial" w:cs="Arial"/>
                <w:color w:val="000000" w:themeColor="text1"/>
              </w:rPr>
            </w:pPr>
            <w:r>
              <w:rPr>
                <w:rFonts w:ascii="Arial" w:eastAsia="Arial" w:hAnsi="Arial" w:cs="Arial"/>
                <w:color w:val="000000" w:themeColor="text1"/>
              </w:rPr>
              <w:t>£300k</w:t>
            </w:r>
          </w:p>
        </w:tc>
        <w:tc>
          <w:tcPr>
            <w:tcW w:w="4436" w:type="dxa"/>
          </w:tcPr>
          <w:p w14:paraId="5E712157" w14:textId="1B1E0B41" w:rsidR="00E04C88" w:rsidRDefault="00507D8D" w:rsidP="45DE352B">
            <w:pPr>
              <w:pStyle w:val="NormalWeb"/>
              <w:jc w:val="center"/>
              <w:rPr>
                <w:rFonts w:ascii="Arial" w:eastAsia="Arial" w:hAnsi="Arial" w:cs="Arial"/>
                <w:color w:val="000000" w:themeColor="text1"/>
              </w:rPr>
            </w:pPr>
            <w:r>
              <w:rPr>
                <w:rFonts w:ascii="Arial" w:eastAsia="Arial" w:hAnsi="Arial" w:cs="Arial"/>
                <w:color w:val="000000" w:themeColor="text1"/>
              </w:rPr>
              <w:t>Excluded in line with paragraph 8</w:t>
            </w:r>
          </w:p>
        </w:tc>
      </w:tr>
    </w:tbl>
    <w:p w14:paraId="06AE4B37" w14:textId="33034722" w:rsidR="00D42011" w:rsidRDefault="00D42011">
      <w:pPr>
        <w:rPr>
          <w:rFonts w:ascii="Arial" w:hAnsi="Arial" w:cs="Arial"/>
          <w:sz w:val="24"/>
          <w:szCs w:val="24"/>
        </w:rPr>
      </w:pPr>
    </w:p>
    <w:p w14:paraId="18A13AC5" w14:textId="69501CF5" w:rsidR="00290CD1" w:rsidRDefault="00474265" w:rsidP="002D7D57">
      <w:pPr>
        <w:spacing w:before="100" w:beforeAutospacing="1" w:after="100" w:afterAutospacing="1" w:line="240" w:lineRule="auto"/>
        <w:ind w:left="851" w:hanging="851"/>
        <w:rPr>
          <w:rFonts w:ascii="Arial" w:hAnsi="Arial" w:cs="Arial"/>
          <w:sz w:val="24"/>
          <w:szCs w:val="24"/>
        </w:rPr>
      </w:pPr>
      <w:r>
        <w:rPr>
          <w:rFonts w:ascii="Arial" w:hAnsi="Arial" w:cs="Arial"/>
          <w:sz w:val="24"/>
          <w:szCs w:val="24"/>
        </w:rPr>
        <w:t>16.</w:t>
      </w:r>
      <w:r w:rsidR="00C60649">
        <w:rPr>
          <w:rFonts w:ascii="Arial" w:hAnsi="Arial" w:cs="Arial"/>
          <w:sz w:val="24"/>
          <w:szCs w:val="24"/>
        </w:rPr>
        <w:t>3</w:t>
      </w:r>
      <w:r>
        <w:rPr>
          <w:rFonts w:ascii="Arial" w:hAnsi="Arial" w:cs="Arial"/>
          <w:sz w:val="24"/>
          <w:szCs w:val="24"/>
        </w:rPr>
        <w:t xml:space="preserve"> </w:t>
      </w:r>
      <w:r w:rsidR="002D7D57">
        <w:rPr>
          <w:rFonts w:ascii="Arial" w:hAnsi="Arial" w:cs="Arial"/>
          <w:sz w:val="24"/>
          <w:szCs w:val="24"/>
        </w:rPr>
        <w:tab/>
      </w:r>
      <w:r w:rsidRPr="00290CD1">
        <w:rPr>
          <w:rFonts w:ascii="Arial" w:hAnsi="Arial" w:cs="Arial"/>
          <w:sz w:val="24"/>
          <w:szCs w:val="24"/>
        </w:rPr>
        <w:t>Cost assumptions</w:t>
      </w:r>
      <w:r w:rsidR="001B2537" w:rsidRPr="00290CD1">
        <w:rPr>
          <w:rFonts w:ascii="Arial" w:hAnsi="Arial" w:cs="Arial"/>
          <w:sz w:val="24"/>
          <w:szCs w:val="24"/>
        </w:rPr>
        <w:t xml:space="preserve"> represent 5% of the overall evaluation</w:t>
      </w:r>
      <w:r w:rsidR="00DD2DB0">
        <w:rPr>
          <w:rFonts w:ascii="Arial" w:hAnsi="Arial" w:cs="Arial"/>
          <w:sz w:val="24"/>
          <w:szCs w:val="24"/>
        </w:rPr>
        <w:t xml:space="preserve"> and will be awarded a mark of 1 to 5</w:t>
      </w:r>
      <w:r w:rsidR="001B2537" w:rsidRPr="00290CD1">
        <w:rPr>
          <w:rFonts w:ascii="Arial" w:hAnsi="Arial" w:cs="Arial"/>
          <w:sz w:val="24"/>
          <w:szCs w:val="24"/>
        </w:rPr>
        <w:t xml:space="preserve">. </w:t>
      </w:r>
      <w:r w:rsidR="00290CD1" w:rsidRPr="00290CD1">
        <w:rPr>
          <w:rFonts w:ascii="Arial" w:hAnsi="Arial" w:cs="Arial"/>
          <w:sz w:val="24"/>
          <w:szCs w:val="24"/>
        </w:rPr>
        <w:t xml:space="preserve">The bidder will need to set out the assumptions made in terms of costs </w:t>
      </w:r>
      <w:proofErr w:type="gramStart"/>
      <w:r w:rsidR="00290CD1" w:rsidRPr="00290CD1">
        <w:rPr>
          <w:rFonts w:ascii="Arial" w:hAnsi="Arial" w:cs="Arial"/>
          <w:sz w:val="24"/>
          <w:szCs w:val="24"/>
        </w:rPr>
        <w:t>e.g.</w:t>
      </w:r>
      <w:proofErr w:type="gramEnd"/>
      <w:r w:rsidR="00290CD1" w:rsidRPr="00290CD1">
        <w:rPr>
          <w:rFonts w:ascii="Arial" w:hAnsi="Arial" w:cs="Arial"/>
          <w:sz w:val="24"/>
          <w:szCs w:val="24"/>
        </w:rPr>
        <w:t xml:space="preserve"> number of days/FTE allocated. The bidder will also need to include details on how they have ensured that the budget is sufficient for the work required</w:t>
      </w:r>
      <w:r w:rsidR="00394312">
        <w:rPr>
          <w:rFonts w:ascii="Arial" w:hAnsi="Arial" w:cs="Arial"/>
          <w:sz w:val="24"/>
          <w:szCs w:val="24"/>
        </w:rPr>
        <w:t>.</w:t>
      </w:r>
    </w:p>
    <w:p w14:paraId="783A4445" w14:textId="13C97759" w:rsidR="00F67A44" w:rsidRDefault="00F67A44" w:rsidP="002D7D57">
      <w:pPr>
        <w:ind w:left="131" w:firstLine="720"/>
        <w:rPr>
          <w:rFonts w:ascii="Arial" w:hAnsi="Arial" w:cs="Arial"/>
          <w:sz w:val="24"/>
          <w:szCs w:val="24"/>
        </w:rPr>
      </w:pPr>
      <w:r>
        <w:rPr>
          <w:rFonts w:ascii="Arial" w:hAnsi="Arial" w:cs="Arial"/>
          <w:sz w:val="24"/>
          <w:szCs w:val="24"/>
        </w:rPr>
        <w:t>The scoring scale</w:t>
      </w:r>
      <w:r w:rsidR="1927579C" w:rsidRPr="655C458F">
        <w:rPr>
          <w:rFonts w:ascii="Arial" w:hAnsi="Arial" w:cs="Arial"/>
          <w:sz w:val="24"/>
          <w:szCs w:val="24"/>
        </w:rPr>
        <w:t>,</w:t>
      </w:r>
      <w:r w:rsidR="3DCB69A3" w:rsidRPr="655C458F">
        <w:rPr>
          <w:rFonts w:ascii="Arial" w:hAnsi="Arial" w:cs="Arial"/>
          <w:sz w:val="24"/>
          <w:szCs w:val="24"/>
        </w:rPr>
        <w:t xml:space="preserve"> as provided in 15.5.1</w:t>
      </w:r>
      <w:r w:rsidR="223E5E48" w:rsidRPr="655C458F">
        <w:rPr>
          <w:rFonts w:ascii="Arial" w:hAnsi="Arial" w:cs="Arial"/>
          <w:sz w:val="24"/>
          <w:szCs w:val="24"/>
        </w:rPr>
        <w:t>,</w:t>
      </w:r>
      <w:r>
        <w:rPr>
          <w:rFonts w:ascii="Arial" w:hAnsi="Arial" w:cs="Arial"/>
          <w:sz w:val="24"/>
          <w:szCs w:val="24"/>
        </w:rPr>
        <w:t xml:space="preserve"> will be used</w:t>
      </w:r>
      <w:r w:rsidR="5175C37C" w:rsidRPr="655C458F">
        <w:rPr>
          <w:rFonts w:ascii="Arial" w:hAnsi="Arial" w:cs="Arial"/>
          <w:sz w:val="24"/>
          <w:szCs w:val="24"/>
        </w:rPr>
        <w:t xml:space="preserve"> for this question</w:t>
      </w:r>
      <w:r w:rsidR="26CD5C1C" w:rsidRPr="655C458F">
        <w:rPr>
          <w:rFonts w:ascii="Arial" w:hAnsi="Arial" w:cs="Arial"/>
          <w:sz w:val="24"/>
          <w:szCs w:val="24"/>
        </w:rPr>
        <w:t>.</w:t>
      </w:r>
      <w:r>
        <w:rPr>
          <w:rFonts w:ascii="Arial" w:hAnsi="Arial" w:cs="Arial"/>
          <w:sz w:val="24"/>
          <w:szCs w:val="24"/>
        </w:rPr>
        <w:t xml:space="preserve"> </w:t>
      </w:r>
    </w:p>
    <w:p w14:paraId="5EED1380" w14:textId="77777777" w:rsidR="00F67A44" w:rsidRPr="00290CD1" w:rsidRDefault="00F67A44" w:rsidP="00290CD1">
      <w:pPr>
        <w:rPr>
          <w:rFonts w:ascii="Arial" w:hAnsi="Arial" w:cs="Arial"/>
          <w:sz w:val="24"/>
          <w:szCs w:val="24"/>
        </w:rPr>
      </w:pPr>
    </w:p>
    <w:sectPr w:rsidR="00F67A44" w:rsidRPr="00290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7C31"/>
    <w:multiLevelType w:val="multilevel"/>
    <w:tmpl w:val="5D2CF65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D79636B"/>
    <w:multiLevelType w:val="hybridMultilevel"/>
    <w:tmpl w:val="4EF8E740"/>
    <w:lvl w:ilvl="0" w:tplc="08090013">
      <w:start w:val="1"/>
      <w:numFmt w:val="upperRoman"/>
      <w:lvlText w:val="%1."/>
      <w:lvlJc w:val="righ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34491069"/>
    <w:multiLevelType w:val="hybridMultilevel"/>
    <w:tmpl w:val="617C4A8E"/>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3D7E3A64"/>
    <w:multiLevelType w:val="multilevel"/>
    <w:tmpl w:val="9C96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A21D2A"/>
    <w:multiLevelType w:val="hybridMultilevel"/>
    <w:tmpl w:val="AAB6BBD2"/>
    <w:lvl w:ilvl="0" w:tplc="4EEE9626">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DD61D5"/>
    <w:multiLevelType w:val="hybridMultilevel"/>
    <w:tmpl w:val="0DBC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5139C"/>
    <w:multiLevelType w:val="hybridMultilevel"/>
    <w:tmpl w:val="13F4C6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F7E6B82"/>
    <w:multiLevelType w:val="multilevel"/>
    <w:tmpl w:val="317E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F0620F"/>
    <w:multiLevelType w:val="multilevel"/>
    <w:tmpl w:val="6576DAC2"/>
    <w:lvl w:ilvl="0">
      <w:start w:val="16"/>
      <w:numFmt w:val="decimal"/>
      <w:lvlText w:val="%1"/>
      <w:lvlJc w:val="left"/>
      <w:pPr>
        <w:ind w:left="473" w:hanging="473"/>
      </w:pPr>
      <w:rPr>
        <w:rFonts w:hint="default"/>
      </w:rPr>
    </w:lvl>
    <w:lvl w:ilvl="1">
      <w:start w:val="4"/>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061B7"/>
    <w:multiLevelType w:val="multilevel"/>
    <w:tmpl w:val="FEE8D6E2"/>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4600836"/>
    <w:multiLevelType w:val="hybridMultilevel"/>
    <w:tmpl w:val="6214120C"/>
    <w:lvl w:ilvl="0" w:tplc="08090013">
      <w:start w:val="1"/>
      <w:numFmt w:val="upperRoman"/>
      <w:lvlText w:val="%1."/>
      <w:lvlJc w:val="right"/>
      <w:pPr>
        <w:ind w:left="2224" w:hanging="360"/>
      </w:pPr>
    </w:lvl>
    <w:lvl w:ilvl="1" w:tplc="08090019" w:tentative="1">
      <w:start w:val="1"/>
      <w:numFmt w:val="lowerLetter"/>
      <w:lvlText w:val="%2."/>
      <w:lvlJc w:val="left"/>
      <w:pPr>
        <w:ind w:left="2944" w:hanging="360"/>
      </w:pPr>
    </w:lvl>
    <w:lvl w:ilvl="2" w:tplc="0809001B" w:tentative="1">
      <w:start w:val="1"/>
      <w:numFmt w:val="lowerRoman"/>
      <w:lvlText w:val="%3."/>
      <w:lvlJc w:val="right"/>
      <w:pPr>
        <w:ind w:left="3664" w:hanging="180"/>
      </w:pPr>
    </w:lvl>
    <w:lvl w:ilvl="3" w:tplc="0809000F" w:tentative="1">
      <w:start w:val="1"/>
      <w:numFmt w:val="decimal"/>
      <w:lvlText w:val="%4."/>
      <w:lvlJc w:val="left"/>
      <w:pPr>
        <w:ind w:left="4384" w:hanging="360"/>
      </w:pPr>
    </w:lvl>
    <w:lvl w:ilvl="4" w:tplc="08090019" w:tentative="1">
      <w:start w:val="1"/>
      <w:numFmt w:val="lowerLetter"/>
      <w:lvlText w:val="%5."/>
      <w:lvlJc w:val="left"/>
      <w:pPr>
        <w:ind w:left="5104" w:hanging="360"/>
      </w:pPr>
    </w:lvl>
    <w:lvl w:ilvl="5" w:tplc="0809001B" w:tentative="1">
      <w:start w:val="1"/>
      <w:numFmt w:val="lowerRoman"/>
      <w:lvlText w:val="%6."/>
      <w:lvlJc w:val="right"/>
      <w:pPr>
        <w:ind w:left="5824" w:hanging="180"/>
      </w:pPr>
    </w:lvl>
    <w:lvl w:ilvl="6" w:tplc="0809000F" w:tentative="1">
      <w:start w:val="1"/>
      <w:numFmt w:val="decimal"/>
      <w:lvlText w:val="%7."/>
      <w:lvlJc w:val="left"/>
      <w:pPr>
        <w:ind w:left="6544" w:hanging="360"/>
      </w:pPr>
    </w:lvl>
    <w:lvl w:ilvl="7" w:tplc="08090019" w:tentative="1">
      <w:start w:val="1"/>
      <w:numFmt w:val="lowerLetter"/>
      <w:lvlText w:val="%8."/>
      <w:lvlJc w:val="left"/>
      <w:pPr>
        <w:ind w:left="7264" w:hanging="360"/>
      </w:pPr>
    </w:lvl>
    <w:lvl w:ilvl="8" w:tplc="0809001B" w:tentative="1">
      <w:start w:val="1"/>
      <w:numFmt w:val="lowerRoman"/>
      <w:lvlText w:val="%9."/>
      <w:lvlJc w:val="right"/>
      <w:pPr>
        <w:ind w:left="7984" w:hanging="180"/>
      </w:pPr>
    </w:lvl>
  </w:abstractNum>
  <w:abstractNum w:abstractNumId="13" w15:restartNumberingAfterBreak="0">
    <w:nsid w:val="69204A59"/>
    <w:multiLevelType w:val="hybridMultilevel"/>
    <w:tmpl w:val="CF08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D737DF"/>
    <w:multiLevelType w:val="hybridMultilevel"/>
    <w:tmpl w:val="2CC6F93A"/>
    <w:lvl w:ilvl="0" w:tplc="3A589F5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0"/>
  </w:num>
  <w:num w:numId="3">
    <w:abstractNumId w:val="1"/>
  </w:num>
  <w:num w:numId="4">
    <w:abstractNumId w:val="14"/>
  </w:num>
  <w:num w:numId="5">
    <w:abstractNumId w:val="8"/>
  </w:num>
  <w:num w:numId="6">
    <w:abstractNumId w:val="11"/>
  </w:num>
  <w:num w:numId="7">
    <w:abstractNumId w:val="4"/>
  </w:num>
  <w:num w:numId="8">
    <w:abstractNumId w:val="9"/>
  </w:num>
  <w:num w:numId="9">
    <w:abstractNumId w:val="8"/>
  </w:num>
  <w:num w:numId="10">
    <w:abstractNumId w:val="6"/>
  </w:num>
  <w:num w:numId="11">
    <w:abstractNumId w:val="8"/>
  </w:num>
  <w:num w:numId="12">
    <w:abstractNumId w:val="3"/>
  </w:num>
  <w:num w:numId="13">
    <w:abstractNumId w:val="2"/>
  </w:num>
  <w:num w:numId="14">
    <w:abstractNumId w:val="12"/>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F5"/>
    <w:rsid w:val="0000028E"/>
    <w:rsid w:val="00002016"/>
    <w:rsid w:val="00004BE4"/>
    <w:rsid w:val="00012E6D"/>
    <w:rsid w:val="000214A3"/>
    <w:rsid w:val="00021A4E"/>
    <w:rsid w:val="00035481"/>
    <w:rsid w:val="000412D9"/>
    <w:rsid w:val="000465C3"/>
    <w:rsid w:val="00062527"/>
    <w:rsid w:val="00067E72"/>
    <w:rsid w:val="0007250E"/>
    <w:rsid w:val="00080699"/>
    <w:rsid w:val="0008619E"/>
    <w:rsid w:val="000A4290"/>
    <w:rsid w:val="000A6B92"/>
    <w:rsid w:val="000B0575"/>
    <w:rsid w:val="000E7F2E"/>
    <w:rsid w:val="000F2BC4"/>
    <w:rsid w:val="00106429"/>
    <w:rsid w:val="00122FE7"/>
    <w:rsid w:val="00140231"/>
    <w:rsid w:val="00173481"/>
    <w:rsid w:val="00176FC1"/>
    <w:rsid w:val="00177CC3"/>
    <w:rsid w:val="001801EC"/>
    <w:rsid w:val="00194B2B"/>
    <w:rsid w:val="001975FA"/>
    <w:rsid w:val="001A2B00"/>
    <w:rsid w:val="001B06DD"/>
    <w:rsid w:val="001B2537"/>
    <w:rsid w:val="001B5DF1"/>
    <w:rsid w:val="001C1D1D"/>
    <w:rsid w:val="001C7DF7"/>
    <w:rsid w:val="001D456C"/>
    <w:rsid w:val="001F4424"/>
    <w:rsid w:val="001F7690"/>
    <w:rsid w:val="00202C6E"/>
    <w:rsid w:val="00204B7F"/>
    <w:rsid w:val="00207D78"/>
    <w:rsid w:val="00210566"/>
    <w:rsid w:val="002121CC"/>
    <w:rsid w:val="002128EF"/>
    <w:rsid w:val="0022510D"/>
    <w:rsid w:val="002323E9"/>
    <w:rsid w:val="00242DB3"/>
    <w:rsid w:val="00243EFF"/>
    <w:rsid w:val="002475D0"/>
    <w:rsid w:val="002615A6"/>
    <w:rsid w:val="00262F64"/>
    <w:rsid w:val="00290CD1"/>
    <w:rsid w:val="002A0EC4"/>
    <w:rsid w:val="002A38FC"/>
    <w:rsid w:val="002A684D"/>
    <w:rsid w:val="002B0E26"/>
    <w:rsid w:val="002B4ECE"/>
    <w:rsid w:val="002B6C8A"/>
    <w:rsid w:val="002B7185"/>
    <w:rsid w:val="002C00B9"/>
    <w:rsid w:val="002C3759"/>
    <w:rsid w:val="002C3DC7"/>
    <w:rsid w:val="002C4F16"/>
    <w:rsid w:val="002D7D57"/>
    <w:rsid w:val="002E31C5"/>
    <w:rsid w:val="002E38B8"/>
    <w:rsid w:val="002F00B8"/>
    <w:rsid w:val="00301C8D"/>
    <w:rsid w:val="00303A2A"/>
    <w:rsid w:val="00315A22"/>
    <w:rsid w:val="003257E1"/>
    <w:rsid w:val="00326C9E"/>
    <w:rsid w:val="00330723"/>
    <w:rsid w:val="003331C5"/>
    <w:rsid w:val="00336E1C"/>
    <w:rsid w:val="00394312"/>
    <w:rsid w:val="00395330"/>
    <w:rsid w:val="00397ABE"/>
    <w:rsid w:val="003A01DD"/>
    <w:rsid w:val="003A6CF8"/>
    <w:rsid w:val="003B3EF0"/>
    <w:rsid w:val="003C0516"/>
    <w:rsid w:val="003C0595"/>
    <w:rsid w:val="003C13F0"/>
    <w:rsid w:val="003C3B10"/>
    <w:rsid w:val="003C7E5B"/>
    <w:rsid w:val="003D4207"/>
    <w:rsid w:val="003D5E79"/>
    <w:rsid w:val="003E75C7"/>
    <w:rsid w:val="003F347D"/>
    <w:rsid w:val="003F3B03"/>
    <w:rsid w:val="003F569B"/>
    <w:rsid w:val="00410C95"/>
    <w:rsid w:val="00412650"/>
    <w:rsid w:val="00412B94"/>
    <w:rsid w:val="00435AD3"/>
    <w:rsid w:val="004414B4"/>
    <w:rsid w:val="00444D92"/>
    <w:rsid w:val="004467CC"/>
    <w:rsid w:val="00450F8D"/>
    <w:rsid w:val="00452014"/>
    <w:rsid w:val="00457E90"/>
    <w:rsid w:val="00474265"/>
    <w:rsid w:val="00477F9D"/>
    <w:rsid w:val="0049479E"/>
    <w:rsid w:val="00496D95"/>
    <w:rsid w:val="004B2C5A"/>
    <w:rsid w:val="004B4672"/>
    <w:rsid w:val="004D59E5"/>
    <w:rsid w:val="004F74DB"/>
    <w:rsid w:val="0050426B"/>
    <w:rsid w:val="005054CD"/>
    <w:rsid w:val="00507D8D"/>
    <w:rsid w:val="00537DD7"/>
    <w:rsid w:val="0054565E"/>
    <w:rsid w:val="00563E1A"/>
    <w:rsid w:val="00585478"/>
    <w:rsid w:val="00592D8D"/>
    <w:rsid w:val="00595128"/>
    <w:rsid w:val="005A2B54"/>
    <w:rsid w:val="005C6F2C"/>
    <w:rsid w:val="005E1968"/>
    <w:rsid w:val="005E66CE"/>
    <w:rsid w:val="00600722"/>
    <w:rsid w:val="00607095"/>
    <w:rsid w:val="00610B82"/>
    <w:rsid w:val="00622FFD"/>
    <w:rsid w:val="00626F48"/>
    <w:rsid w:val="00632C89"/>
    <w:rsid w:val="00633D3B"/>
    <w:rsid w:val="00642EF7"/>
    <w:rsid w:val="0064737B"/>
    <w:rsid w:val="00652D9D"/>
    <w:rsid w:val="00653615"/>
    <w:rsid w:val="006552C8"/>
    <w:rsid w:val="006558BF"/>
    <w:rsid w:val="00662220"/>
    <w:rsid w:val="00666288"/>
    <w:rsid w:val="00670AE6"/>
    <w:rsid w:val="006753C1"/>
    <w:rsid w:val="00675DDF"/>
    <w:rsid w:val="00683863"/>
    <w:rsid w:val="0068588B"/>
    <w:rsid w:val="00695F54"/>
    <w:rsid w:val="006A450B"/>
    <w:rsid w:val="006A60D6"/>
    <w:rsid w:val="006A7FB3"/>
    <w:rsid w:val="006C3632"/>
    <w:rsid w:val="006E47C1"/>
    <w:rsid w:val="006F118A"/>
    <w:rsid w:val="006F328A"/>
    <w:rsid w:val="00704714"/>
    <w:rsid w:val="007110C4"/>
    <w:rsid w:val="00712F6E"/>
    <w:rsid w:val="007304F0"/>
    <w:rsid w:val="007307E7"/>
    <w:rsid w:val="00747EC6"/>
    <w:rsid w:val="00760719"/>
    <w:rsid w:val="007678E1"/>
    <w:rsid w:val="00772379"/>
    <w:rsid w:val="00772ACD"/>
    <w:rsid w:val="007918A4"/>
    <w:rsid w:val="00792F52"/>
    <w:rsid w:val="00796B73"/>
    <w:rsid w:val="007A56D7"/>
    <w:rsid w:val="007D44E5"/>
    <w:rsid w:val="007F60EB"/>
    <w:rsid w:val="008020EA"/>
    <w:rsid w:val="00805FC1"/>
    <w:rsid w:val="00822BE1"/>
    <w:rsid w:val="00823966"/>
    <w:rsid w:val="00826005"/>
    <w:rsid w:val="00857799"/>
    <w:rsid w:val="00860EFF"/>
    <w:rsid w:val="0087433F"/>
    <w:rsid w:val="008908EC"/>
    <w:rsid w:val="00894A93"/>
    <w:rsid w:val="00895B59"/>
    <w:rsid w:val="008B180C"/>
    <w:rsid w:val="008B22B7"/>
    <w:rsid w:val="008B2676"/>
    <w:rsid w:val="008B5BF1"/>
    <w:rsid w:val="008B79D2"/>
    <w:rsid w:val="008C41F5"/>
    <w:rsid w:val="008D1D2C"/>
    <w:rsid w:val="008D2CBB"/>
    <w:rsid w:val="008E3D69"/>
    <w:rsid w:val="008F3BBF"/>
    <w:rsid w:val="00902AF5"/>
    <w:rsid w:val="00915536"/>
    <w:rsid w:val="009266EE"/>
    <w:rsid w:val="00931CD7"/>
    <w:rsid w:val="00967464"/>
    <w:rsid w:val="00967533"/>
    <w:rsid w:val="00967984"/>
    <w:rsid w:val="00975C43"/>
    <w:rsid w:val="009810E4"/>
    <w:rsid w:val="00990C50"/>
    <w:rsid w:val="00996335"/>
    <w:rsid w:val="009964E7"/>
    <w:rsid w:val="009B4F85"/>
    <w:rsid w:val="009D113B"/>
    <w:rsid w:val="009D1ACF"/>
    <w:rsid w:val="009D2642"/>
    <w:rsid w:val="009D3686"/>
    <w:rsid w:val="009D78D9"/>
    <w:rsid w:val="009E28F4"/>
    <w:rsid w:val="009F09A4"/>
    <w:rsid w:val="00A034F4"/>
    <w:rsid w:val="00A116DC"/>
    <w:rsid w:val="00A17881"/>
    <w:rsid w:val="00A22BFB"/>
    <w:rsid w:val="00A2657A"/>
    <w:rsid w:val="00A30D66"/>
    <w:rsid w:val="00A45D7F"/>
    <w:rsid w:val="00A5487D"/>
    <w:rsid w:val="00A628E4"/>
    <w:rsid w:val="00A62E6B"/>
    <w:rsid w:val="00A676B7"/>
    <w:rsid w:val="00A70A7B"/>
    <w:rsid w:val="00A74C18"/>
    <w:rsid w:val="00A804D7"/>
    <w:rsid w:val="00A8165D"/>
    <w:rsid w:val="00A87B3F"/>
    <w:rsid w:val="00A946F4"/>
    <w:rsid w:val="00A97065"/>
    <w:rsid w:val="00AA5209"/>
    <w:rsid w:val="00AB21F6"/>
    <w:rsid w:val="00AC1727"/>
    <w:rsid w:val="00AE19EF"/>
    <w:rsid w:val="00AE2DA7"/>
    <w:rsid w:val="00AF53D3"/>
    <w:rsid w:val="00AF79A4"/>
    <w:rsid w:val="00B01FD0"/>
    <w:rsid w:val="00B02E7D"/>
    <w:rsid w:val="00B11EA9"/>
    <w:rsid w:val="00B17C16"/>
    <w:rsid w:val="00B23BB5"/>
    <w:rsid w:val="00B4370F"/>
    <w:rsid w:val="00B46177"/>
    <w:rsid w:val="00B46B07"/>
    <w:rsid w:val="00B47DD6"/>
    <w:rsid w:val="00B75BB7"/>
    <w:rsid w:val="00B87D48"/>
    <w:rsid w:val="00BA1866"/>
    <w:rsid w:val="00BA6D60"/>
    <w:rsid w:val="00BB2118"/>
    <w:rsid w:val="00BC44AB"/>
    <w:rsid w:val="00BE6745"/>
    <w:rsid w:val="00C0127B"/>
    <w:rsid w:val="00C02730"/>
    <w:rsid w:val="00C06DC8"/>
    <w:rsid w:val="00C25275"/>
    <w:rsid w:val="00C35A6F"/>
    <w:rsid w:val="00C45456"/>
    <w:rsid w:val="00C60649"/>
    <w:rsid w:val="00C660A2"/>
    <w:rsid w:val="00C72194"/>
    <w:rsid w:val="00C779C6"/>
    <w:rsid w:val="00C90C3F"/>
    <w:rsid w:val="00C96E2F"/>
    <w:rsid w:val="00CA2FD0"/>
    <w:rsid w:val="00CA537D"/>
    <w:rsid w:val="00CC04BA"/>
    <w:rsid w:val="00CC26CD"/>
    <w:rsid w:val="00CC2CED"/>
    <w:rsid w:val="00CC43D3"/>
    <w:rsid w:val="00CC5437"/>
    <w:rsid w:val="00CC6083"/>
    <w:rsid w:val="00CC7C34"/>
    <w:rsid w:val="00CD4796"/>
    <w:rsid w:val="00CE07F9"/>
    <w:rsid w:val="00CF3FF8"/>
    <w:rsid w:val="00CF4EAB"/>
    <w:rsid w:val="00D01F21"/>
    <w:rsid w:val="00D0766B"/>
    <w:rsid w:val="00D12BED"/>
    <w:rsid w:val="00D328F6"/>
    <w:rsid w:val="00D37B4A"/>
    <w:rsid w:val="00D42011"/>
    <w:rsid w:val="00D603E6"/>
    <w:rsid w:val="00D63945"/>
    <w:rsid w:val="00D8582A"/>
    <w:rsid w:val="00D93132"/>
    <w:rsid w:val="00DD2DB0"/>
    <w:rsid w:val="00DE3E16"/>
    <w:rsid w:val="00E04C88"/>
    <w:rsid w:val="00E05495"/>
    <w:rsid w:val="00E202C8"/>
    <w:rsid w:val="00E2082B"/>
    <w:rsid w:val="00E2103F"/>
    <w:rsid w:val="00E240E2"/>
    <w:rsid w:val="00E26D0C"/>
    <w:rsid w:val="00E31C96"/>
    <w:rsid w:val="00E3482B"/>
    <w:rsid w:val="00E448F3"/>
    <w:rsid w:val="00E4707B"/>
    <w:rsid w:val="00E64220"/>
    <w:rsid w:val="00E66BD7"/>
    <w:rsid w:val="00E73CBE"/>
    <w:rsid w:val="00E93D65"/>
    <w:rsid w:val="00EA00CB"/>
    <w:rsid w:val="00EA67CC"/>
    <w:rsid w:val="00EC2EAA"/>
    <w:rsid w:val="00EC3BF2"/>
    <w:rsid w:val="00EC7B25"/>
    <w:rsid w:val="00EC7C15"/>
    <w:rsid w:val="00ED3294"/>
    <w:rsid w:val="00F0110B"/>
    <w:rsid w:val="00F03577"/>
    <w:rsid w:val="00F071F9"/>
    <w:rsid w:val="00F1165E"/>
    <w:rsid w:val="00F129E4"/>
    <w:rsid w:val="00F133CF"/>
    <w:rsid w:val="00F20A2F"/>
    <w:rsid w:val="00F31CD5"/>
    <w:rsid w:val="00F44061"/>
    <w:rsid w:val="00F61A87"/>
    <w:rsid w:val="00F65F74"/>
    <w:rsid w:val="00F67A44"/>
    <w:rsid w:val="00F850EA"/>
    <w:rsid w:val="00F935F1"/>
    <w:rsid w:val="00F9570E"/>
    <w:rsid w:val="00F9587F"/>
    <w:rsid w:val="00FA5AE2"/>
    <w:rsid w:val="00FB3F65"/>
    <w:rsid w:val="00FB55F6"/>
    <w:rsid w:val="00FC0F68"/>
    <w:rsid w:val="00FE66FB"/>
    <w:rsid w:val="01CA6EE6"/>
    <w:rsid w:val="0234A076"/>
    <w:rsid w:val="025E29FE"/>
    <w:rsid w:val="02B54791"/>
    <w:rsid w:val="04BC4644"/>
    <w:rsid w:val="052A37E5"/>
    <w:rsid w:val="05857189"/>
    <w:rsid w:val="05C76409"/>
    <w:rsid w:val="0638C3D5"/>
    <w:rsid w:val="06662C85"/>
    <w:rsid w:val="06949346"/>
    <w:rsid w:val="0931AF95"/>
    <w:rsid w:val="0A0356E9"/>
    <w:rsid w:val="0A3FB25B"/>
    <w:rsid w:val="0DA31710"/>
    <w:rsid w:val="0DBB1B1C"/>
    <w:rsid w:val="0DF5D20E"/>
    <w:rsid w:val="0E16FE0D"/>
    <w:rsid w:val="0E337563"/>
    <w:rsid w:val="0F495CFB"/>
    <w:rsid w:val="0F4A81EA"/>
    <w:rsid w:val="0F4AFCA4"/>
    <w:rsid w:val="0FC4C550"/>
    <w:rsid w:val="122DC531"/>
    <w:rsid w:val="1260929E"/>
    <w:rsid w:val="12B09AEA"/>
    <w:rsid w:val="13A1FFB5"/>
    <w:rsid w:val="13B8BC29"/>
    <w:rsid w:val="15070FF4"/>
    <w:rsid w:val="163A90D5"/>
    <w:rsid w:val="18127EB1"/>
    <w:rsid w:val="1927579C"/>
    <w:rsid w:val="1AAC46A3"/>
    <w:rsid w:val="1B2FA059"/>
    <w:rsid w:val="1BBE27D7"/>
    <w:rsid w:val="1CFE11EA"/>
    <w:rsid w:val="1EE0A79B"/>
    <w:rsid w:val="1EE80496"/>
    <w:rsid w:val="2011708A"/>
    <w:rsid w:val="20196AF0"/>
    <w:rsid w:val="209FB008"/>
    <w:rsid w:val="20D0093C"/>
    <w:rsid w:val="21337F4A"/>
    <w:rsid w:val="223E5E48"/>
    <w:rsid w:val="26764AB0"/>
    <w:rsid w:val="26CD5C1C"/>
    <w:rsid w:val="26F9B49D"/>
    <w:rsid w:val="2765EA36"/>
    <w:rsid w:val="27A755E2"/>
    <w:rsid w:val="280EF3C3"/>
    <w:rsid w:val="2A7CF05D"/>
    <w:rsid w:val="2AA9982C"/>
    <w:rsid w:val="2AB97F79"/>
    <w:rsid w:val="2C10EDBF"/>
    <w:rsid w:val="2C554FDA"/>
    <w:rsid w:val="2E6173D9"/>
    <w:rsid w:val="2EEE459E"/>
    <w:rsid w:val="2F838457"/>
    <w:rsid w:val="2FB4C41A"/>
    <w:rsid w:val="303FE4F7"/>
    <w:rsid w:val="30F3A41F"/>
    <w:rsid w:val="319CADAC"/>
    <w:rsid w:val="32648442"/>
    <w:rsid w:val="32BB807B"/>
    <w:rsid w:val="337B49ED"/>
    <w:rsid w:val="33A46DEA"/>
    <w:rsid w:val="35060FA4"/>
    <w:rsid w:val="354BF87E"/>
    <w:rsid w:val="35A909D6"/>
    <w:rsid w:val="3762E5A3"/>
    <w:rsid w:val="37B85B03"/>
    <w:rsid w:val="384EBB10"/>
    <w:rsid w:val="38C81176"/>
    <w:rsid w:val="3A4A40C6"/>
    <w:rsid w:val="3C17E90E"/>
    <w:rsid w:val="3C443827"/>
    <w:rsid w:val="3D0DA43F"/>
    <w:rsid w:val="3DCB69A3"/>
    <w:rsid w:val="3DD4F3BF"/>
    <w:rsid w:val="3F7A0716"/>
    <w:rsid w:val="3FCC19C0"/>
    <w:rsid w:val="3FEE91AE"/>
    <w:rsid w:val="403891D8"/>
    <w:rsid w:val="406D7193"/>
    <w:rsid w:val="42C7A290"/>
    <w:rsid w:val="42C849B8"/>
    <w:rsid w:val="42E7A199"/>
    <w:rsid w:val="44303B12"/>
    <w:rsid w:val="44A04B23"/>
    <w:rsid w:val="44FE8710"/>
    <w:rsid w:val="45204664"/>
    <w:rsid w:val="45DE352B"/>
    <w:rsid w:val="46BBA767"/>
    <w:rsid w:val="4776766E"/>
    <w:rsid w:val="48066021"/>
    <w:rsid w:val="48E622C6"/>
    <w:rsid w:val="492BCF0C"/>
    <w:rsid w:val="4A81F327"/>
    <w:rsid w:val="4B2B5D5A"/>
    <w:rsid w:val="4B985C4F"/>
    <w:rsid w:val="4BBFA2ED"/>
    <w:rsid w:val="4C1BB363"/>
    <w:rsid w:val="4C556435"/>
    <w:rsid w:val="4CF49391"/>
    <w:rsid w:val="4D26A9D1"/>
    <w:rsid w:val="4D26E350"/>
    <w:rsid w:val="4E3BBC14"/>
    <w:rsid w:val="5047658E"/>
    <w:rsid w:val="504A2DF4"/>
    <w:rsid w:val="5175C37C"/>
    <w:rsid w:val="51F5B051"/>
    <w:rsid w:val="520C4D36"/>
    <w:rsid w:val="52E3F945"/>
    <w:rsid w:val="53393478"/>
    <w:rsid w:val="54A341FA"/>
    <w:rsid w:val="579816DC"/>
    <w:rsid w:val="57DAE2BC"/>
    <w:rsid w:val="58637713"/>
    <w:rsid w:val="590548D4"/>
    <w:rsid w:val="596DF79A"/>
    <w:rsid w:val="59891006"/>
    <w:rsid w:val="5AC3F46D"/>
    <w:rsid w:val="5C92C066"/>
    <w:rsid w:val="5EA3A6B0"/>
    <w:rsid w:val="5EEEB1C0"/>
    <w:rsid w:val="5F06052A"/>
    <w:rsid w:val="5F55B5C3"/>
    <w:rsid w:val="5F788D50"/>
    <w:rsid w:val="5FB1B88B"/>
    <w:rsid w:val="6192AC64"/>
    <w:rsid w:val="62E73F44"/>
    <w:rsid w:val="637084A4"/>
    <w:rsid w:val="63B467FA"/>
    <w:rsid w:val="652C4FF1"/>
    <w:rsid w:val="653C6882"/>
    <w:rsid w:val="655C458F"/>
    <w:rsid w:val="65B3B968"/>
    <w:rsid w:val="65BD9E0D"/>
    <w:rsid w:val="664CC492"/>
    <w:rsid w:val="67870C63"/>
    <w:rsid w:val="67F9E86F"/>
    <w:rsid w:val="682A7EB3"/>
    <w:rsid w:val="69AEBB9C"/>
    <w:rsid w:val="6A7DA217"/>
    <w:rsid w:val="6AF0AA0C"/>
    <w:rsid w:val="6B4873AD"/>
    <w:rsid w:val="6BBF79DF"/>
    <w:rsid w:val="6C52F3C6"/>
    <w:rsid w:val="6DCADE2D"/>
    <w:rsid w:val="6DDACB43"/>
    <w:rsid w:val="6EC3CC1F"/>
    <w:rsid w:val="6EC8658B"/>
    <w:rsid w:val="6EDEEE63"/>
    <w:rsid w:val="6EFB913F"/>
    <w:rsid w:val="6F41203D"/>
    <w:rsid w:val="6FF14BC4"/>
    <w:rsid w:val="70E8D643"/>
    <w:rsid w:val="71E5ED29"/>
    <w:rsid w:val="734D1B54"/>
    <w:rsid w:val="73EB6D73"/>
    <w:rsid w:val="742344CC"/>
    <w:rsid w:val="74887F0A"/>
    <w:rsid w:val="76ADA4D6"/>
    <w:rsid w:val="78D3EC02"/>
    <w:rsid w:val="79818A03"/>
    <w:rsid w:val="7B2C9470"/>
    <w:rsid w:val="7D5941CC"/>
    <w:rsid w:val="7DD78BBE"/>
    <w:rsid w:val="7E7D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88F0"/>
  <w15:chartTrackingRefBased/>
  <w15:docId w15:val="{5B1FC8DD-E71F-42B3-8663-6C3CC2A3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C41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3F569B"/>
    <w:rPr>
      <w:sz w:val="16"/>
      <w:szCs w:val="16"/>
    </w:rPr>
  </w:style>
  <w:style w:type="paragraph" w:styleId="CommentText">
    <w:name w:val="annotation text"/>
    <w:basedOn w:val="Normal"/>
    <w:link w:val="CommentTextChar"/>
    <w:unhideWhenUsed/>
    <w:rsid w:val="003F569B"/>
    <w:pPr>
      <w:spacing w:line="240" w:lineRule="auto"/>
    </w:pPr>
    <w:rPr>
      <w:sz w:val="20"/>
      <w:szCs w:val="20"/>
    </w:rPr>
  </w:style>
  <w:style w:type="character" w:customStyle="1" w:styleId="CommentTextChar">
    <w:name w:val="Comment Text Char"/>
    <w:basedOn w:val="DefaultParagraphFont"/>
    <w:link w:val="CommentText"/>
    <w:uiPriority w:val="99"/>
    <w:semiHidden/>
    <w:rsid w:val="003F569B"/>
    <w:rPr>
      <w:sz w:val="20"/>
      <w:szCs w:val="20"/>
    </w:rPr>
  </w:style>
  <w:style w:type="paragraph" w:styleId="CommentSubject">
    <w:name w:val="annotation subject"/>
    <w:basedOn w:val="CommentText"/>
    <w:next w:val="CommentText"/>
    <w:link w:val="CommentSubjectChar"/>
    <w:uiPriority w:val="99"/>
    <w:semiHidden/>
    <w:unhideWhenUsed/>
    <w:rsid w:val="003F569B"/>
    <w:rPr>
      <w:b/>
      <w:bCs/>
    </w:rPr>
  </w:style>
  <w:style w:type="character" w:customStyle="1" w:styleId="CommentSubjectChar">
    <w:name w:val="Comment Subject Char"/>
    <w:basedOn w:val="CommentTextChar"/>
    <w:link w:val="CommentSubject"/>
    <w:uiPriority w:val="99"/>
    <w:semiHidden/>
    <w:rsid w:val="003F569B"/>
    <w:rPr>
      <w:b/>
      <w:bCs/>
      <w:sz w:val="20"/>
      <w:szCs w:val="20"/>
    </w:rPr>
  </w:style>
  <w:style w:type="paragraph" w:styleId="ListParagraph">
    <w:name w:val="List Paragraph"/>
    <w:basedOn w:val="Normal"/>
    <w:qFormat/>
    <w:rsid w:val="00F03577"/>
    <w:pPr>
      <w:widowControl w:val="0"/>
      <w:suppressAutoHyphens/>
      <w:overflowPunct w:val="0"/>
      <w:autoSpaceDE w:val="0"/>
      <w:autoSpaceDN w:val="0"/>
      <w:spacing w:after="0" w:line="240" w:lineRule="auto"/>
      <w:ind w:left="720"/>
      <w:textAlignment w:val="baseline"/>
    </w:pPr>
    <w:rPr>
      <w:rFonts w:ascii="Arial" w:eastAsia="Times New Roman" w:hAnsi="Arial" w:cs="Times New Roman"/>
      <w:sz w:val="24"/>
      <w:szCs w:val="20"/>
    </w:rPr>
  </w:style>
  <w:style w:type="character" w:styleId="UnresolvedMention">
    <w:name w:val="Unresolved Mention"/>
    <w:basedOn w:val="DefaultParagraphFont"/>
    <w:uiPriority w:val="99"/>
    <w:unhideWhenUsed/>
    <w:rsid w:val="00457E90"/>
    <w:rPr>
      <w:color w:val="605E5C"/>
      <w:shd w:val="clear" w:color="auto" w:fill="E1DFDD"/>
    </w:rPr>
  </w:style>
  <w:style w:type="character" w:styleId="Mention">
    <w:name w:val="Mention"/>
    <w:basedOn w:val="DefaultParagraphFont"/>
    <w:uiPriority w:val="99"/>
    <w:unhideWhenUsed/>
    <w:rsid w:val="00457E90"/>
    <w:rPr>
      <w:color w:val="2B579A"/>
      <w:shd w:val="clear" w:color="auto" w:fill="E1DFDD"/>
    </w:rPr>
  </w:style>
  <w:style w:type="paragraph" w:customStyle="1" w:styleId="DfESOutNumbered">
    <w:name w:val="DfESOutNumbered"/>
    <w:basedOn w:val="Normal"/>
    <w:link w:val="DfESOutNumberedChar"/>
    <w:rsid w:val="00177CC3"/>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NormalWebChar">
    <w:name w:val="Normal (Web) Char"/>
    <w:basedOn w:val="DefaultParagraphFont"/>
    <w:link w:val="NormalWeb"/>
    <w:uiPriority w:val="99"/>
    <w:rsid w:val="00177CC3"/>
    <w:rPr>
      <w:rFonts w:ascii="Times New Roman" w:eastAsia="Times New Roman" w:hAnsi="Times New Roman" w:cs="Times New Roman"/>
      <w:sz w:val="24"/>
      <w:szCs w:val="24"/>
      <w:lang w:eastAsia="en-GB"/>
    </w:rPr>
  </w:style>
  <w:style w:type="character" w:customStyle="1" w:styleId="DfESOutNumberedChar">
    <w:name w:val="DfESOutNumbered Char"/>
    <w:basedOn w:val="NormalWebChar"/>
    <w:link w:val="DfESOutNumbered"/>
    <w:rsid w:val="00177CC3"/>
    <w:rPr>
      <w:rFonts w:ascii="Arial" w:eastAsia="Times New Roman" w:hAnsi="Arial" w:cs="Arial"/>
      <w:sz w:val="24"/>
      <w:szCs w:val="20"/>
      <w:lang w:eastAsia="en-GB"/>
    </w:rPr>
  </w:style>
  <w:style w:type="paragraph" w:customStyle="1" w:styleId="DeptBullets">
    <w:name w:val="DeptBullets"/>
    <w:basedOn w:val="Normal"/>
    <w:link w:val="DeptBulletsChar"/>
    <w:rsid w:val="00177CC3"/>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NormalWebChar"/>
    <w:link w:val="DeptBullets"/>
    <w:rsid w:val="00177CC3"/>
    <w:rPr>
      <w:rFonts w:ascii="Arial" w:eastAsia="Times New Roman" w:hAnsi="Arial" w:cs="Times New Roman"/>
      <w:sz w:val="24"/>
      <w:szCs w:val="20"/>
      <w:lang w:eastAsia="en-GB"/>
    </w:rPr>
  </w:style>
  <w:style w:type="table" w:styleId="TableGrid">
    <w:name w:val="Table Grid"/>
    <w:basedOn w:val="TableNormal"/>
    <w:uiPriority w:val="39"/>
    <w:rsid w:val="00802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A684D"/>
    <w:rPr>
      <w:color w:val="0000FF"/>
      <w:u w:val="single"/>
    </w:rPr>
  </w:style>
  <w:style w:type="numbering" w:customStyle="1" w:styleId="LFO1">
    <w:name w:val="LFO1"/>
    <w:basedOn w:val="NoList"/>
    <w:rsid w:val="00A62E6B"/>
    <w:pPr>
      <w:numPr>
        <w:numId w:val="6"/>
      </w:numPr>
    </w:pPr>
  </w:style>
  <w:style w:type="paragraph" w:customStyle="1" w:styleId="paragraph">
    <w:name w:val="paragraph"/>
    <w:basedOn w:val="Normal"/>
    <w:rsid w:val="00F850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850EA"/>
  </w:style>
  <w:style w:type="character" w:customStyle="1" w:styleId="eop">
    <w:name w:val="eop"/>
    <w:basedOn w:val="DefaultParagraphFont"/>
    <w:rsid w:val="00F850EA"/>
  </w:style>
  <w:style w:type="character" w:customStyle="1" w:styleId="tabchar">
    <w:name w:val="tabchar"/>
    <w:basedOn w:val="DefaultParagraphFont"/>
    <w:rsid w:val="00F850EA"/>
  </w:style>
  <w:style w:type="paragraph" w:customStyle="1" w:styleId="Default">
    <w:name w:val="Default"/>
    <w:rsid w:val="003E75C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4707B"/>
    <w:rPr>
      <w:color w:val="954F72" w:themeColor="followedHyperlink"/>
      <w:u w:val="single"/>
    </w:rPr>
  </w:style>
  <w:style w:type="paragraph" w:styleId="NoSpacing">
    <w:name w:val="No Spacing"/>
    <w:rsid w:val="004B2C5A"/>
    <w:pPr>
      <w:widowControl w:val="0"/>
      <w:suppressAutoHyphens/>
      <w:overflowPunct w:val="0"/>
      <w:autoSpaceDE w:val="0"/>
      <w:autoSpaceDN w:val="0"/>
      <w:spacing w:after="0" w:line="240" w:lineRule="auto"/>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1944">
      <w:bodyDiv w:val="1"/>
      <w:marLeft w:val="0"/>
      <w:marRight w:val="0"/>
      <w:marTop w:val="0"/>
      <w:marBottom w:val="0"/>
      <w:divBdr>
        <w:top w:val="none" w:sz="0" w:space="0" w:color="auto"/>
        <w:left w:val="none" w:sz="0" w:space="0" w:color="auto"/>
        <w:bottom w:val="none" w:sz="0" w:space="0" w:color="auto"/>
        <w:right w:val="none" w:sz="0" w:space="0" w:color="auto"/>
      </w:divBdr>
    </w:div>
    <w:div w:id="278686444">
      <w:bodyDiv w:val="1"/>
      <w:marLeft w:val="0"/>
      <w:marRight w:val="0"/>
      <w:marTop w:val="0"/>
      <w:marBottom w:val="0"/>
      <w:divBdr>
        <w:top w:val="none" w:sz="0" w:space="0" w:color="auto"/>
        <w:left w:val="none" w:sz="0" w:space="0" w:color="auto"/>
        <w:bottom w:val="none" w:sz="0" w:space="0" w:color="auto"/>
        <w:right w:val="none" w:sz="0" w:space="0" w:color="auto"/>
      </w:divBdr>
    </w:div>
    <w:div w:id="560138981">
      <w:bodyDiv w:val="1"/>
      <w:marLeft w:val="0"/>
      <w:marRight w:val="0"/>
      <w:marTop w:val="0"/>
      <w:marBottom w:val="0"/>
      <w:divBdr>
        <w:top w:val="none" w:sz="0" w:space="0" w:color="auto"/>
        <w:left w:val="none" w:sz="0" w:space="0" w:color="auto"/>
        <w:bottom w:val="none" w:sz="0" w:space="0" w:color="auto"/>
        <w:right w:val="none" w:sz="0" w:space="0" w:color="auto"/>
      </w:divBdr>
    </w:div>
    <w:div w:id="1053650316">
      <w:bodyDiv w:val="1"/>
      <w:marLeft w:val="0"/>
      <w:marRight w:val="0"/>
      <w:marTop w:val="0"/>
      <w:marBottom w:val="0"/>
      <w:divBdr>
        <w:top w:val="none" w:sz="0" w:space="0" w:color="auto"/>
        <w:left w:val="none" w:sz="0" w:space="0" w:color="auto"/>
        <w:bottom w:val="none" w:sz="0" w:space="0" w:color="auto"/>
        <w:right w:val="none" w:sz="0" w:space="0" w:color="auto"/>
      </w:divBdr>
      <w:divsChild>
        <w:div w:id="98918297">
          <w:marLeft w:val="0"/>
          <w:marRight w:val="0"/>
          <w:marTop w:val="0"/>
          <w:marBottom w:val="0"/>
          <w:divBdr>
            <w:top w:val="none" w:sz="0" w:space="0" w:color="auto"/>
            <w:left w:val="none" w:sz="0" w:space="0" w:color="auto"/>
            <w:bottom w:val="none" w:sz="0" w:space="0" w:color="auto"/>
            <w:right w:val="none" w:sz="0" w:space="0" w:color="auto"/>
          </w:divBdr>
        </w:div>
        <w:div w:id="202602202">
          <w:marLeft w:val="0"/>
          <w:marRight w:val="0"/>
          <w:marTop w:val="0"/>
          <w:marBottom w:val="0"/>
          <w:divBdr>
            <w:top w:val="none" w:sz="0" w:space="0" w:color="auto"/>
            <w:left w:val="none" w:sz="0" w:space="0" w:color="auto"/>
            <w:bottom w:val="none" w:sz="0" w:space="0" w:color="auto"/>
            <w:right w:val="none" w:sz="0" w:space="0" w:color="auto"/>
          </w:divBdr>
        </w:div>
        <w:div w:id="335964897">
          <w:marLeft w:val="0"/>
          <w:marRight w:val="0"/>
          <w:marTop w:val="0"/>
          <w:marBottom w:val="0"/>
          <w:divBdr>
            <w:top w:val="none" w:sz="0" w:space="0" w:color="auto"/>
            <w:left w:val="none" w:sz="0" w:space="0" w:color="auto"/>
            <w:bottom w:val="none" w:sz="0" w:space="0" w:color="auto"/>
            <w:right w:val="none" w:sz="0" w:space="0" w:color="auto"/>
          </w:divBdr>
        </w:div>
        <w:div w:id="657659506">
          <w:marLeft w:val="0"/>
          <w:marRight w:val="0"/>
          <w:marTop w:val="0"/>
          <w:marBottom w:val="0"/>
          <w:divBdr>
            <w:top w:val="none" w:sz="0" w:space="0" w:color="auto"/>
            <w:left w:val="none" w:sz="0" w:space="0" w:color="auto"/>
            <w:bottom w:val="none" w:sz="0" w:space="0" w:color="auto"/>
            <w:right w:val="none" w:sz="0" w:space="0" w:color="auto"/>
          </w:divBdr>
        </w:div>
        <w:div w:id="674111768">
          <w:marLeft w:val="0"/>
          <w:marRight w:val="0"/>
          <w:marTop w:val="0"/>
          <w:marBottom w:val="0"/>
          <w:divBdr>
            <w:top w:val="none" w:sz="0" w:space="0" w:color="auto"/>
            <w:left w:val="none" w:sz="0" w:space="0" w:color="auto"/>
            <w:bottom w:val="none" w:sz="0" w:space="0" w:color="auto"/>
            <w:right w:val="none" w:sz="0" w:space="0" w:color="auto"/>
          </w:divBdr>
        </w:div>
        <w:div w:id="803356868">
          <w:marLeft w:val="0"/>
          <w:marRight w:val="0"/>
          <w:marTop w:val="0"/>
          <w:marBottom w:val="0"/>
          <w:divBdr>
            <w:top w:val="none" w:sz="0" w:space="0" w:color="auto"/>
            <w:left w:val="none" w:sz="0" w:space="0" w:color="auto"/>
            <w:bottom w:val="none" w:sz="0" w:space="0" w:color="auto"/>
            <w:right w:val="none" w:sz="0" w:space="0" w:color="auto"/>
          </w:divBdr>
        </w:div>
        <w:div w:id="903218827">
          <w:marLeft w:val="0"/>
          <w:marRight w:val="0"/>
          <w:marTop w:val="0"/>
          <w:marBottom w:val="0"/>
          <w:divBdr>
            <w:top w:val="none" w:sz="0" w:space="0" w:color="auto"/>
            <w:left w:val="none" w:sz="0" w:space="0" w:color="auto"/>
            <w:bottom w:val="none" w:sz="0" w:space="0" w:color="auto"/>
            <w:right w:val="none" w:sz="0" w:space="0" w:color="auto"/>
          </w:divBdr>
        </w:div>
        <w:div w:id="1588071129">
          <w:marLeft w:val="0"/>
          <w:marRight w:val="0"/>
          <w:marTop w:val="0"/>
          <w:marBottom w:val="0"/>
          <w:divBdr>
            <w:top w:val="none" w:sz="0" w:space="0" w:color="auto"/>
            <w:left w:val="none" w:sz="0" w:space="0" w:color="auto"/>
            <w:bottom w:val="none" w:sz="0" w:space="0" w:color="auto"/>
            <w:right w:val="none" w:sz="0" w:space="0" w:color="auto"/>
          </w:divBdr>
        </w:div>
        <w:div w:id="1732074171">
          <w:marLeft w:val="0"/>
          <w:marRight w:val="0"/>
          <w:marTop w:val="0"/>
          <w:marBottom w:val="0"/>
          <w:divBdr>
            <w:top w:val="none" w:sz="0" w:space="0" w:color="auto"/>
            <w:left w:val="none" w:sz="0" w:space="0" w:color="auto"/>
            <w:bottom w:val="none" w:sz="0" w:space="0" w:color="auto"/>
            <w:right w:val="none" w:sz="0" w:space="0" w:color="auto"/>
          </w:divBdr>
        </w:div>
        <w:div w:id="2084832375">
          <w:marLeft w:val="0"/>
          <w:marRight w:val="0"/>
          <w:marTop w:val="0"/>
          <w:marBottom w:val="0"/>
          <w:divBdr>
            <w:top w:val="none" w:sz="0" w:space="0" w:color="auto"/>
            <w:left w:val="none" w:sz="0" w:space="0" w:color="auto"/>
            <w:bottom w:val="none" w:sz="0" w:space="0" w:color="auto"/>
            <w:right w:val="none" w:sz="0" w:space="0" w:color="auto"/>
          </w:divBdr>
        </w:div>
      </w:divsChild>
    </w:div>
    <w:div w:id="1187987127">
      <w:bodyDiv w:val="1"/>
      <w:marLeft w:val="0"/>
      <w:marRight w:val="0"/>
      <w:marTop w:val="0"/>
      <w:marBottom w:val="0"/>
      <w:divBdr>
        <w:top w:val="none" w:sz="0" w:space="0" w:color="auto"/>
        <w:left w:val="none" w:sz="0" w:space="0" w:color="auto"/>
        <w:bottom w:val="none" w:sz="0" w:space="0" w:color="auto"/>
        <w:right w:val="none" w:sz="0" w:space="0" w:color="auto"/>
      </w:divBdr>
    </w:div>
    <w:div w:id="15204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ssets.publishing.service.gov.uk/government/uploads/system/uploads/attachment_data/file/921437/PPN-06_20-Taking-Account-of-Social-Value-in-the-Award-of-Central-Government-Contra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MARWAHA, Kam</DisplayName>
        <AccountId>538</AccountId>
        <AccountType/>
      </UserInfo>
      <UserInfo>
        <DisplayName>SMITH, Andrea</DisplayName>
        <AccountId>634</AccountId>
        <AccountType/>
      </UserInfo>
      <UserInfo>
        <DisplayName>SMITH, Bev-MH</DisplayName>
        <AccountId>132</AccountId>
        <AccountType/>
      </UserInfo>
      <UserInfo>
        <DisplayName>FITZGERALD, Atalanta</DisplayName>
        <AccountId>64</AccountId>
        <AccountType/>
      </UserInfo>
      <UserInfo>
        <DisplayName>BARDON, Matthew</DisplayName>
        <AccountId>250</AccountId>
        <AccountType/>
      </UserInfo>
    </SharedWithUsers>
  </documentManagement>
</p:properties>
</file>

<file path=customXml/itemProps1.xml><?xml version="1.0" encoding="utf-8"?>
<ds:datastoreItem xmlns:ds="http://schemas.openxmlformats.org/officeDocument/2006/customXml" ds:itemID="{BFD130B7-DB3A-43B5-9327-B0586FF80472}">
  <ds:schemaRefs>
    <ds:schemaRef ds:uri="http://schemas.openxmlformats.org/officeDocument/2006/bibliography"/>
  </ds:schemaRefs>
</ds:datastoreItem>
</file>

<file path=customXml/itemProps2.xml><?xml version="1.0" encoding="utf-8"?>
<ds:datastoreItem xmlns:ds="http://schemas.openxmlformats.org/officeDocument/2006/customXml" ds:itemID="{9F5102A4-B953-4201-96A2-2910BED56FD2}">
  <ds:schemaRefs>
    <ds:schemaRef ds:uri="http://schemas.microsoft.com/sharepoint/v3/contenttype/forms"/>
  </ds:schemaRefs>
</ds:datastoreItem>
</file>

<file path=customXml/itemProps3.xml><?xml version="1.0" encoding="utf-8"?>
<ds:datastoreItem xmlns:ds="http://schemas.openxmlformats.org/officeDocument/2006/customXml" ds:itemID="{A8E3599A-3DC4-4C7C-A4F0-4051B5CEA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E674F-B113-4CD7-8F3E-D9F540C16AA3}">
  <ds:schemaRefs>
    <ds:schemaRef ds:uri="http://www.w3.org/XML/1998/namespace"/>
    <ds:schemaRef ds:uri="http://purl.org/dc/terms/"/>
    <ds:schemaRef ds:uri="http://schemas.microsoft.com/office/2006/documentManagement/types"/>
    <ds:schemaRef ds:uri="f9586926-31b4-4508-9dca-16d962d230f4"/>
    <ds:schemaRef ds:uri="http://schemas.microsoft.com/office/infopath/2007/PartnerControls"/>
    <ds:schemaRef ds:uri="http://purl.org/dc/elements/1.1/"/>
    <ds:schemaRef ds:uri="http://purl.org/dc/dcmitype/"/>
    <ds:schemaRef ds:uri="http://schemas.openxmlformats.org/package/2006/metadata/core-properties"/>
    <ds:schemaRef ds:uri="9579228d-4d7f-4d5d-aa2c-6934a28c2b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2459</Words>
  <Characters>14021</Characters>
  <Application>Microsoft Office Word</Application>
  <DocSecurity>0</DocSecurity>
  <Lines>116</Lines>
  <Paragraphs>32</Paragraphs>
  <ScaleCrop>false</ScaleCrop>
  <Company/>
  <LinksUpToDate>false</LinksUpToDate>
  <CharactersWithSpaces>16448</CharactersWithSpaces>
  <SharedDoc>false</SharedDoc>
  <HLinks>
    <vt:vector size="24" baseType="variant">
      <vt:variant>
        <vt:i4>4456475</vt:i4>
      </vt:variant>
      <vt:variant>
        <vt:i4>0</vt:i4>
      </vt:variant>
      <vt:variant>
        <vt:i4>0</vt:i4>
      </vt:variant>
      <vt:variant>
        <vt:i4>5</vt:i4>
      </vt:variant>
      <vt:variant>
        <vt:lpwstr>https://assets.publishing.service.gov.uk/government/uploads/system/uploads/attachment_data/file/921437/PPN-06_20-Taking-Account-of-Social-Value-in-the-Award-of-Central-Government-Contracts.pdf</vt:lpwstr>
      </vt:variant>
      <vt:variant>
        <vt:lpwstr/>
      </vt:variant>
      <vt:variant>
        <vt:i4>3735564</vt:i4>
      </vt:variant>
      <vt:variant>
        <vt:i4>6</vt:i4>
      </vt:variant>
      <vt:variant>
        <vt:i4>0</vt:i4>
      </vt:variant>
      <vt:variant>
        <vt:i4>5</vt:i4>
      </vt:variant>
      <vt:variant>
        <vt:lpwstr>mailto:Kathryn.FARQUHAR@education.gov.uk</vt:lpwstr>
      </vt:variant>
      <vt:variant>
        <vt:lpwstr/>
      </vt:variant>
      <vt:variant>
        <vt:i4>3670021</vt:i4>
      </vt:variant>
      <vt:variant>
        <vt:i4>3</vt:i4>
      </vt:variant>
      <vt:variant>
        <vt:i4>0</vt:i4>
      </vt:variant>
      <vt:variant>
        <vt:i4>5</vt:i4>
      </vt:variant>
      <vt:variant>
        <vt:lpwstr>mailto:Atalanta.FITZGERALD@EDUCATION.GOV.UK</vt:lpwstr>
      </vt:variant>
      <vt:variant>
        <vt:lpwstr/>
      </vt:variant>
      <vt:variant>
        <vt:i4>3735564</vt:i4>
      </vt:variant>
      <vt:variant>
        <vt:i4>0</vt:i4>
      </vt:variant>
      <vt:variant>
        <vt:i4>0</vt:i4>
      </vt:variant>
      <vt:variant>
        <vt:i4>5</vt:i4>
      </vt:variant>
      <vt:variant>
        <vt:lpwstr>mailto:Kathryn.FARQUHAR@education.gov.uk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Atalanta</dc:creator>
  <cp:keywords/>
  <dc:description/>
  <cp:lastModifiedBy>FITZGERALD, Atalanta</cp:lastModifiedBy>
  <cp:revision>2</cp:revision>
  <dcterms:created xsi:type="dcterms:W3CDTF">2021-08-13T07:36:00Z</dcterms:created>
  <dcterms:modified xsi:type="dcterms:W3CDTF">2021-08-13T07:36:00Z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