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22F75" w14:textId="6644299A" w:rsidR="002C34D4" w:rsidRPr="005E76EB" w:rsidRDefault="002C34D4" w:rsidP="002C34D4">
      <w:pPr>
        <w:pStyle w:val="Logos"/>
        <w:tabs>
          <w:tab w:val="right" w:pos="9498"/>
        </w:tabs>
        <w:rPr>
          <w:rFonts w:cs="Arial"/>
          <w:sz w:val="22"/>
          <w:szCs w:val="22"/>
        </w:rPr>
      </w:pPr>
      <w:r w:rsidRPr="005E76EB">
        <w:rPr>
          <w:rFonts w:cs="Arial"/>
          <w:sz w:val="22"/>
          <w:szCs w:val="22"/>
        </w:rP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6831BC" w:rsidRDefault="00A57128" w:rsidP="00B818C3">
      <w:pPr>
        <w:pStyle w:val="Heading1"/>
        <w:jc w:val="center"/>
        <w:rPr>
          <w:rFonts w:cs="Arial"/>
          <w:sz w:val="28"/>
          <w:szCs w:val="28"/>
        </w:rPr>
      </w:pPr>
      <w:r w:rsidRPr="006831BC">
        <w:rPr>
          <w:rFonts w:cs="Arial"/>
          <w:sz w:val="28"/>
          <w:szCs w:val="28"/>
        </w:rPr>
        <w:t>Expression of interest</w:t>
      </w:r>
    </w:p>
    <w:p w14:paraId="6329DEC5" w14:textId="656D8882" w:rsidR="00A57128" w:rsidRPr="005E76EB" w:rsidRDefault="00A53B0A" w:rsidP="00EE71A2">
      <w:pPr>
        <w:pStyle w:val="Heading1"/>
        <w:rPr>
          <w:rFonts w:cs="Arial"/>
          <w:sz w:val="22"/>
          <w:szCs w:val="22"/>
        </w:rPr>
      </w:pPr>
      <w:r w:rsidRPr="005E76EB">
        <w:rPr>
          <w:rFonts w:cs="Arial"/>
          <w:sz w:val="22"/>
          <w:szCs w:val="22"/>
        </w:rPr>
        <w:t>LONGITUDINAL STUDY: TRACKING THE NEEDS, EXPERIENCES AND OUTCOMES OF CHILDREN LEAVING CARE THROUGH PERMANENCE OR SPECIAL GUARDIANSHIP</w:t>
      </w:r>
    </w:p>
    <w:p w14:paraId="2B434E3D" w14:textId="244A2473" w:rsidR="00A57128" w:rsidRPr="005E76EB" w:rsidRDefault="00A57128" w:rsidP="00A57128">
      <w:pPr>
        <w:rPr>
          <w:rFonts w:cs="Arial"/>
          <w:b/>
          <w:szCs w:val="22"/>
        </w:rPr>
      </w:pPr>
      <w:r w:rsidRPr="005E76EB">
        <w:rPr>
          <w:rFonts w:cs="Arial"/>
          <w:b/>
          <w:szCs w:val="22"/>
        </w:rPr>
        <w:t xml:space="preserve">Project reference: </w:t>
      </w:r>
      <w:r w:rsidR="00A53B0A" w:rsidRPr="005E76EB">
        <w:rPr>
          <w:rFonts w:cs="Arial"/>
          <w:b/>
          <w:szCs w:val="22"/>
        </w:rPr>
        <w:t>DFERPPU/20-21/002</w:t>
      </w:r>
    </w:p>
    <w:p w14:paraId="501D40E4" w14:textId="2A9D14EE" w:rsidR="00A57128" w:rsidRPr="005E76EB" w:rsidRDefault="00A57128" w:rsidP="00A57128">
      <w:pPr>
        <w:rPr>
          <w:rFonts w:cs="Arial"/>
          <w:b/>
          <w:szCs w:val="22"/>
        </w:rPr>
      </w:pPr>
      <w:r w:rsidRPr="005E76EB">
        <w:rPr>
          <w:rFonts w:cs="Arial"/>
          <w:b/>
          <w:szCs w:val="22"/>
        </w:rPr>
        <w:t>Deadline for expressions of interest:</w:t>
      </w:r>
      <w:r w:rsidR="00286C02">
        <w:rPr>
          <w:rFonts w:cs="Arial"/>
          <w:b/>
          <w:szCs w:val="22"/>
        </w:rPr>
        <w:t xml:space="preserve"> </w:t>
      </w:r>
      <w:r w:rsidR="00F80A9F">
        <w:rPr>
          <w:rFonts w:cs="Arial"/>
          <w:b/>
          <w:szCs w:val="22"/>
        </w:rPr>
        <w:t xml:space="preserve">11.59pm on </w:t>
      </w:r>
      <w:r w:rsidR="00286C02">
        <w:rPr>
          <w:rFonts w:cs="Arial"/>
          <w:b/>
          <w:szCs w:val="22"/>
        </w:rPr>
        <w:t>Tuesday 20th April 2021</w:t>
      </w:r>
    </w:p>
    <w:p w14:paraId="0CFBF484" w14:textId="184FA1CF" w:rsidR="00A57128" w:rsidRPr="005E76EB" w:rsidRDefault="00A57128" w:rsidP="001F2CE2">
      <w:pPr>
        <w:pStyle w:val="Heading2"/>
        <w:rPr>
          <w:rFonts w:cs="Arial"/>
          <w:sz w:val="22"/>
          <w:szCs w:val="22"/>
        </w:rPr>
      </w:pPr>
      <w:r w:rsidRPr="005E76EB">
        <w:rPr>
          <w:rFonts w:cs="Arial"/>
          <w:sz w:val="22"/>
          <w:szCs w:val="22"/>
        </w:rPr>
        <w:t>Summary</w:t>
      </w:r>
    </w:p>
    <w:p w14:paraId="4A68EBAE" w14:textId="521EE5E0" w:rsidR="00A53B0A" w:rsidRPr="005E76EB" w:rsidRDefault="00A57128" w:rsidP="00A53B0A">
      <w:pPr>
        <w:rPr>
          <w:rFonts w:cs="Arial"/>
          <w:szCs w:val="22"/>
        </w:rPr>
      </w:pPr>
      <w:r w:rsidRPr="005E76EB">
        <w:rPr>
          <w:rFonts w:cs="Arial"/>
          <w:szCs w:val="22"/>
        </w:rPr>
        <w:t>Expressions of interest are sought to</w:t>
      </w:r>
      <w:r w:rsidR="00A53B0A" w:rsidRPr="005E76EB">
        <w:rPr>
          <w:rFonts w:cs="Arial"/>
          <w:szCs w:val="22"/>
        </w:rPr>
        <w:t xml:space="preserve"> undertake a large-scale longitudinal research study to investigate the needs, experiences and outcomes of children who have left care on an Adoption Order (AO) and Special Guardianship Order (SGO).  </w:t>
      </w:r>
      <w:r w:rsidR="001C10A8" w:rsidRPr="005E76EB">
        <w:rPr>
          <w:rFonts w:cs="Arial"/>
          <w:szCs w:val="22"/>
        </w:rPr>
        <w:t>The Department</w:t>
      </w:r>
      <w:r w:rsidR="00A53B0A" w:rsidRPr="005E76EB">
        <w:rPr>
          <w:rFonts w:cs="Arial"/>
          <w:szCs w:val="22"/>
        </w:rPr>
        <w:t xml:space="preserve"> wishes this study to be a seminal piece of research that provides a detailed understanding of the complexity that lies behind outcomes for children and young people leaving care permanently, how these affect and impact on a </w:t>
      </w:r>
      <w:r w:rsidR="007D7195" w:rsidRPr="005E76EB">
        <w:rPr>
          <w:rFonts w:cs="Arial"/>
          <w:szCs w:val="22"/>
        </w:rPr>
        <w:t xml:space="preserve">full </w:t>
      </w:r>
      <w:r w:rsidR="00A53B0A" w:rsidRPr="005E76EB">
        <w:rPr>
          <w:rFonts w:cs="Arial"/>
          <w:szCs w:val="22"/>
        </w:rPr>
        <w:t xml:space="preserve">range of outcomes, how these change over time, and </w:t>
      </w:r>
      <w:r w:rsidR="00F958EA">
        <w:rPr>
          <w:rFonts w:cs="Arial"/>
          <w:szCs w:val="22"/>
        </w:rPr>
        <w:t>how they vary between different routes to permanence.</w:t>
      </w:r>
    </w:p>
    <w:p w14:paraId="0BF9ADD3" w14:textId="1A5D6761" w:rsidR="00A57128" w:rsidRPr="005E76EB" w:rsidRDefault="00A57128" w:rsidP="001F2CE2">
      <w:pPr>
        <w:pStyle w:val="Heading2"/>
        <w:rPr>
          <w:rFonts w:cs="Arial"/>
          <w:sz w:val="22"/>
          <w:szCs w:val="22"/>
        </w:rPr>
      </w:pPr>
      <w:r w:rsidRPr="005E76EB">
        <w:rPr>
          <w:rFonts w:cs="Arial"/>
          <w:sz w:val="22"/>
          <w:szCs w:val="22"/>
        </w:rPr>
        <w:t>Background</w:t>
      </w:r>
    </w:p>
    <w:p w14:paraId="59890F77" w14:textId="77777777" w:rsidR="007D7195" w:rsidRPr="005E76EB" w:rsidRDefault="007D7195" w:rsidP="007D7195">
      <w:pPr>
        <w:rPr>
          <w:rFonts w:cs="Arial"/>
          <w:szCs w:val="22"/>
        </w:rPr>
      </w:pPr>
      <w:r w:rsidRPr="005E76EB">
        <w:rPr>
          <w:rFonts w:cs="Arial"/>
          <w:szCs w:val="22"/>
        </w:rPr>
        <w:t>Adoption and Special Guardianship are both routes into permanence for children who the courts have decided can no longer live with their birth parents. An adoption order is made by the court giving full parental responsibility for a child to the adopter/s; the relationship with the birth parent is legally severed. A Special Guardianship Order (SGO) is a legal order where the court appoints a carer, usually a relative, as the ‘Special Guardian’ of a child until they turn 18.</w:t>
      </w:r>
    </w:p>
    <w:p w14:paraId="07A53ABA" w14:textId="030B3F7E" w:rsidR="007D7195" w:rsidRPr="005E76EB" w:rsidRDefault="007D7195" w:rsidP="004A600B">
      <w:pPr>
        <w:rPr>
          <w:rFonts w:cs="Arial"/>
          <w:szCs w:val="22"/>
        </w:rPr>
      </w:pPr>
      <w:r w:rsidRPr="005E76EB">
        <w:rPr>
          <w:rFonts w:cs="Arial"/>
          <w:szCs w:val="22"/>
        </w:rPr>
        <w:t>Published data shows that adoptions from care continues to fall. In 2019-20 adoptions fell by 4% to 3,440: and down from a peak of 5,360 in 2015. The number of children leaving care on an SGO had been increasing to 3,870 in 2018-19, however there was a decrease of 4% to 3,700 in 2019-20. In 2019-20 12% of children left care with a SGO (13% in 2018-19), similar for children with an adoption order (12% in 2018-19 and 2019-20).  Data on looked after, and previously looked after, children also shows that their outcomes tend to be poorer</w:t>
      </w:r>
      <w:r w:rsidRPr="005E76EB">
        <w:rPr>
          <w:rStyle w:val="FootnoteReference"/>
          <w:rFonts w:cs="Arial"/>
          <w:bCs/>
          <w:iCs/>
          <w:szCs w:val="22"/>
        </w:rPr>
        <w:footnoteReference w:id="1"/>
      </w:r>
      <w:r w:rsidRPr="005E76EB">
        <w:rPr>
          <w:rFonts w:cs="Arial"/>
          <w:bCs/>
          <w:iCs/>
          <w:szCs w:val="22"/>
        </w:rPr>
        <w:t>.</w:t>
      </w:r>
    </w:p>
    <w:p w14:paraId="75B2F29E" w14:textId="38D7D10E" w:rsidR="007D7195" w:rsidRPr="005E76EB" w:rsidRDefault="007D7195" w:rsidP="00AA6A6C">
      <w:pPr>
        <w:rPr>
          <w:rFonts w:cs="Arial"/>
          <w:szCs w:val="22"/>
        </w:rPr>
      </w:pPr>
      <w:r w:rsidRPr="005E76EB">
        <w:rPr>
          <w:rFonts w:cs="Arial"/>
          <w:szCs w:val="22"/>
        </w:rPr>
        <w:t>Previous research</w:t>
      </w:r>
      <w:r w:rsidRPr="005E76EB">
        <w:rPr>
          <w:rStyle w:val="FootnoteReference"/>
          <w:rFonts w:cs="Arial"/>
          <w:bCs/>
          <w:iCs/>
          <w:szCs w:val="22"/>
        </w:rPr>
        <w:footnoteReference w:id="2"/>
      </w:r>
      <w:r w:rsidRPr="005E76EB">
        <w:rPr>
          <w:rStyle w:val="FootnoteReference"/>
          <w:rFonts w:cs="Arial"/>
          <w:bCs/>
          <w:iCs/>
          <w:szCs w:val="22"/>
        </w:rPr>
        <w:t xml:space="preserve"> </w:t>
      </w:r>
      <w:r w:rsidRPr="005E76EB">
        <w:rPr>
          <w:rFonts w:cs="Arial"/>
          <w:szCs w:val="22"/>
        </w:rPr>
        <w:t xml:space="preserve">has highlighted high levels of social, emotional, and behavioural difficulties faced by children following such placements. Parents faced difficulty in accessing services, disputes over funding, and eligibility criteria that excluded adopted children. Whilst there were examples of good </w:t>
      </w:r>
      <w:r w:rsidRPr="005E76EB">
        <w:rPr>
          <w:rFonts w:cs="Arial"/>
          <w:szCs w:val="22"/>
        </w:rPr>
        <w:lastRenderedPageBreak/>
        <w:t xml:space="preserve">practice the research also found wide variations in the support offered, with an on-going need for support to address children’s challenging behaviour, particularly as families were having difficulty accessing children’s mental health services (CAMHS). This research has also shown that disruption rates are low for children adopted, and breakdown rates lower for SGO than AO.  However, as SGOs have only been available since 2005 the research was unable to investigate thoroughly the rate of SGO disruptions that may occur during adolescence. </w:t>
      </w:r>
    </w:p>
    <w:p w14:paraId="2DA3BB87" w14:textId="08E7A3EF" w:rsidR="00A57128" w:rsidRPr="005E76EB" w:rsidRDefault="00A57128" w:rsidP="001F2CE2">
      <w:pPr>
        <w:pStyle w:val="Heading2"/>
        <w:rPr>
          <w:rFonts w:cs="Arial"/>
          <w:sz w:val="22"/>
          <w:szCs w:val="22"/>
        </w:rPr>
      </w:pPr>
      <w:r w:rsidRPr="005E76EB">
        <w:rPr>
          <w:rFonts w:cs="Arial"/>
          <w:sz w:val="22"/>
          <w:szCs w:val="22"/>
        </w:rPr>
        <w:t>Evaluation aims</w:t>
      </w:r>
    </w:p>
    <w:p w14:paraId="4E9A85D7" w14:textId="7FFAA9F8" w:rsidR="00A53B0A" w:rsidRPr="005E76EB" w:rsidRDefault="004A600B" w:rsidP="00A53B0A">
      <w:pPr>
        <w:rPr>
          <w:rFonts w:cs="Arial"/>
          <w:szCs w:val="22"/>
        </w:rPr>
      </w:pPr>
      <w:r w:rsidRPr="005E76EB">
        <w:rPr>
          <w:rFonts w:cs="Arial"/>
          <w:szCs w:val="22"/>
        </w:rPr>
        <w:t xml:space="preserve">The </w:t>
      </w:r>
      <w:r w:rsidRPr="005E76EB">
        <w:rPr>
          <w:rFonts w:cs="Arial"/>
          <w:b/>
          <w:bCs/>
          <w:szCs w:val="22"/>
        </w:rPr>
        <w:t>aim of th</w:t>
      </w:r>
      <w:r w:rsidR="00B17A8B" w:rsidRPr="005E76EB">
        <w:rPr>
          <w:rFonts w:cs="Arial"/>
          <w:b/>
          <w:bCs/>
          <w:szCs w:val="22"/>
        </w:rPr>
        <w:t xml:space="preserve">is research </w:t>
      </w:r>
      <w:r w:rsidR="00B17A8B" w:rsidRPr="005E76EB">
        <w:rPr>
          <w:rFonts w:cs="Arial"/>
          <w:szCs w:val="22"/>
        </w:rPr>
        <w:t>i</w:t>
      </w:r>
      <w:r w:rsidRPr="005E76EB">
        <w:rPr>
          <w:rFonts w:cs="Arial"/>
          <w:szCs w:val="22"/>
        </w:rPr>
        <w:t>s to</w:t>
      </w:r>
      <w:r w:rsidR="00A53B0A" w:rsidRPr="005E76EB">
        <w:rPr>
          <w:rFonts w:cs="Arial"/>
          <w:szCs w:val="22"/>
        </w:rPr>
        <w:t xml:space="preserve"> provide an updated understanding of the needs, experiences and long-term outcomes for children leaving care through these routes. It will build and expand on the available body of evidence. In particular, it will seek to </w:t>
      </w:r>
      <w:r w:rsidR="00B17A8B" w:rsidRPr="005E76EB">
        <w:rPr>
          <w:rFonts w:cs="Arial"/>
          <w:szCs w:val="22"/>
        </w:rPr>
        <w:t xml:space="preserve">track children and </w:t>
      </w:r>
      <w:r w:rsidR="00A53B0A" w:rsidRPr="005E76EB">
        <w:rPr>
          <w:rFonts w:cs="Arial"/>
          <w:szCs w:val="22"/>
        </w:rPr>
        <w:t>young people</w:t>
      </w:r>
      <w:r w:rsidR="00B17A8B" w:rsidRPr="005E76EB">
        <w:rPr>
          <w:rFonts w:cs="Arial"/>
          <w:szCs w:val="22"/>
        </w:rPr>
        <w:t xml:space="preserve"> after</w:t>
      </w:r>
      <w:r w:rsidR="00A53B0A" w:rsidRPr="005E76EB">
        <w:rPr>
          <w:rFonts w:cs="Arial"/>
          <w:szCs w:val="22"/>
        </w:rPr>
        <w:t xml:space="preserve"> their adoption</w:t>
      </w:r>
      <w:r w:rsidR="00B17A8B" w:rsidRPr="005E76EB">
        <w:rPr>
          <w:rFonts w:cs="Arial"/>
          <w:szCs w:val="22"/>
        </w:rPr>
        <w:t xml:space="preserve"> or S</w:t>
      </w:r>
      <w:r w:rsidR="00A53B0A" w:rsidRPr="005E76EB">
        <w:rPr>
          <w:rFonts w:cs="Arial"/>
          <w:szCs w:val="22"/>
        </w:rPr>
        <w:t>GO to understand their experiences over time. This new evidence will be used to review existing policy that seeks to improve their outcomes and life chances of these young people/children and support their families.</w:t>
      </w:r>
    </w:p>
    <w:p w14:paraId="328C760E" w14:textId="77777777" w:rsidR="00AA6A6C" w:rsidRPr="005E76EB" w:rsidRDefault="00AA6A6C" w:rsidP="00AA6A6C">
      <w:pPr>
        <w:rPr>
          <w:rFonts w:cs="Arial"/>
          <w:bCs/>
          <w:iCs/>
          <w:szCs w:val="22"/>
        </w:rPr>
      </w:pPr>
      <w:r w:rsidRPr="005E76EB">
        <w:rPr>
          <w:rFonts w:cs="Arial"/>
          <w:bCs/>
          <w:iCs/>
          <w:szCs w:val="22"/>
        </w:rPr>
        <w:t xml:space="preserve">The </w:t>
      </w:r>
      <w:r w:rsidRPr="005E76EB">
        <w:rPr>
          <w:rFonts w:cs="Arial"/>
          <w:b/>
          <w:iCs/>
          <w:szCs w:val="22"/>
        </w:rPr>
        <w:t>objectives</w:t>
      </w:r>
      <w:r w:rsidRPr="005E76EB">
        <w:rPr>
          <w:rFonts w:cs="Arial"/>
          <w:bCs/>
          <w:iCs/>
          <w:szCs w:val="22"/>
        </w:rPr>
        <w:t xml:space="preserve"> of the research are to:</w:t>
      </w:r>
    </w:p>
    <w:p w14:paraId="5199D439" w14:textId="77777777" w:rsidR="00AA6A6C" w:rsidRPr="005E76EB" w:rsidRDefault="00AA6A6C" w:rsidP="00AA6A6C">
      <w:pPr>
        <w:numPr>
          <w:ilvl w:val="0"/>
          <w:numId w:val="20"/>
        </w:numPr>
        <w:rPr>
          <w:rFonts w:cs="Arial"/>
          <w:bCs/>
          <w:iCs/>
          <w:szCs w:val="22"/>
        </w:rPr>
      </w:pPr>
      <w:r w:rsidRPr="005E76EB">
        <w:rPr>
          <w:rFonts w:cs="Arial"/>
          <w:bCs/>
          <w:iCs/>
          <w:szCs w:val="22"/>
        </w:rPr>
        <w:t>To support improved outcomes for children by improving our understanding of the complexity of factors, and core elements, that affect and influence the support needs and outcomes of children and their adoptive families and special guardians; how these change over time, by age, circumstances, and other factors such as contact with birth families.</w:t>
      </w:r>
    </w:p>
    <w:p w14:paraId="156F6015" w14:textId="77777777" w:rsidR="00AA6A6C" w:rsidRPr="005E76EB" w:rsidRDefault="00AA6A6C" w:rsidP="00AA6A6C">
      <w:pPr>
        <w:numPr>
          <w:ilvl w:val="0"/>
          <w:numId w:val="20"/>
        </w:numPr>
        <w:rPr>
          <w:rFonts w:cs="Arial"/>
          <w:bCs/>
          <w:iCs/>
          <w:szCs w:val="22"/>
        </w:rPr>
      </w:pPr>
      <w:r w:rsidRPr="005E76EB">
        <w:rPr>
          <w:rFonts w:cs="Arial"/>
          <w:bCs/>
          <w:iCs/>
          <w:szCs w:val="22"/>
        </w:rPr>
        <w:t xml:space="preserve">Assess the long-term outcomes of children placed under these orders, for at least five years after the SGO and AO are made, and particularly into adolescence. </w:t>
      </w:r>
    </w:p>
    <w:p w14:paraId="6CC5C325" w14:textId="3D0F48AD" w:rsidR="00AA6A6C" w:rsidRDefault="00AA6A6C" w:rsidP="00AA6A6C">
      <w:pPr>
        <w:numPr>
          <w:ilvl w:val="0"/>
          <w:numId w:val="20"/>
        </w:numPr>
        <w:rPr>
          <w:rFonts w:cs="Arial"/>
          <w:bCs/>
          <w:iCs/>
          <w:szCs w:val="22"/>
        </w:rPr>
      </w:pPr>
      <w:r w:rsidRPr="005E76EB">
        <w:rPr>
          <w:rFonts w:cs="Arial"/>
          <w:bCs/>
          <w:iCs/>
          <w:szCs w:val="22"/>
        </w:rPr>
        <w:t xml:space="preserve">Identify key issues in </w:t>
      </w:r>
      <w:r w:rsidR="00DF371B">
        <w:rPr>
          <w:rFonts w:cs="Arial"/>
          <w:bCs/>
          <w:iCs/>
          <w:szCs w:val="22"/>
        </w:rPr>
        <w:t xml:space="preserve">local authority and Regional Adoption Agency </w:t>
      </w:r>
      <w:r w:rsidRPr="005E76EB">
        <w:rPr>
          <w:rFonts w:cs="Arial"/>
          <w:bCs/>
          <w:iCs/>
          <w:szCs w:val="22"/>
        </w:rPr>
        <w:t>practice in relation to SGOs and adoptions such as professionals’ and practitioners’ understanding of the experiences and support needs of the children and families.</w:t>
      </w:r>
    </w:p>
    <w:p w14:paraId="0E63FB5A" w14:textId="17433604" w:rsidR="00801B29" w:rsidRPr="00801B29" w:rsidRDefault="00801B29" w:rsidP="00801B29">
      <w:pPr>
        <w:numPr>
          <w:ilvl w:val="0"/>
          <w:numId w:val="20"/>
        </w:numPr>
        <w:rPr>
          <w:rFonts w:cs="Arial"/>
          <w:bCs/>
          <w:iCs/>
          <w:szCs w:val="22"/>
        </w:rPr>
      </w:pPr>
      <w:r w:rsidRPr="00801B29">
        <w:rPr>
          <w:rFonts w:cs="Arial"/>
          <w:bCs/>
          <w:iCs/>
          <w:szCs w:val="22"/>
        </w:rPr>
        <w:t>Improve decision making by local authorities and courts on permanency options for those children who can</w:t>
      </w:r>
      <w:r w:rsidR="008F422C">
        <w:rPr>
          <w:rFonts w:cs="Arial"/>
          <w:bCs/>
          <w:iCs/>
          <w:szCs w:val="22"/>
        </w:rPr>
        <w:t>not</w:t>
      </w:r>
      <w:r w:rsidRPr="00801B29">
        <w:rPr>
          <w:rFonts w:cs="Arial"/>
          <w:bCs/>
          <w:iCs/>
          <w:szCs w:val="22"/>
        </w:rPr>
        <w:t xml:space="preserve"> return home to live with their birth parents.</w:t>
      </w:r>
    </w:p>
    <w:p w14:paraId="79DC4126" w14:textId="77777777" w:rsidR="00AA6A6C" w:rsidRPr="005E76EB" w:rsidRDefault="00AA6A6C" w:rsidP="00AA6A6C">
      <w:pPr>
        <w:rPr>
          <w:rFonts w:cs="Arial"/>
          <w:b/>
          <w:iCs/>
          <w:szCs w:val="22"/>
        </w:rPr>
      </w:pPr>
      <w:r w:rsidRPr="005E76EB">
        <w:rPr>
          <w:rFonts w:cs="Arial"/>
          <w:bCs/>
          <w:iCs/>
          <w:szCs w:val="22"/>
        </w:rPr>
        <w:t xml:space="preserve">The key </w:t>
      </w:r>
      <w:r w:rsidRPr="005E76EB">
        <w:rPr>
          <w:rFonts w:cs="Arial"/>
          <w:b/>
          <w:iCs/>
          <w:szCs w:val="22"/>
        </w:rPr>
        <w:t xml:space="preserve">research questions </w:t>
      </w:r>
      <w:r w:rsidRPr="005E76EB">
        <w:rPr>
          <w:rFonts w:cs="Arial"/>
          <w:bCs/>
          <w:iCs/>
          <w:szCs w:val="22"/>
        </w:rPr>
        <w:t>are:</w:t>
      </w:r>
    </w:p>
    <w:p w14:paraId="11BC3F6D" w14:textId="77777777" w:rsidR="00AA6A6C" w:rsidRPr="005E76EB" w:rsidRDefault="00AA6A6C" w:rsidP="00AA6A6C">
      <w:pPr>
        <w:numPr>
          <w:ilvl w:val="0"/>
          <w:numId w:val="20"/>
        </w:numPr>
        <w:rPr>
          <w:rFonts w:cs="Arial"/>
          <w:bCs/>
          <w:iCs/>
          <w:szCs w:val="22"/>
        </w:rPr>
      </w:pPr>
      <w:r w:rsidRPr="005E76EB">
        <w:rPr>
          <w:rFonts w:cs="Arial"/>
          <w:bCs/>
          <w:iCs/>
          <w:szCs w:val="22"/>
        </w:rPr>
        <w:t xml:space="preserve">What are the needs and experiences and long-term outcomes of children placed via these legal orders?  What differences, if any, are there between them, and how do these change over time – accounting for different characteristics of children? </w:t>
      </w:r>
    </w:p>
    <w:p w14:paraId="7DD9EC5F" w14:textId="77777777" w:rsidR="00AA6A6C" w:rsidRPr="005E76EB" w:rsidRDefault="00AA6A6C" w:rsidP="00AA6A6C">
      <w:pPr>
        <w:numPr>
          <w:ilvl w:val="0"/>
          <w:numId w:val="20"/>
        </w:numPr>
        <w:rPr>
          <w:rFonts w:cs="Arial"/>
          <w:bCs/>
          <w:iCs/>
          <w:szCs w:val="22"/>
        </w:rPr>
      </w:pPr>
      <w:r w:rsidRPr="005E76EB">
        <w:rPr>
          <w:rFonts w:cs="Arial"/>
          <w:bCs/>
          <w:iCs/>
          <w:szCs w:val="22"/>
        </w:rPr>
        <w:t>What life events, childhood experiences and/ or circumstances impact of the well-being and health of children throughout their life, and after the have been removed from traumatic circumstances?  What impact do they have on outcomes? What are the long-term impacts of multiple adverse childhood experiences on the wellbeing and health of children throughout their life, after they have been removed from traumatic circumstances?</w:t>
      </w:r>
    </w:p>
    <w:p w14:paraId="437F9681" w14:textId="77777777" w:rsidR="00AA6A6C" w:rsidRPr="005E76EB" w:rsidRDefault="00AA6A6C" w:rsidP="00AA6A6C">
      <w:pPr>
        <w:numPr>
          <w:ilvl w:val="0"/>
          <w:numId w:val="20"/>
        </w:numPr>
        <w:rPr>
          <w:rFonts w:cs="Arial"/>
          <w:bCs/>
          <w:iCs/>
          <w:szCs w:val="22"/>
        </w:rPr>
      </w:pPr>
      <w:r w:rsidRPr="005E76EB">
        <w:rPr>
          <w:rFonts w:cs="Arial"/>
          <w:bCs/>
          <w:iCs/>
          <w:szCs w:val="22"/>
        </w:rPr>
        <w:t xml:space="preserve">What are the needs and experiences of SGO and adoptive families? How do these differ between special guardians and adopters? </w:t>
      </w:r>
      <w:bookmarkStart w:id="1" w:name="_Hlk56770274"/>
      <w:r w:rsidRPr="005E76EB">
        <w:rPr>
          <w:rFonts w:cs="Arial"/>
          <w:bCs/>
          <w:iCs/>
          <w:szCs w:val="22"/>
        </w:rPr>
        <w:t xml:space="preserve">What are the key factors that affect these and how do these change over time? </w:t>
      </w:r>
      <w:bookmarkEnd w:id="1"/>
    </w:p>
    <w:p w14:paraId="5829E077" w14:textId="77777777" w:rsidR="00AA6A6C" w:rsidRPr="005E76EB" w:rsidRDefault="00AA6A6C" w:rsidP="00AA6A6C">
      <w:pPr>
        <w:numPr>
          <w:ilvl w:val="0"/>
          <w:numId w:val="20"/>
        </w:numPr>
        <w:rPr>
          <w:rFonts w:cs="Arial"/>
          <w:bCs/>
          <w:iCs/>
          <w:szCs w:val="22"/>
        </w:rPr>
      </w:pPr>
      <w:r w:rsidRPr="005E76EB">
        <w:rPr>
          <w:rFonts w:cs="Arial"/>
          <w:bCs/>
          <w:iCs/>
          <w:szCs w:val="22"/>
        </w:rPr>
        <w:t>What are the factors and/ or triggers that place stress on adoptive parents and SGO carers and their families? At what points do these occur and what impact do they have?</w:t>
      </w:r>
    </w:p>
    <w:p w14:paraId="2A9DCBCF" w14:textId="599522A0" w:rsidR="00AA6A6C" w:rsidRPr="005E76EB" w:rsidRDefault="00AA6A6C" w:rsidP="00AA6A6C">
      <w:pPr>
        <w:numPr>
          <w:ilvl w:val="0"/>
          <w:numId w:val="20"/>
        </w:numPr>
        <w:rPr>
          <w:rFonts w:cs="Arial"/>
          <w:szCs w:val="22"/>
        </w:rPr>
      </w:pPr>
      <w:r w:rsidRPr="005E76EB">
        <w:rPr>
          <w:rFonts w:cs="Arial"/>
          <w:bCs/>
          <w:iCs/>
          <w:szCs w:val="22"/>
        </w:rPr>
        <w:lastRenderedPageBreak/>
        <w:t>What is the role of schools and multi-agency partners in supporting outcomes for previously looked after children? What impact are support provisions in schools, such as pupil premium plus or access to VSH support, having on outcomes?</w:t>
      </w:r>
    </w:p>
    <w:p w14:paraId="0E6B3F4B" w14:textId="2751E8B4" w:rsidR="004A600B" w:rsidRPr="005E76EB" w:rsidRDefault="004A600B" w:rsidP="001F2CE2">
      <w:pPr>
        <w:pStyle w:val="Heading2"/>
        <w:rPr>
          <w:rFonts w:cs="Arial"/>
          <w:sz w:val="22"/>
          <w:szCs w:val="22"/>
        </w:rPr>
      </w:pPr>
      <w:r w:rsidRPr="005E76EB">
        <w:rPr>
          <w:rFonts w:cs="Arial"/>
          <w:sz w:val="22"/>
          <w:szCs w:val="22"/>
        </w:rPr>
        <w:t>Methodology</w:t>
      </w:r>
    </w:p>
    <w:p w14:paraId="08585E6F" w14:textId="77777777" w:rsidR="009120C0" w:rsidRPr="005E76EB" w:rsidRDefault="009120C0" w:rsidP="009120C0">
      <w:pPr>
        <w:rPr>
          <w:rFonts w:cs="Arial"/>
          <w:bCs/>
          <w:iCs/>
          <w:szCs w:val="22"/>
        </w:rPr>
      </w:pPr>
      <w:r w:rsidRPr="005E76EB">
        <w:rPr>
          <w:rFonts w:cs="Arial"/>
          <w:bCs/>
          <w:iCs/>
          <w:szCs w:val="22"/>
        </w:rPr>
        <w:t>This study aims to provide robust quantitative evidence on families and children leaving care on a permanent route, based on tracking their experiences longitudinally. We anticipate that the research will collect a range of evidence across a broad range of outcome measures to maximise its utility. This includes, and where possible (and with permissions), linking survey data with our administrative data allowing gaps to be filled in our knowledge.</w:t>
      </w:r>
    </w:p>
    <w:p w14:paraId="6D6DF525" w14:textId="7FA606D8" w:rsidR="00405172" w:rsidRPr="005E76EB" w:rsidRDefault="00405172" w:rsidP="009120C0">
      <w:pPr>
        <w:rPr>
          <w:rFonts w:cs="Arial"/>
          <w:bCs/>
          <w:iCs/>
          <w:szCs w:val="22"/>
        </w:rPr>
      </w:pPr>
      <w:r w:rsidRPr="005E76EB">
        <w:rPr>
          <w:rFonts w:cs="Arial"/>
          <w:bCs/>
          <w:iCs/>
          <w:szCs w:val="22"/>
        </w:rPr>
        <w:t xml:space="preserve">The successful contractor will be required to work with the Department to lead the development, set up and delivery of this new longitudinal study. </w:t>
      </w:r>
    </w:p>
    <w:p w14:paraId="7DEB733C" w14:textId="18F4D82B" w:rsidR="009120C0" w:rsidRPr="005E76EB" w:rsidRDefault="009120C0" w:rsidP="009120C0">
      <w:pPr>
        <w:rPr>
          <w:rFonts w:cs="Arial"/>
          <w:bCs/>
          <w:iCs/>
          <w:szCs w:val="22"/>
        </w:rPr>
      </w:pPr>
      <w:r w:rsidRPr="005E76EB">
        <w:rPr>
          <w:rFonts w:cs="Arial"/>
          <w:bCs/>
          <w:iCs/>
          <w:szCs w:val="22"/>
        </w:rPr>
        <w:t xml:space="preserve">While </w:t>
      </w:r>
      <w:r w:rsidR="00405172" w:rsidRPr="005E76EB">
        <w:rPr>
          <w:rFonts w:cs="Arial"/>
          <w:bCs/>
          <w:iCs/>
          <w:szCs w:val="22"/>
        </w:rPr>
        <w:t>the I</w:t>
      </w:r>
      <w:r w:rsidR="00DF371B">
        <w:rPr>
          <w:rFonts w:cs="Arial"/>
          <w:bCs/>
          <w:iCs/>
          <w:szCs w:val="22"/>
        </w:rPr>
        <w:t>nvitation to Tender</w:t>
      </w:r>
      <w:r w:rsidR="00405172" w:rsidRPr="005E76EB">
        <w:rPr>
          <w:rFonts w:cs="Arial"/>
          <w:bCs/>
          <w:iCs/>
          <w:szCs w:val="22"/>
        </w:rPr>
        <w:t xml:space="preserve"> will set out some </w:t>
      </w:r>
      <w:r w:rsidRPr="005E76EB">
        <w:rPr>
          <w:rFonts w:cs="Arial"/>
          <w:bCs/>
          <w:iCs/>
          <w:szCs w:val="22"/>
        </w:rPr>
        <w:t>ideas</w:t>
      </w:r>
      <w:r w:rsidR="005C3C1F">
        <w:rPr>
          <w:rFonts w:cs="Arial"/>
          <w:bCs/>
          <w:iCs/>
          <w:szCs w:val="22"/>
        </w:rPr>
        <w:t>,</w:t>
      </w:r>
      <w:r w:rsidR="00405172" w:rsidRPr="005E76EB">
        <w:rPr>
          <w:rFonts w:cs="Arial"/>
          <w:bCs/>
          <w:iCs/>
          <w:szCs w:val="22"/>
        </w:rPr>
        <w:t xml:space="preserve"> </w:t>
      </w:r>
      <w:r w:rsidRPr="005E76EB">
        <w:rPr>
          <w:rFonts w:cs="Arial"/>
          <w:bCs/>
          <w:iCs/>
          <w:szCs w:val="22"/>
        </w:rPr>
        <w:t xml:space="preserve">bidders will be asked to suggest the most robust and cost-effective methodologies to meet the aims of the evaluation within the budget – and to include costed options where appropriate. </w:t>
      </w:r>
      <w:r w:rsidR="00DF371B">
        <w:rPr>
          <w:rFonts w:cs="Arial"/>
          <w:bCs/>
          <w:iCs/>
          <w:szCs w:val="22"/>
        </w:rPr>
        <w:t>Please note that budget and costings are not required at thi</w:t>
      </w:r>
      <w:r w:rsidR="00F04284">
        <w:rPr>
          <w:rFonts w:cs="Arial"/>
          <w:bCs/>
          <w:iCs/>
          <w:szCs w:val="22"/>
        </w:rPr>
        <w:t>s</w:t>
      </w:r>
      <w:r w:rsidR="00DF371B">
        <w:rPr>
          <w:rFonts w:cs="Arial"/>
          <w:bCs/>
          <w:iCs/>
          <w:szCs w:val="22"/>
        </w:rPr>
        <w:t xml:space="preserve"> Expression of Interest stage.</w:t>
      </w:r>
    </w:p>
    <w:p w14:paraId="344BC521" w14:textId="7F88AB0C" w:rsidR="009120C0" w:rsidRPr="005E76EB" w:rsidRDefault="00B17A8B" w:rsidP="009120C0">
      <w:pPr>
        <w:rPr>
          <w:rFonts w:cs="Arial"/>
          <w:bCs/>
          <w:iCs/>
          <w:szCs w:val="22"/>
        </w:rPr>
      </w:pPr>
      <w:r w:rsidRPr="005E76EB">
        <w:rPr>
          <w:rFonts w:cs="Arial"/>
          <w:bCs/>
          <w:iCs/>
          <w:szCs w:val="22"/>
        </w:rPr>
        <w:t xml:space="preserve">We anticipate that the </w:t>
      </w:r>
      <w:r w:rsidR="009120C0" w:rsidRPr="005E76EB">
        <w:rPr>
          <w:rFonts w:cs="Arial"/>
          <w:bCs/>
          <w:iCs/>
          <w:szCs w:val="22"/>
        </w:rPr>
        <w:t xml:space="preserve">key </w:t>
      </w:r>
      <w:r w:rsidR="002A0D44" w:rsidRPr="005E76EB">
        <w:rPr>
          <w:rFonts w:cs="Arial"/>
          <w:bCs/>
          <w:iCs/>
          <w:szCs w:val="22"/>
        </w:rPr>
        <w:t>strands of work will i</w:t>
      </w:r>
      <w:r w:rsidRPr="005E76EB">
        <w:rPr>
          <w:rFonts w:cs="Arial"/>
          <w:bCs/>
          <w:iCs/>
          <w:szCs w:val="22"/>
        </w:rPr>
        <w:t>nclude</w:t>
      </w:r>
      <w:r w:rsidR="009120C0" w:rsidRPr="005E76EB">
        <w:rPr>
          <w:rFonts w:cs="Arial"/>
          <w:bCs/>
          <w:iCs/>
          <w:szCs w:val="22"/>
        </w:rPr>
        <w:t>:</w:t>
      </w:r>
    </w:p>
    <w:p w14:paraId="59D65DF3" w14:textId="04B6C623" w:rsidR="009120C0" w:rsidRPr="005E76EB" w:rsidRDefault="009120C0" w:rsidP="009120C0">
      <w:pPr>
        <w:numPr>
          <w:ilvl w:val="0"/>
          <w:numId w:val="21"/>
        </w:numPr>
        <w:rPr>
          <w:rFonts w:cs="Arial"/>
          <w:bCs/>
          <w:iCs/>
          <w:szCs w:val="22"/>
        </w:rPr>
      </w:pPr>
      <w:r w:rsidRPr="005E76EB">
        <w:rPr>
          <w:rFonts w:cs="Arial"/>
          <w:b/>
          <w:iCs/>
          <w:szCs w:val="22"/>
        </w:rPr>
        <w:t xml:space="preserve">A feasibility study </w:t>
      </w:r>
      <w:r w:rsidRPr="005E76EB">
        <w:rPr>
          <w:rFonts w:cs="Arial"/>
          <w:bCs/>
          <w:iCs/>
          <w:szCs w:val="22"/>
        </w:rPr>
        <w:t>from which to develop a solid and seminal piece of research.</w:t>
      </w:r>
      <w:r w:rsidR="00405172" w:rsidRPr="005E76EB">
        <w:rPr>
          <w:rFonts w:cs="Arial"/>
          <w:bCs/>
          <w:iCs/>
          <w:szCs w:val="22"/>
        </w:rPr>
        <w:t xml:space="preserve">  The aim of the feasibility study will </w:t>
      </w:r>
      <w:r w:rsidR="001C10A8">
        <w:rPr>
          <w:rFonts w:cs="Arial"/>
          <w:bCs/>
          <w:iCs/>
          <w:szCs w:val="22"/>
        </w:rPr>
        <w:t xml:space="preserve">be to: </w:t>
      </w:r>
      <w:r w:rsidR="00405172" w:rsidRPr="005E76EB">
        <w:rPr>
          <w:rFonts w:cs="Arial"/>
          <w:bCs/>
          <w:iCs/>
          <w:szCs w:val="22"/>
        </w:rPr>
        <w:t>consider and identify the best approach that will deliver on the aims and objectives; explore the availability and accessibility of the data; establish an appropriate sampling frame and the viability of including children include children living under a SGO who were not previously in care, as well as other forms of permanence. Including for example, long-term foster care and children living under a child arrangement order (where grandparents and other family members may be looking after the children).</w:t>
      </w:r>
    </w:p>
    <w:p w14:paraId="0FDF20C0" w14:textId="388F10E6" w:rsidR="009120C0" w:rsidRPr="005E76EB" w:rsidRDefault="009120C0" w:rsidP="009120C0">
      <w:pPr>
        <w:numPr>
          <w:ilvl w:val="0"/>
          <w:numId w:val="21"/>
        </w:numPr>
        <w:rPr>
          <w:rFonts w:cs="Arial"/>
          <w:bCs/>
          <w:iCs/>
          <w:szCs w:val="22"/>
        </w:rPr>
      </w:pPr>
      <w:r w:rsidRPr="005E76EB">
        <w:rPr>
          <w:rFonts w:cs="Arial"/>
          <w:b/>
          <w:iCs/>
          <w:szCs w:val="22"/>
        </w:rPr>
        <w:t>Mixed methods longitudinal surveys of children and families</w:t>
      </w:r>
      <w:r w:rsidRPr="005E76EB">
        <w:rPr>
          <w:rFonts w:cs="Arial"/>
          <w:bCs/>
          <w:iCs/>
          <w:szCs w:val="22"/>
        </w:rPr>
        <w:t xml:space="preserve">, </w:t>
      </w:r>
      <w:r w:rsidR="00B17A8B" w:rsidRPr="005E76EB">
        <w:rPr>
          <w:rFonts w:cs="Arial"/>
          <w:bCs/>
          <w:iCs/>
          <w:szCs w:val="22"/>
        </w:rPr>
        <w:t xml:space="preserve">which will allow children, young people, as well as their parents and carers </w:t>
      </w:r>
      <w:r w:rsidRPr="005E76EB">
        <w:rPr>
          <w:rFonts w:cs="Arial"/>
          <w:bCs/>
          <w:iCs/>
          <w:szCs w:val="22"/>
        </w:rPr>
        <w:t>to be followed up over five years.</w:t>
      </w:r>
    </w:p>
    <w:p w14:paraId="638806DE" w14:textId="0DEF976A" w:rsidR="002A0D44" w:rsidRPr="005E76EB" w:rsidRDefault="002A0D44" w:rsidP="002A0D44">
      <w:pPr>
        <w:ind w:left="720"/>
        <w:rPr>
          <w:rFonts w:cs="Arial"/>
          <w:bCs/>
          <w:iCs/>
          <w:szCs w:val="22"/>
        </w:rPr>
      </w:pPr>
      <w:r w:rsidRPr="005E76EB">
        <w:rPr>
          <w:rFonts w:cs="Arial"/>
          <w:bCs/>
          <w:iCs/>
          <w:szCs w:val="22"/>
        </w:rPr>
        <w:t xml:space="preserve">A central plank of the research will be a longitudinal study of children and young people that left care on an AO or SGO. The aim is to design a </w:t>
      </w:r>
      <w:r w:rsidR="001C10A8" w:rsidRPr="005E76EB">
        <w:rPr>
          <w:rFonts w:cs="Arial"/>
          <w:bCs/>
          <w:iCs/>
          <w:szCs w:val="22"/>
        </w:rPr>
        <w:t>large-scale</w:t>
      </w:r>
      <w:r w:rsidRPr="005E76EB">
        <w:rPr>
          <w:rFonts w:cs="Arial"/>
          <w:bCs/>
          <w:iCs/>
          <w:szCs w:val="22"/>
        </w:rPr>
        <w:t xml:space="preserve"> study that will collect robust longitudinal quantitative evidence on children and families, their </w:t>
      </w:r>
      <w:r w:rsidR="001C10A8" w:rsidRPr="005E76EB">
        <w:rPr>
          <w:rFonts w:cs="Arial"/>
          <w:bCs/>
          <w:iCs/>
          <w:szCs w:val="22"/>
        </w:rPr>
        <w:t>experiences,</w:t>
      </w:r>
      <w:r w:rsidRPr="005E76EB">
        <w:rPr>
          <w:rFonts w:cs="Arial"/>
          <w:bCs/>
          <w:iCs/>
          <w:szCs w:val="22"/>
        </w:rPr>
        <w:t xml:space="preserve"> and outcomes. We want to commission a longitudinal study that will help us understand development and lifespan issues, and how things change at different points depending on circumstances and/or life events. We are looking for a study that will provide a comprehensive picture of the extent and reasons for breakdown, understand short, medium- and long-term outcomes at critical points in children and family lives, understand their experiences and how these affect outcomes. Once established we anticipate that the cohort will be surveyed for a total of five waves, that surveys and follow ups will occur at least annually to capture any changes in their situations and lives of the children and families. At the tender stage we will welcome suggestions from bidders on the timings of each wave.</w:t>
      </w:r>
    </w:p>
    <w:p w14:paraId="7F9C0262" w14:textId="6C1CA660" w:rsidR="009120C0" w:rsidRPr="00F80A9F" w:rsidRDefault="009120C0" w:rsidP="00F80A9F">
      <w:pPr>
        <w:numPr>
          <w:ilvl w:val="0"/>
          <w:numId w:val="21"/>
        </w:numPr>
        <w:rPr>
          <w:rFonts w:cs="Arial"/>
          <w:bCs/>
          <w:iCs/>
          <w:szCs w:val="22"/>
        </w:rPr>
      </w:pPr>
      <w:r w:rsidRPr="00F80A9F">
        <w:rPr>
          <w:rFonts w:cs="Arial"/>
          <w:b/>
          <w:iCs/>
          <w:szCs w:val="22"/>
        </w:rPr>
        <w:t xml:space="preserve">Longitudinal qualitative </w:t>
      </w:r>
      <w:r w:rsidR="00F80A9F" w:rsidRPr="00F80A9F">
        <w:rPr>
          <w:rFonts w:cs="Arial"/>
          <w:b/>
          <w:iCs/>
          <w:szCs w:val="22"/>
        </w:rPr>
        <w:t>research with</w:t>
      </w:r>
      <w:r w:rsidRPr="00F80A9F">
        <w:rPr>
          <w:rFonts w:cs="Arial"/>
          <w:bCs/>
          <w:iCs/>
          <w:szCs w:val="22"/>
        </w:rPr>
        <w:t xml:space="preserve"> </w:t>
      </w:r>
      <w:r w:rsidRPr="00963DC9">
        <w:rPr>
          <w:rFonts w:cs="Arial"/>
          <w:b/>
          <w:iCs/>
          <w:szCs w:val="22"/>
        </w:rPr>
        <w:t>children and families</w:t>
      </w:r>
      <w:r w:rsidRPr="00F80A9F">
        <w:rPr>
          <w:rFonts w:cs="Arial"/>
          <w:bCs/>
          <w:iCs/>
          <w:szCs w:val="22"/>
        </w:rPr>
        <w:t xml:space="preserve"> to provide an in-depth understanding of the quantitative evidence.</w:t>
      </w:r>
      <w:r w:rsidR="00F80A9F" w:rsidRPr="00F80A9F">
        <w:rPr>
          <w:rFonts w:cs="Arial"/>
          <w:bCs/>
          <w:iCs/>
          <w:szCs w:val="22"/>
        </w:rPr>
        <w:t xml:space="preserve"> This qualitative strand could also include: (i) an </w:t>
      </w:r>
      <w:r w:rsidR="00F80A9F" w:rsidRPr="00F80A9F">
        <w:rPr>
          <w:rFonts w:cs="Arial"/>
          <w:b/>
          <w:iCs/>
          <w:szCs w:val="22"/>
        </w:rPr>
        <w:t>a</w:t>
      </w:r>
      <w:r w:rsidRPr="00F80A9F">
        <w:rPr>
          <w:rFonts w:cs="Arial"/>
          <w:b/>
          <w:iCs/>
          <w:szCs w:val="22"/>
        </w:rPr>
        <w:t>nalysis of case files</w:t>
      </w:r>
      <w:r w:rsidRPr="00F80A9F">
        <w:rPr>
          <w:rFonts w:cs="Arial"/>
          <w:bCs/>
          <w:iCs/>
          <w:szCs w:val="22"/>
        </w:rPr>
        <w:t xml:space="preserve"> to support any qualitative research </w:t>
      </w:r>
      <w:r w:rsidR="00F80A9F" w:rsidRPr="00F80A9F">
        <w:rPr>
          <w:rFonts w:cs="Arial"/>
          <w:bCs/>
          <w:iCs/>
          <w:szCs w:val="22"/>
        </w:rPr>
        <w:t xml:space="preserve">with children and families </w:t>
      </w:r>
      <w:r w:rsidRPr="00F80A9F">
        <w:rPr>
          <w:rFonts w:cs="Arial"/>
          <w:bCs/>
          <w:iCs/>
          <w:szCs w:val="22"/>
        </w:rPr>
        <w:t xml:space="preserve">to develop an in-depth understanding the children’s family history, circumstances and </w:t>
      </w:r>
      <w:r w:rsidRPr="00F80A9F">
        <w:rPr>
          <w:rFonts w:cs="Arial"/>
          <w:bCs/>
          <w:iCs/>
          <w:szCs w:val="22"/>
        </w:rPr>
        <w:lastRenderedPageBreak/>
        <w:t xml:space="preserve">interventions or support provided to understand any link with child outcomes; </w:t>
      </w:r>
      <w:r w:rsidR="001C10A8" w:rsidRPr="00F80A9F">
        <w:rPr>
          <w:rFonts w:cs="Arial"/>
          <w:bCs/>
          <w:iCs/>
          <w:szCs w:val="22"/>
        </w:rPr>
        <w:t>and</w:t>
      </w:r>
      <w:r w:rsidR="00F80A9F" w:rsidRPr="00F80A9F">
        <w:rPr>
          <w:rFonts w:cs="Arial"/>
          <w:bCs/>
          <w:iCs/>
          <w:szCs w:val="22"/>
        </w:rPr>
        <w:t xml:space="preserve"> (ii)</w:t>
      </w:r>
      <w:r w:rsidR="00F80A9F">
        <w:rPr>
          <w:rFonts w:cs="Arial"/>
          <w:bCs/>
          <w:iCs/>
          <w:szCs w:val="22"/>
        </w:rPr>
        <w:t xml:space="preserve"> </w:t>
      </w:r>
      <w:r w:rsidR="00F80A9F" w:rsidRPr="00F80A9F">
        <w:rPr>
          <w:rFonts w:cs="Arial"/>
          <w:b/>
          <w:iCs/>
          <w:szCs w:val="22"/>
        </w:rPr>
        <w:t>q</w:t>
      </w:r>
      <w:r w:rsidRPr="00F80A9F">
        <w:rPr>
          <w:rFonts w:cs="Arial"/>
          <w:b/>
          <w:iCs/>
          <w:szCs w:val="22"/>
        </w:rPr>
        <w:t>ualitative interviews</w:t>
      </w:r>
      <w:r w:rsidRPr="00F80A9F">
        <w:rPr>
          <w:rFonts w:cs="Arial"/>
          <w:bCs/>
          <w:iCs/>
          <w:szCs w:val="22"/>
        </w:rPr>
        <w:t xml:space="preserve"> with LA and RAA stakeholders.</w:t>
      </w:r>
    </w:p>
    <w:p w14:paraId="4F82BBCE" w14:textId="08EEBBE3" w:rsidR="00405172" w:rsidRPr="005E76EB" w:rsidRDefault="00405172" w:rsidP="00405172">
      <w:pPr>
        <w:rPr>
          <w:rFonts w:cs="Arial"/>
          <w:bCs/>
          <w:iCs/>
          <w:szCs w:val="22"/>
        </w:rPr>
      </w:pPr>
      <w:r w:rsidRPr="005E76EB">
        <w:rPr>
          <w:rFonts w:cs="Arial"/>
          <w:bCs/>
          <w:iCs/>
          <w:szCs w:val="22"/>
        </w:rPr>
        <w:t xml:space="preserve">The Department will be looking for organisations or consortia that can offer a suitable methodology that: </w:t>
      </w:r>
    </w:p>
    <w:p w14:paraId="656BB336" w14:textId="3B00853A" w:rsidR="00405172" w:rsidRPr="005E76EB" w:rsidRDefault="00405172" w:rsidP="00963DC9">
      <w:pPr>
        <w:pStyle w:val="ListParagraph"/>
        <w:numPr>
          <w:ilvl w:val="0"/>
          <w:numId w:val="30"/>
        </w:numPr>
        <w:ind w:left="709" w:hanging="425"/>
        <w:rPr>
          <w:rFonts w:cs="Arial"/>
          <w:bCs/>
          <w:iCs/>
          <w:szCs w:val="22"/>
        </w:rPr>
      </w:pPr>
      <w:r w:rsidRPr="005E76EB">
        <w:rPr>
          <w:rFonts w:cs="Arial"/>
          <w:bCs/>
          <w:iCs/>
          <w:szCs w:val="22"/>
        </w:rPr>
        <w:t>Responds to the key questions and provide a quantitative comprehensive picture of the needs of children and families, issues they face, support needed, long-term outcomes, and establish critical points for children and families.</w:t>
      </w:r>
    </w:p>
    <w:p w14:paraId="6FC7159A" w14:textId="463CB712" w:rsidR="00405172" w:rsidRPr="005E76EB" w:rsidRDefault="00405172" w:rsidP="00963DC9">
      <w:pPr>
        <w:pStyle w:val="ListParagraph"/>
        <w:numPr>
          <w:ilvl w:val="0"/>
          <w:numId w:val="30"/>
        </w:numPr>
        <w:ind w:left="709" w:hanging="425"/>
        <w:rPr>
          <w:rFonts w:cs="Arial"/>
          <w:bCs/>
          <w:iCs/>
          <w:szCs w:val="22"/>
        </w:rPr>
      </w:pPr>
      <w:r w:rsidRPr="005E76EB">
        <w:rPr>
          <w:rFonts w:cs="Arial"/>
          <w:bCs/>
          <w:iCs/>
          <w:szCs w:val="22"/>
        </w:rPr>
        <w:t>Is manageable for families and can offer them something in return for taking part in the study.</w:t>
      </w:r>
    </w:p>
    <w:p w14:paraId="43949FDE" w14:textId="107B97B7" w:rsidR="00405172" w:rsidRPr="005E76EB" w:rsidRDefault="00405172" w:rsidP="00963DC9">
      <w:pPr>
        <w:pStyle w:val="ListParagraph"/>
        <w:numPr>
          <w:ilvl w:val="0"/>
          <w:numId w:val="30"/>
        </w:numPr>
        <w:ind w:left="709" w:hanging="425"/>
        <w:rPr>
          <w:rFonts w:cs="Arial"/>
          <w:bCs/>
          <w:iCs/>
          <w:szCs w:val="22"/>
        </w:rPr>
      </w:pPr>
      <w:r w:rsidRPr="005E76EB">
        <w:rPr>
          <w:rFonts w:cs="Arial"/>
          <w:bCs/>
          <w:iCs/>
          <w:szCs w:val="22"/>
        </w:rPr>
        <w:t>Demonstrates key similarities and differences between permanence routes, and outcomes of the children.</w:t>
      </w:r>
    </w:p>
    <w:p w14:paraId="37C5E948" w14:textId="6EE227D6" w:rsidR="00405172" w:rsidRPr="005E76EB" w:rsidRDefault="00405172" w:rsidP="00963DC9">
      <w:pPr>
        <w:pStyle w:val="ListParagraph"/>
        <w:numPr>
          <w:ilvl w:val="0"/>
          <w:numId w:val="30"/>
        </w:numPr>
        <w:ind w:left="709" w:hanging="425"/>
        <w:rPr>
          <w:rFonts w:cs="Arial"/>
          <w:bCs/>
          <w:iCs/>
          <w:szCs w:val="22"/>
        </w:rPr>
      </w:pPr>
      <w:r w:rsidRPr="005E76EB">
        <w:rPr>
          <w:rFonts w:cs="Arial"/>
          <w:bCs/>
          <w:iCs/>
          <w:szCs w:val="22"/>
        </w:rPr>
        <w:t>Measures the level of need of children and young people using a range of assessment and outcome measures, child, and parental/ guardian well-being.</w:t>
      </w:r>
    </w:p>
    <w:p w14:paraId="0614BAF8" w14:textId="52D3A952" w:rsidR="00405172" w:rsidRPr="005E76EB" w:rsidRDefault="00405172" w:rsidP="00963DC9">
      <w:pPr>
        <w:pStyle w:val="ListParagraph"/>
        <w:numPr>
          <w:ilvl w:val="0"/>
          <w:numId w:val="30"/>
        </w:numPr>
        <w:ind w:left="709" w:hanging="425"/>
        <w:rPr>
          <w:rFonts w:cs="Arial"/>
          <w:bCs/>
          <w:iCs/>
          <w:szCs w:val="22"/>
        </w:rPr>
      </w:pPr>
      <w:r w:rsidRPr="005E76EB">
        <w:rPr>
          <w:rFonts w:cs="Arial"/>
          <w:bCs/>
          <w:iCs/>
          <w:szCs w:val="22"/>
        </w:rPr>
        <w:t>Looks at multiple variables over an extended period; unpack the effects of differences which arise from specific experiences and discover relationships between variables that are not related to background variables. Demonstrate how they change over time and affect outcomes for children and families.</w:t>
      </w:r>
    </w:p>
    <w:p w14:paraId="502BE6FA" w14:textId="7A0A39D6" w:rsidR="004A600B" w:rsidRPr="005E76EB" w:rsidRDefault="002A0D44" w:rsidP="001F2CE2">
      <w:pPr>
        <w:pStyle w:val="Heading2"/>
        <w:rPr>
          <w:rFonts w:cs="Arial"/>
          <w:sz w:val="22"/>
          <w:szCs w:val="22"/>
        </w:rPr>
      </w:pPr>
      <w:r w:rsidRPr="005E76EB">
        <w:rPr>
          <w:rFonts w:cs="Arial"/>
          <w:sz w:val="22"/>
          <w:szCs w:val="22"/>
        </w:rPr>
        <w:t>Indicative commissioning timings</w:t>
      </w:r>
    </w:p>
    <w:p w14:paraId="1B04FB9E" w14:textId="06FDF2FE" w:rsidR="002A0D44" w:rsidRPr="005E76EB" w:rsidRDefault="002A0D44" w:rsidP="005C32CC">
      <w:pPr>
        <w:pStyle w:val="ListParagraph"/>
        <w:numPr>
          <w:ilvl w:val="0"/>
          <w:numId w:val="26"/>
        </w:numPr>
        <w:rPr>
          <w:rFonts w:cs="Arial"/>
          <w:szCs w:val="22"/>
        </w:rPr>
      </w:pPr>
      <w:r w:rsidRPr="00645B6F">
        <w:rPr>
          <w:rFonts w:cs="Arial"/>
          <w:b/>
          <w:bCs/>
          <w:i/>
          <w:iCs/>
          <w:szCs w:val="22"/>
        </w:rPr>
        <w:t xml:space="preserve">Invitation to tenders </w:t>
      </w:r>
      <w:r w:rsidR="00805BC9" w:rsidRPr="00645B6F">
        <w:rPr>
          <w:rFonts w:cs="Arial"/>
          <w:b/>
          <w:bCs/>
          <w:i/>
          <w:iCs/>
          <w:szCs w:val="22"/>
        </w:rPr>
        <w:t xml:space="preserve">(ITT) </w:t>
      </w:r>
      <w:r w:rsidRPr="00645B6F">
        <w:rPr>
          <w:rFonts w:cs="Arial"/>
          <w:b/>
          <w:bCs/>
          <w:i/>
          <w:iCs/>
          <w:szCs w:val="22"/>
        </w:rPr>
        <w:t>issued</w:t>
      </w:r>
      <w:r w:rsidRPr="005E76EB">
        <w:rPr>
          <w:rFonts w:cs="Arial"/>
          <w:szCs w:val="22"/>
        </w:rPr>
        <w:t xml:space="preserve"> –</w:t>
      </w:r>
      <w:r w:rsidR="00CE7714">
        <w:rPr>
          <w:rFonts w:cs="Arial"/>
          <w:szCs w:val="22"/>
        </w:rPr>
        <w:t xml:space="preserve"> circa w/c 10th May 2021</w:t>
      </w:r>
      <w:r w:rsidR="00645B6F">
        <w:rPr>
          <w:rFonts w:cs="Arial"/>
          <w:szCs w:val="22"/>
        </w:rPr>
        <w:t>.</w:t>
      </w:r>
    </w:p>
    <w:p w14:paraId="5B218937" w14:textId="57072648" w:rsidR="002A0D44" w:rsidRPr="005E76EB" w:rsidRDefault="002A0D44" w:rsidP="005C32CC">
      <w:pPr>
        <w:pStyle w:val="ListParagraph"/>
        <w:numPr>
          <w:ilvl w:val="0"/>
          <w:numId w:val="26"/>
        </w:numPr>
        <w:rPr>
          <w:rFonts w:cs="Arial"/>
          <w:szCs w:val="22"/>
        </w:rPr>
      </w:pPr>
      <w:r w:rsidRPr="00645B6F">
        <w:rPr>
          <w:rFonts w:cs="Arial"/>
          <w:b/>
          <w:bCs/>
          <w:i/>
          <w:iCs/>
          <w:szCs w:val="22"/>
        </w:rPr>
        <w:t>Deadline for ITT submission</w:t>
      </w:r>
      <w:r w:rsidRPr="005E76EB">
        <w:rPr>
          <w:rFonts w:cs="Arial"/>
          <w:szCs w:val="22"/>
        </w:rPr>
        <w:t xml:space="preserve"> – </w:t>
      </w:r>
      <w:r w:rsidR="00645B6F" w:rsidRPr="00645B6F">
        <w:rPr>
          <w:rFonts w:cs="Arial"/>
          <w:szCs w:val="22"/>
        </w:rPr>
        <w:t>circ</w:t>
      </w:r>
      <w:r w:rsidR="001D0ED0">
        <w:rPr>
          <w:rFonts w:cs="Arial"/>
          <w:szCs w:val="22"/>
        </w:rPr>
        <w:t xml:space="preserve">a </w:t>
      </w:r>
      <w:r w:rsidR="00645B6F" w:rsidRPr="00645B6F">
        <w:rPr>
          <w:rFonts w:cs="Arial"/>
          <w:szCs w:val="22"/>
        </w:rPr>
        <w:t xml:space="preserve">w/c </w:t>
      </w:r>
      <w:r w:rsidR="001D0ED0">
        <w:rPr>
          <w:rFonts w:cs="Arial"/>
          <w:szCs w:val="22"/>
        </w:rPr>
        <w:t>21</w:t>
      </w:r>
      <w:r w:rsidR="001D0ED0" w:rsidRPr="001D0ED0">
        <w:rPr>
          <w:rFonts w:cs="Arial"/>
          <w:szCs w:val="22"/>
          <w:vertAlign w:val="superscript"/>
        </w:rPr>
        <w:t>st</w:t>
      </w:r>
      <w:r w:rsidR="001D0ED0">
        <w:rPr>
          <w:rFonts w:cs="Arial"/>
          <w:szCs w:val="22"/>
        </w:rPr>
        <w:t xml:space="preserve"> </w:t>
      </w:r>
      <w:r w:rsidR="00645B6F" w:rsidRPr="00645B6F">
        <w:rPr>
          <w:rFonts w:cs="Arial"/>
          <w:szCs w:val="22"/>
        </w:rPr>
        <w:t>June 2021</w:t>
      </w:r>
      <w:r w:rsidR="00645B6F">
        <w:rPr>
          <w:rFonts w:cs="Arial"/>
          <w:szCs w:val="22"/>
        </w:rPr>
        <w:t>. T</w:t>
      </w:r>
      <w:r w:rsidRPr="005E76EB">
        <w:rPr>
          <w:rFonts w:cs="Arial"/>
          <w:szCs w:val="22"/>
        </w:rPr>
        <w:t>he deadline will be</w:t>
      </w:r>
      <w:r w:rsidR="009120C0" w:rsidRPr="005E76EB">
        <w:rPr>
          <w:rFonts w:cs="Arial"/>
          <w:szCs w:val="22"/>
        </w:rPr>
        <w:t xml:space="preserve"> confirmed in the </w:t>
      </w:r>
      <w:r w:rsidR="00645B6F">
        <w:rPr>
          <w:rFonts w:cs="Arial"/>
          <w:szCs w:val="22"/>
        </w:rPr>
        <w:t xml:space="preserve">ITT </w:t>
      </w:r>
      <w:r w:rsidR="007F3BD3">
        <w:rPr>
          <w:rFonts w:cs="Arial"/>
          <w:szCs w:val="22"/>
        </w:rPr>
        <w:t xml:space="preserve">and </w:t>
      </w:r>
      <w:r w:rsidR="00645B6F">
        <w:rPr>
          <w:rFonts w:cs="Arial"/>
          <w:szCs w:val="22"/>
        </w:rPr>
        <w:t xml:space="preserve">bidders will be given </w:t>
      </w:r>
      <w:r w:rsidR="007F3BD3">
        <w:rPr>
          <w:rFonts w:cs="Arial"/>
          <w:szCs w:val="22"/>
        </w:rPr>
        <w:t xml:space="preserve">at least 6 weeks </w:t>
      </w:r>
      <w:r w:rsidR="00645B6F">
        <w:rPr>
          <w:rFonts w:cs="Arial"/>
          <w:szCs w:val="22"/>
        </w:rPr>
        <w:t>to respond to the ITT.</w:t>
      </w:r>
      <w:r w:rsidR="009120C0" w:rsidRPr="005E76EB">
        <w:rPr>
          <w:rFonts w:cs="Arial"/>
          <w:szCs w:val="22"/>
        </w:rPr>
        <w:t xml:space="preserve"> </w:t>
      </w:r>
    </w:p>
    <w:p w14:paraId="4B62D5D9" w14:textId="1E0EB236" w:rsidR="002A0D44" w:rsidRPr="005E76EB" w:rsidRDefault="002A0D44" w:rsidP="005C32CC">
      <w:pPr>
        <w:pStyle w:val="ListParagraph"/>
        <w:numPr>
          <w:ilvl w:val="0"/>
          <w:numId w:val="26"/>
        </w:numPr>
        <w:rPr>
          <w:rFonts w:cs="Arial"/>
          <w:szCs w:val="22"/>
        </w:rPr>
      </w:pPr>
      <w:r w:rsidRPr="00645B6F">
        <w:rPr>
          <w:rFonts w:cs="Arial"/>
          <w:b/>
          <w:bCs/>
          <w:i/>
          <w:iCs/>
          <w:szCs w:val="22"/>
        </w:rPr>
        <w:t>Placeho</w:t>
      </w:r>
      <w:r w:rsidR="00DF371B" w:rsidRPr="00645B6F">
        <w:rPr>
          <w:rFonts w:cs="Arial"/>
          <w:b/>
          <w:bCs/>
          <w:i/>
          <w:iCs/>
          <w:szCs w:val="22"/>
        </w:rPr>
        <w:t>l</w:t>
      </w:r>
      <w:r w:rsidRPr="00645B6F">
        <w:rPr>
          <w:rFonts w:cs="Arial"/>
          <w:b/>
          <w:bCs/>
          <w:i/>
          <w:iCs/>
          <w:szCs w:val="22"/>
        </w:rPr>
        <w:t xml:space="preserve">der for </w:t>
      </w:r>
      <w:r w:rsidR="00DF371B" w:rsidRPr="00645B6F">
        <w:rPr>
          <w:rFonts w:cs="Arial"/>
          <w:b/>
          <w:bCs/>
          <w:i/>
          <w:iCs/>
          <w:szCs w:val="22"/>
        </w:rPr>
        <w:t>clarification questions</w:t>
      </w:r>
      <w:r w:rsidR="002B6FF1" w:rsidRPr="00645B6F">
        <w:rPr>
          <w:rFonts w:cs="Arial"/>
          <w:b/>
          <w:bCs/>
          <w:i/>
          <w:iCs/>
          <w:szCs w:val="22"/>
        </w:rPr>
        <w:t xml:space="preserve"> and</w:t>
      </w:r>
      <w:r w:rsidR="00DF371B" w:rsidRPr="00645B6F">
        <w:rPr>
          <w:rFonts w:cs="Arial"/>
          <w:b/>
          <w:bCs/>
          <w:i/>
          <w:iCs/>
          <w:szCs w:val="22"/>
        </w:rPr>
        <w:t>/</w:t>
      </w:r>
      <w:r w:rsidR="002B6FF1" w:rsidRPr="00645B6F">
        <w:rPr>
          <w:rFonts w:cs="Arial"/>
          <w:b/>
          <w:bCs/>
          <w:i/>
          <w:iCs/>
          <w:szCs w:val="22"/>
        </w:rPr>
        <w:t>or</w:t>
      </w:r>
      <w:r w:rsidR="00DF371B" w:rsidRPr="00645B6F">
        <w:rPr>
          <w:rFonts w:cs="Arial"/>
          <w:b/>
          <w:bCs/>
          <w:i/>
          <w:iCs/>
          <w:szCs w:val="22"/>
        </w:rPr>
        <w:t xml:space="preserve"> </w:t>
      </w:r>
      <w:r w:rsidRPr="00645B6F">
        <w:rPr>
          <w:rFonts w:cs="Arial"/>
          <w:b/>
          <w:bCs/>
          <w:i/>
          <w:iCs/>
          <w:szCs w:val="22"/>
        </w:rPr>
        <w:t>bidder interviews</w:t>
      </w:r>
      <w:r w:rsidRPr="005E76EB">
        <w:rPr>
          <w:rFonts w:cs="Arial"/>
          <w:szCs w:val="22"/>
        </w:rPr>
        <w:t xml:space="preserve"> (if required) </w:t>
      </w:r>
      <w:r w:rsidR="007F3BD3">
        <w:rPr>
          <w:rFonts w:cs="Arial"/>
          <w:szCs w:val="22"/>
        </w:rPr>
        <w:t>w/c 12</w:t>
      </w:r>
      <w:r w:rsidR="007F3BD3" w:rsidRPr="007F3BD3">
        <w:rPr>
          <w:rFonts w:cs="Arial"/>
          <w:szCs w:val="22"/>
          <w:vertAlign w:val="superscript"/>
        </w:rPr>
        <w:t>th</w:t>
      </w:r>
      <w:r w:rsidR="007F3BD3">
        <w:rPr>
          <w:rFonts w:cs="Arial"/>
          <w:szCs w:val="22"/>
        </w:rPr>
        <w:t xml:space="preserve"> and 19</w:t>
      </w:r>
      <w:r w:rsidR="007F3BD3" w:rsidRPr="007F3BD3">
        <w:rPr>
          <w:rFonts w:cs="Arial"/>
          <w:szCs w:val="22"/>
          <w:vertAlign w:val="superscript"/>
        </w:rPr>
        <w:t>th</w:t>
      </w:r>
      <w:r w:rsidR="007F3BD3">
        <w:rPr>
          <w:rFonts w:cs="Arial"/>
          <w:szCs w:val="22"/>
        </w:rPr>
        <w:t xml:space="preserve"> July 2021</w:t>
      </w:r>
      <w:r w:rsidR="009120C0" w:rsidRPr="00645B6F">
        <w:rPr>
          <w:rFonts w:cs="Arial"/>
          <w:szCs w:val="22"/>
        </w:rPr>
        <w:t>.</w:t>
      </w:r>
      <w:r w:rsidR="00645B6F" w:rsidRPr="00645B6F">
        <w:rPr>
          <w:rFonts w:cs="Arial"/>
          <w:szCs w:val="22"/>
        </w:rPr>
        <w:t xml:space="preserve"> Dates will be provided in the ITT.</w:t>
      </w:r>
      <w:r w:rsidR="009120C0" w:rsidRPr="00645B6F">
        <w:rPr>
          <w:rFonts w:cs="Arial"/>
          <w:szCs w:val="22"/>
        </w:rPr>
        <w:t xml:space="preserve">  </w:t>
      </w:r>
    </w:p>
    <w:p w14:paraId="54DE6BE8" w14:textId="776ED1FE" w:rsidR="009120C0" w:rsidRPr="005E76EB" w:rsidRDefault="002A0D44" w:rsidP="005C32CC">
      <w:pPr>
        <w:pStyle w:val="ListParagraph"/>
        <w:numPr>
          <w:ilvl w:val="0"/>
          <w:numId w:val="26"/>
        </w:numPr>
        <w:rPr>
          <w:rFonts w:cs="Arial"/>
          <w:szCs w:val="22"/>
        </w:rPr>
      </w:pPr>
      <w:r w:rsidRPr="00645B6F">
        <w:rPr>
          <w:rFonts w:cs="Arial"/>
          <w:b/>
          <w:bCs/>
          <w:i/>
          <w:iCs/>
          <w:szCs w:val="22"/>
        </w:rPr>
        <w:t>Inception placeholder meeting</w:t>
      </w:r>
      <w:r w:rsidRPr="005E76EB">
        <w:rPr>
          <w:rFonts w:cs="Arial"/>
          <w:szCs w:val="22"/>
        </w:rPr>
        <w:t xml:space="preserve"> </w:t>
      </w:r>
      <w:r w:rsidR="00645B6F">
        <w:rPr>
          <w:rFonts w:cs="Arial"/>
          <w:szCs w:val="22"/>
        </w:rPr>
        <w:t xml:space="preserve">- </w:t>
      </w:r>
      <w:r w:rsidR="007F3BD3">
        <w:rPr>
          <w:rFonts w:cs="Arial"/>
          <w:szCs w:val="22"/>
        </w:rPr>
        <w:t>August 2021</w:t>
      </w:r>
      <w:r w:rsidR="00645B6F">
        <w:rPr>
          <w:rFonts w:cs="Arial"/>
          <w:szCs w:val="22"/>
        </w:rPr>
        <w:t xml:space="preserve">. </w:t>
      </w:r>
      <w:r w:rsidR="009120C0" w:rsidRPr="005E76EB">
        <w:rPr>
          <w:rFonts w:cs="Arial"/>
          <w:szCs w:val="22"/>
        </w:rPr>
        <w:t xml:space="preserve"> </w:t>
      </w:r>
    </w:p>
    <w:p w14:paraId="06AFCBD6" w14:textId="481F8AE2" w:rsidR="002A0D44" w:rsidRPr="005E76EB" w:rsidRDefault="002A0D44" w:rsidP="007E0083">
      <w:pPr>
        <w:pStyle w:val="Heading2"/>
        <w:rPr>
          <w:rFonts w:cs="Arial"/>
          <w:sz w:val="22"/>
          <w:szCs w:val="22"/>
        </w:rPr>
      </w:pPr>
      <w:r w:rsidRPr="005E76EB">
        <w:rPr>
          <w:rFonts w:cs="Arial"/>
          <w:sz w:val="22"/>
          <w:szCs w:val="22"/>
        </w:rPr>
        <w:t>Indicative design and feasibility study phase</w:t>
      </w:r>
    </w:p>
    <w:p w14:paraId="7D1FCE2C" w14:textId="5A8D87CB" w:rsidR="002A0D44" w:rsidRPr="005E76EB" w:rsidRDefault="002A0D44" w:rsidP="002A0D44">
      <w:pPr>
        <w:pStyle w:val="ListParagraph"/>
        <w:numPr>
          <w:ilvl w:val="0"/>
          <w:numId w:val="27"/>
        </w:numPr>
        <w:rPr>
          <w:rFonts w:cs="Arial"/>
          <w:szCs w:val="22"/>
        </w:rPr>
      </w:pPr>
      <w:r w:rsidRPr="005E76EB">
        <w:rPr>
          <w:rFonts w:cs="Arial"/>
          <w:szCs w:val="22"/>
        </w:rPr>
        <w:t xml:space="preserve">Project design and set up – </w:t>
      </w:r>
      <w:r w:rsidR="007F3BD3">
        <w:rPr>
          <w:rFonts w:cs="Arial"/>
          <w:szCs w:val="22"/>
        </w:rPr>
        <w:t xml:space="preserve">September </w:t>
      </w:r>
      <w:r w:rsidRPr="005E76EB">
        <w:rPr>
          <w:rFonts w:cs="Arial"/>
          <w:szCs w:val="22"/>
        </w:rPr>
        <w:t>to October</w:t>
      </w:r>
      <w:r w:rsidR="00645B6F">
        <w:rPr>
          <w:rFonts w:cs="Arial"/>
          <w:szCs w:val="22"/>
        </w:rPr>
        <w:t xml:space="preserve">/ November </w:t>
      </w:r>
      <w:r w:rsidRPr="005E76EB">
        <w:rPr>
          <w:rFonts w:cs="Arial"/>
          <w:szCs w:val="22"/>
        </w:rPr>
        <w:t>202</w:t>
      </w:r>
      <w:r w:rsidR="007F3BD3">
        <w:rPr>
          <w:rFonts w:cs="Arial"/>
          <w:szCs w:val="22"/>
        </w:rPr>
        <w:t>1</w:t>
      </w:r>
      <w:r w:rsidR="00645B6F">
        <w:rPr>
          <w:rFonts w:cs="Arial"/>
          <w:szCs w:val="22"/>
        </w:rPr>
        <w:t>.</w:t>
      </w:r>
    </w:p>
    <w:p w14:paraId="36B275C5" w14:textId="20A44F93" w:rsidR="002A0D44" w:rsidRPr="005E76EB" w:rsidRDefault="002A0D44" w:rsidP="002A0D44">
      <w:pPr>
        <w:pStyle w:val="ListParagraph"/>
        <w:numPr>
          <w:ilvl w:val="0"/>
          <w:numId w:val="27"/>
        </w:numPr>
        <w:rPr>
          <w:rFonts w:cs="Arial"/>
          <w:szCs w:val="22"/>
        </w:rPr>
      </w:pPr>
      <w:r w:rsidRPr="005E76EB">
        <w:rPr>
          <w:rFonts w:cs="Arial"/>
          <w:szCs w:val="22"/>
        </w:rPr>
        <w:t>Feasibility study – November 202</w:t>
      </w:r>
      <w:r w:rsidR="007F3BD3">
        <w:rPr>
          <w:rFonts w:cs="Arial"/>
          <w:szCs w:val="22"/>
        </w:rPr>
        <w:t>1</w:t>
      </w:r>
      <w:r w:rsidRPr="005E76EB">
        <w:rPr>
          <w:rFonts w:cs="Arial"/>
          <w:szCs w:val="22"/>
        </w:rPr>
        <w:t xml:space="preserve"> to March 202</w:t>
      </w:r>
      <w:r w:rsidR="007F3BD3">
        <w:rPr>
          <w:rFonts w:cs="Arial"/>
          <w:szCs w:val="22"/>
        </w:rPr>
        <w:t>2</w:t>
      </w:r>
      <w:r w:rsidR="00645B6F">
        <w:rPr>
          <w:rFonts w:cs="Arial"/>
          <w:szCs w:val="22"/>
        </w:rPr>
        <w:t>.</w:t>
      </w:r>
    </w:p>
    <w:p w14:paraId="077E6DCE" w14:textId="3E2CFB5C" w:rsidR="002A0D44" w:rsidRPr="005E76EB" w:rsidRDefault="002A0D44" w:rsidP="002A0D44">
      <w:pPr>
        <w:pStyle w:val="ListParagraph"/>
        <w:numPr>
          <w:ilvl w:val="0"/>
          <w:numId w:val="27"/>
        </w:numPr>
        <w:rPr>
          <w:rFonts w:cs="Arial"/>
          <w:szCs w:val="22"/>
        </w:rPr>
      </w:pPr>
      <w:r w:rsidRPr="005E76EB">
        <w:rPr>
          <w:rFonts w:cs="Arial"/>
          <w:szCs w:val="22"/>
        </w:rPr>
        <w:t xml:space="preserve">Main stage wave 1 </w:t>
      </w:r>
      <w:r w:rsidR="00645B6F">
        <w:rPr>
          <w:rFonts w:cs="Arial"/>
          <w:szCs w:val="22"/>
        </w:rPr>
        <w:t xml:space="preserve">- </w:t>
      </w:r>
      <w:r w:rsidRPr="005E76EB">
        <w:rPr>
          <w:rFonts w:cs="Arial"/>
          <w:szCs w:val="22"/>
        </w:rPr>
        <w:t>commence Summer</w:t>
      </w:r>
      <w:r w:rsidR="00420370">
        <w:rPr>
          <w:rFonts w:cs="Arial"/>
          <w:szCs w:val="22"/>
        </w:rPr>
        <w:t>/ Autumn</w:t>
      </w:r>
      <w:r w:rsidRPr="005E76EB">
        <w:rPr>
          <w:rFonts w:cs="Arial"/>
          <w:szCs w:val="22"/>
        </w:rPr>
        <w:t xml:space="preserve"> 202</w:t>
      </w:r>
      <w:r w:rsidR="007F3BD3">
        <w:rPr>
          <w:rFonts w:cs="Arial"/>
          <w:szCs w:val="22"/>
        </w:rPr>
        <w:t>2</w:t>
      </w:r>
      <w:r w:rsidR="00645B6F">
        <w:rPr>
          <w:rFonts w:cs="Arial"/>
          <w:szCs w:val="22"/>
        </w:rPr>
        <w:t>.</w:t>
      </w:r>
    </w:p>
    <w:p w14:paraId="0D2B2C65" w14:textId="5C56BD7A" w:rsidR="004A600B" w:rsidRPr="005E76EB" w:rsidRDefault="004A600B" w:rsidP="007E0083">
      <w:pPr>
        <w:pStyle w:val="Heading2"/>
        <w:rPr>
          <w:rFonts w:cs="Arial"/>
          <w:sz w:val="22"/>
          <w:szCs w:val="22"/>
        </w:rPr>
      </w:pPr>
      <w:r w:rsidRPr="005E76EB">
        <w:rPr>
          <w:rFonts w:cs="Arial"/>
          <w:sz w:val="22"/>
          <w:szCs w:val="22"/>
        </w:rPr>
        <w:t>Assessment criteria</w:t>
      </w:r>
    </w:p>
    <w:p w14:paraId="1C003050" w14:textId="5FF8EDD4" w:rsidR="009120C0" w:rsidRPr="005E76EB" w:rsidRDefault="009120C0" w:rsidP="009120C0">
      <w:pPr>
        <w:widowControl w:val="0"/>
        <w:overflowPunct w:val="0"/>
        <w:autoSpaceDE w:val="0"/>
        <w:autoSpaceDN w:val="0"/>
        <w:adjustRightInd w:val="0"/>
        <w:spacing w:after="240" w:line="240" w:lineRule="auto"/>
        <w:textAlignment w:val="baseline"/>
        <w:rPr>
          <w:rFonts w:eastAsiaTheme="minorHAnsi" w:cs="Arial"/>
          <w:color w:val="000000"/>
          <w:szCs w:val="22"/>
          <w:lang w:eastAsia="en-US"/>
        </w:rPr>
      </w:pPr>
      <w:r w:rsidRPr="005E76EB">
        <w:rPr>
          <w:rFonts w:eastAsiaTheme="minorHAnsi" w:cs="Arial"/>
          <w:color w:val="000000"/>
          <w:szCs w:val="22"/>
          <w:lang w:eastAsia="en-US"/>
        </w:rPr>
        <w:t>Expressions of interest will be assessed using the following criteria</w:t>
      </w:r>
      <w:r w:rsidR="002A0D44" w:rsidRPr="005E76EB">
        <w:rPr>
          <w:rFonts w:eastAsiaTheme="minorHAnsi" w:cs="Arial"/>
          <w:color w:val="000000"/>
          <w:szCs w:val="22"/>
          <w:lang w:eastAsia="en-US"/>
        </w:rPr>
        <w:t>, with each having an equal weight with regard scoring</w:t>
      </w:r>
      <w:r w:rsidRPr="005E76EB">
        <w:rPr>
          <w:rFonts w:eastAsiaTheme="minorHAnsi" w:cs="Arial"/>
          <w:color w:val="000000"/>
          <w:szCs w:val="22"/>
          <w:lang w:eastAsia="en-US"/>
        </w:rPr>
        <w:t>:</w:t>
      </w:r>
    </w:p>
    <w:p w14:paraId="4E4A2FC0" w14:textId="39158355" w:rsidR="009120C0" w:rsidRPr="005E76EB" w:rsidRDefault="009120C0" w:rsidP="002A0D44">
      <w:pPr>
        <w:pStyle w:val="ListParagraph"/>
        <w:numPr>
          <w:ilvl w:val="0"/>
          <w:numId w:val="22"/>
        </w:numPr>
        <w:rPr>
          <w:rFonts w:eastAsiaTheme="minorHAnsi" w:cs="Arial"/>
          <w:color w:val="000000"/>
          <w:szCs w:val="22"/>
          <w:lang w:eastAsia="en-US"/>
        </w:rPr>
      </w:pPr>
      <w:r w:rsidRPr="005E76EB">
        <w:rPr>
          <w:rFonts w:eastAsiaTheme="minorHAnsi" w:cs="Arial"/>
          <w:color w:val="000000"/>
          <w:szCs w:val="22"/>
          <w:lang w:eastAsia="en-US"/>
        </w:rPr>
        <w:t>Understanding the Department’s requirements</w:t>
      </w:r>
      <w:r w:rsidR="002A0D44" w:rsidRPr="005E76EB">
        <w:rPr>
          <w:rFonts w:eastAsiaTheme="minorHAnsi" w:cs="Arial"/>
          <w:color w:val="000000"/>
          <w:szCs w:val="22"/>
          <w:lang w:eastAsia="en-US"/>
        </w:rPr>
        <w:t xml:space="preserve"> including an outline of the proposed approach to conducting the research.</w:t>
      </w:r>
      <w:r w:rsidRPr="005E76EB">
        <w:rPr>
          <w:rFonts w:eastAsiaTheme="minorHAnsi" w:cs="Arial"/>
          <w:color w:val="000000"/>
          <w:szCs w:val="22"/>
          <w:lang w:eastAsia="en-US"/>
        </w:rPr>
        <w:tab/>
        <w:t xml:space="preserve"> </w:t>
      </w:r>
    </w:p>
    <w:p w14:paraId="244F7A9C" w14:textId="0114A71F" w:rsidR="002A0D44" w:rsidRPr="005E76EB" w:rsidRDefault="002A0D44" w:rsidP="002A0D44">
      <w:pPr>
        <w:pStyle w:val="ListParagraph"/>
        <w:numPr>
          <w:ilvl w:val="0"/>
          <w:numId w:val="22"/>
        </w:numPr>
        <w:rPr>
          <w:rFonts w:eastAsiaTheme="minorHAnsi" w:cs="Arial"/>
          <w:color w:val="000000"/>
          <w:szCs w:val="22"/>
          <w:lang w:eastAsia="en-US"/>
        </w:rPr>
      </w:pPr>
      <w:r w:rsidRPr="005E76EB">
        <w:rPr>
          <w:rFonts w:eastAsiaTheme="minorHAnsi" w:cs="Arial"/>
          <w:color w:val="000000"/>
          <w:szCs w:val="22"/>
          <w:lang w:eastAsia="en-US"/>
        </w:rPr>
        <w:t>Expertise and subject k</w:t>
      </w:r>
      <w:r w:rsidR="009120C0" w:rsidRPr="005E76EB">
        <w:rPr>
          <w:rFonts w:eastAsiaTheme="minorHAnsi" w:cs="Arial"/>
          <w:color w:val="000000"/>
          <w:szCs w:val="22"/>
          <w:lang w:eastAsia="en-US"/>
        </w:rPr>
        <w:t xml:space="preserve">nowledge </w:t>
      </w:r>
      <w:r w:rsidR="005E76EB" w:rsidRPr="005E76EB">
        <w:rPr>
          <w:rFonts w:eastAsiaTheme="minorHAnsi" w:cs="Arial"/>
          <w:color w:val="000000"/>
          <w:szCs w:val="22"/>
          <w:lang w:eastAsia="en-US"/>
        </w:rPr>
        <w:t xml:space="preserve">regarding </w:t>
      </w:r>
      <w:r w:rsidR="009120C0" w:rsidRPr="005E76EB">
        <w:rPr>
          <w:rFonts w:eastAsiaTheme="minorHAnsi" w:cs="Arial"/>
          <w:color w:val="000000"/>
          <w:szCs w:val="22"/>
          <w:lang w:eastAsia="en-US"/>
        </w:rPr>
        <w:t>children’s social care,</w:t>
      </w:r>
      <w:r w:rsidR="005E76EB" w:rsidRPr="005E76EB">
        <w:rPr>
          <w:rFonts w:eastAsiaTheme="minorHAnsi" w:cs="Arial"/>
          <w:color w:val="000000"/>
          <w:szCs w:val="22"/>
          <w:lang w:eastAsia="en-US"/>
        </w:rPr>
        <w:t xml:space="preserve"> the needs, </w:t>
      </w:r>
      <w:r w:rsidR="001C10A8" w:rsidRPr="005E76EB">
        <w:rPr>
          <w:rFonts w:eastAsiaTheme="minorHAnsi" w:cs="Arial"/>
          <w:color w:val="000000"/>
          <w:szCs w:val="22"/>
          <w:lang w:eastAsia="en-US"/>
        </w:rPr>
        <w:t>experiences,</w:t>
      </w:r>
      <w:r w:rsidR="005E76EB" w:rsidRPr="005E76EB">
        <w:rPr>
          <w:rFonts w:eastAsiaTheme="minorHAnsi" w:cs="Arial"/>
          <w:color w:val="000000"/>
          <w:szCs w:val="22"/>
          <w:lang w:eastAsia="en-US"/>
        </w:rPr>
        <w:t xml:space="preserve"> and outcomes of </w:t>
      </w:r>
      <w:r w:rsidR="009120C0" w:rsidRPr="005E76EB">
        <w:rPr>
          <w:rFonts w:eastAsiaTheme="minorHAnsi" w:cs="Arial"/>
          <w:color w:val="000000"/>
          <w:szCs w:val="22"/>
          <w:lang w:eastAsia="en-US"/>
        </w:rPr>
        <w:t>looked after children, a</w:t>
      </w:r>
      <w:r w:rsidR="005E76EB" w:rsidRPr="005E76EB">
        <w:rPr>
          <w:rFonts w:eastAsiaTheme="minorHAnsi" w:cs="Arial"/>
          <w:color w:val="000000"/>
          <w:szCs w:val="22"/>
          <w:lang w:eastAsia="en-US"/>
        </w:rPr>
        <w:t>n</w:t>
      </w:r>
      <w:r w:rsidR="009120C0" w:rsidRPr="005E76EB">
        <w:rPr>
          <w:rFonts w:eastAsiaTheme="minorHAnsi" w:cs="Arial"/>
          <w:color w:val="000000"/>
          <w:szCs w:val="22"/>
          <w:lang w:eastAsia="en-US"/>
        </w:rPr>
        <w:t xml:space="preserve">d </w:t>
      </w:r>
      <w:r w:rsidR="005E76EB" w:rsidRPr="005E76EB">
        <w:rPr>
          <w:rFonts w:eastAsiaTheme="minorHAnsi" w:cs="Arial"/>
          <w:color w:val="000000"/>
          <w:szCs w:val="22"/>
          <w:lang w:eastAsia="en-US"/>
        </w:rPr>
        <w:t xml:space="preserve">previously looked after children and young people. This will include knowledge and experience of developing research </w:t>
      </w:r>
      <w:r w:rsidR="006C7FAB" w:rsidRPr="005E76EB">
        <w:rPr>
          <w:rFonts w:eastAsiaTheme="minorHAnsi" w:cs="Arial"/>
          <w:color w:val="000000"/>
          <w:szCs w:val="22"/>
          <w:lang w:eastAsia="en-US"/>
        </w:rPr>
        <w:t>i</w:t>
      </w:r>
      <w:r w:rsidR="006C7FAB">
        <w:rPr>
          <w:rFonts w:eastAsiaTheme="minorHAnsi" w:cs="Arial"/>
          <w:color w:val="000000"/>
          <w:szCs w:val="22"/>
          <w:lang w:eastAsia="en-US"/>
        </w:rPr>
        <w:t>ns</w:t>
      </w:r>
      <w:r w:rsidR="006C7FAB" w:rsidRPr="005E76EB">
        <w:rPr>
          <w:rFonts w:eastAsiaTheme="minorHAnsi" w:cs="Arial"/>
          <w:color w:val="000000"/>
          <w:szCs w:val="22"/>
          <w:lang w:eastAsia="en-US"/>
        </w:rPr>
        <w:t xml:space="preserve">truments </w:t>
      </w:r>
      <w:r w:rsidR="005E76EB" w:rsidRPr="005E76EB">
        <w:rPr>
          <w:rFonts w:eastAsiaTheme="minorHAnsi" w:cs="Arial"/>
          <w:color w:val="000000"/>
          <w:szCs w:val="22"/>
          <w:lang w:eastAsia="en-US"/>
        </w:rPr>
        <w:t>to measure outcomes in these areas.</w:t>
      </w:r>
    </w:p>
    <w:p w14:paraId="0699D3FA" w14:textId="77777777" w:rsidR="002D7F16" w:rsidRDefault="000B1ABA" w:rsidP="002D7F16">
      <w:pPr>
        <w:pStyle w:val="ListParagraph"/>
        <w:numPr>
          <w:ilvl w:val="0"/>
          <w:numId w:val="22"/>
        </w:numPr>
        <w:rPr>
          <w:rFonts w:eastAsiaTheme="minorHAnsi" w:cs="Arial"/>
          <w:color w:val="000000"/>
          <w:szCs w:val="22"/>
          <w:lang w:eastAsia="en-US"/>
        </w:rPr>
      </w:pPr>
      <w:r w:rsidRPr="000B1ABA">
        <w:rPr>
          <w:rFonts w:eastAsiaTheme="minorHAnsi" w:cs="Arial"/>
          <w:color w:val="000000"/>
          <w:szCs w:val="22"/>
          <w:lang w:eastAsia="en-US"/>
        </w:rPr>
        <w:t>Experience and expertise of undertaking feasibility studies and scoping large scale research studies.</w:t>
      </w:r>
    </w:p>
    <w:p w14:paraId="486F0A47" w14:textId="6648229D" w:rsidR="002A0D44" w:rsidRPr="002D7F16" w:rsidRDefault="002A0D44" w:rsidP="002D7F16">
      <w:pPr>
        <w:pStyle w:val="ListParagraph"/>
        <w:numPr>
          <w:ilvl w:val="0"/>
          <w:numId w:val="22"/>
        </w:numPr>
        <w:rPr>
          <w:rFonts w:eastAsiaTheme="minorHAnsi" w:cs="Arial"/>
          <w:color w:val="000000"/>
          <w:szCs w:val="22"/>
          <w:lang w:eastAsia="en-US"/>
        </w:rPr>
      </w:pPr>
      <w:r w:rsidRPr="002D7F16">
        <w:rPr>
          <w:rFonts w:eastAsiaTheme="minorHAnsi" w:cs="Arial"/>
          <w:color w:val="000000"/>
          <w:szCs w:val="22"/>
          <w:lang w:eastAsia="en-US"/>
        </w:rPr>
        <w:lastRenderedPageBreak/>
        <w:t xml:space="preserve">Technical and professional ability to design and develop a complex longitudinal study. This will include expertise in survey design and methodology, </w:t>
      </w:r>
      <w:r w:rsidR="001C10A8" w:rsidRPr="002D7F16">
        <w:rPr>
          <w:rFonts w:eastAsiaTheme="minorHAnsi" w:cs="Arial"/>
          <w:color w:val="000000"/>
          <w:szCs w:val="22"/>
          <w:lang w:eastAsia="en-US"/>
        </w:rPr>
        <w:t>e.g.,</w:t>
      </w:r>
      <w:r w:rsidRPr="002D7F16">
        <w:rPr>
          <w:rFonts w:eastAsiaTheme="minorHAnsi" w:cs="Arial"/>
          <w:color w:val="000000"/>
          <w:szCs w:val="22"/>
          <w:lang w:eastAsia="en-US"/>
        </w:rPr>
        <w:t xml:space="preserve"> probability sampling, achieving high response rates, estimated power of survey. </w:t>
      </w:r>
    </w:p>
    <w:p w14:paraId="2E4D4775" w14:textId="4CF18312" w:rsidR="009120C0" w:rsidRPr="005E76EB" w:rsidRDefault="005E76EB" w:rsidP="003A05FF">
      <w:pPr>
        <w:pStyle w:val="ListParagraph"/>
        <w:numPr>
          <w:ilvl w:val="0"/>
          <w:numId w:val="22"/>
        </w:numPr>
        <w:rPr>
          <w:rFonts w:eastAsiaTheme="minorHAnsi" w:cs="Arial"/>
          <w:color w:val="000000"/>
          <w:szCs w:val="22"/>
          <w:lang w:eastAsia="en-US"/>
        </w:rPr>
      </w:pPr>
      <w:r w:rsidRPr="005E76EB">
        <w:rPr>
          <w:rFonts w:eastAsiaTheme="minorHAnsi" w:cs="Arial"/>
          <w:color w:val="000000"/>
          <w:szCs w:val="22"/>
          <w:lang w:eastAsia="en-US"/>
        </w:rPr>
        <w:t xml:space="preserve">Capacity to deliver the work to </w:t>
      </w:r>
      <w:r w:rsidR="001C10A8" w:rsidRPr="005E76EB">
        <w:rPr>
          <w:rFonts w:eastAsiaTheme="minorHAnsi" w:cs="Arial"/>
          <w:color w:val="000000"/>
          <w:szCs w:val="22"/>
          <w:lang w:eastAsia="en-US"/>
        </w:rPr>
        <w:t>time and</w:t>
      </w:r>
      <w:r w:rsidRPr="005E76EB">
        <w:rPr>
          <w:rFonts w:eastAsiaTheme="minorHAnsi" w:cs="Arial"/>
          <w:color w:val="000000"/>
          <w:szCs w:val="22"/>
          <w:lang w:eastAsia="en-US"/>
        </w:rPr>
        <w:t xml:space="preserve"> w</w:t>
      </w:r>
      <w:r w:rsidR="009120C0" w:rsidRPr="005E76EB">
        <w:rPr>
          <w:rFonts w:eastAsiaTheme="minorHAnsi" w:cs="Arial"/>
          <w:color w:val="000000"/>
          <w:szCs w:val="22"/>
          <w:lang w:eastAsia="en-US"/>
        </w:rPr>
        <w:t xml:space="preserve">riting good quality reports with clear conclusions. </w:t>
      </w:r>
      <w:r w:rsidRPr="005E76EB">
        <w:rPr>
          <w:rFonts w:eastAsiaTheme="minorHAnsi" w:cs="Arial"/>
          <w:color w:val="000000"/>
          <w:szCs w:val="22"/>
          <w:lang w:eastAsia="en-US"/>
        </w:rPr>
        <w:t>This will include evidence of delivering large scale, complex surveys (ideally within the children’s social care area).</w:t>
      </w:r>
    </w:p>
    <w:p w14:paraId="65BB2D57" w14:textId="77777777" w:rsidR="009120C0" w:rsidRPr="005E76EB" w:rsidRDefault="009120C0" w:rsidP="009120C0">
      <w:pPr>
        <w:widowControl w:val="0"/>
        <w:overflowPunct w:val="0"/>
        <w:autoSpaceDE w:val="0"/>
        <w:autoSpaceDN w:val="0"/>
        <w:adjustRightInd w:val="0"/>
        <w:spacing w:line="240" w:lineRule="auto"/>
        <w:textAlignment w:val="baseline"/>
        <w:rPr>
          <w:rFonts w:eastAsiaTheme="minorHAnsi" w:cs="Arial"/>
          <w:color w:val="000000"/>
          <w:szCs w:val="22"/>
          <w:lang w:eastAsia="en-US"/>
        </w:rPr>
      </w:pPr>
    </w:p>
    <w:tbl>
      <w:tblPr>
        <w:tblStyle w:val="TableGrid"/>
        <w:tblW w:w="0" w:type="auto"/>
        <w:jc w:val="center"/>
        <w:tblLook w:val="04A0" w:firstRow="1" w:lastRow="0" w:firstColumn="1" w:lastColumn="0" w:noHBand="0" w:noVBand="1"/>
      </w:tblPr>
      <w:tblGrid>
        <w:gridCol w:w="1555"/>
        <w:gridCol w:w="3685"/>
      </w:tblGrid>
      <w:tr w:rsidR="005E76EB" w:rsidRPr="005E76EB" w14:paraId="0CDD9781" w14:textId="77777777" w:rsidTr="003A05FF">
        <w:trPr>
          <w:jc w:val="center"/>
        </w:trPr>
        <w:tc>
          <w:tcPr>
            <w:tcW w:w="1555" w:type="dxa"/>
          </w:tcPr>
          <w:p w14:paraId="55B4381A" w14:textId="77777777" w:rsidR="005E76EB" w:rsidRPr="005E76EB" w:rsidRDefault="005E76EB" w:rsidP="00EB1D3C">
            <w:pPr>
              <w:autoSpaceDE w:val="0"/>
              <w:autoSpaceDN w:val="0"/>
              <w:adjustRightInd w:val="0"/>
              <w:spacing w:before="240" w:after="100" w:afterAutospacing="1"/>
              <w:jc w:val="both"/>
              <w:rPr>
                <w:rFonts w:eastAsia="Calibri" w:cs="Arial"/>
                <w:bCs/>
                <w:szCs w:val="22"/>
              </w:rPr>
            </w:pPr>
            <w:r w:rsidRPr="005E76EB">
              <w:rPr>
                <w:rFonts w:eastAsia="Calibri" w:cs="Arial"/>
                <w:bCs/>
                <w:szCs w:val="22"/>
              </w:rPr>
              <w:t>Mark</w:t>
            </w:r>
          </w:p>
        </w:tc>
        <w:tc>
          <w:tcPr>
            <w:tcW w:w="3685" w:type="dxa"/>
          </w:tcPr>
          <w:p w14:paraId="7DD91A94" w14:textId="77777777" w:rsidR="005E76EB" w:rsidRPr="005E76EB" w:rsidRDefault="005E76EB" w:rsidP="00EB1D3C">
            <w:pPr>
              <w:autoSpaceDE w:val="0"/>
              <w:autoSpaceDN w:val="0"/>
              <w:adjustRightInd w:val="0"/>
              <w:spacing w:before="240" w:after="100" w:afterAutospacing="1"/>
              <w:jc w:val="both"/>
              <w:rPr>
                <w:rFonts w:eastAsia="Calibri" w:cs="Arial"/>
                <w:bCs/>
                <w:szCs w:val="22"/>
              </w:rPr>
            </w:pPr>
            <w:r w:rsidRPr="005E76EB">
              <w:rPr>
                <w:rFonts w:eastAsia="Calibri" w:cs="Arial"/>
                <w:bCs/>
                <w:szCs w:val="22"/>
              </w:rPr>
              <w:t>Description</w:t>
            </w:r>
          </w:p>
        </w:tc>
      </w:tr>
      <w:tr w:rsidR="005E76EB" w:rsidRPr="005E76EB" w14:paraId="1CC08851" w14:textId="77777777" w:rsidTr="003A05FF">
        <w:trPr>
          <w:jc w:val="center"/>
        </w:trPr>
        <w:tc>
          <w:tcPr>
            <w:tcW w:w="1555" w:type="dxa"/>
          </w:tcPr>
          <w:p w14:paraId="2C09ED88" w14:textId="77777777" w:rsidR="005E76EB" w:rsidRPr="005E76EB" w:rsidRDefault="005E76EB" w:rsidP="00EB1D3C">
            <w:pPr>
              <w:autoSpaceDE w:val="0"/>
              <w:autoSpaceDN w:val="0"/>
              <w:adjustRightInd w:val="0"/>
              <w:spacing w:before="240" w:after="100" w:afterAutospacing="1"/>
              <w:jc w:val="both"/>
              <w:rPr>
                <w:rFonts w:eastAsia="Calibri" w:cs="Arial"/>
                <w:bCs/>
                <w:szCs w:val="22"/>
              </w:rPr>
            </w:pPr>
            <w:r w:rsidRPr="005E76EB">
              <w:rPr>
                <w:rFonts w:eastAsia="Calibri" w:cs="Arial"/>
                <w:bCs/>
                <w:szCs w:val="22"/>
              </w:rPr>
              <w:t>0</w:t>
            </w:r>
          </w:p>
        </w:tc>
        <w:tc>
          <w:tcPr>
            <w:tcW w:w="3685" w:type="dxa"/>
          </w:tcPr>
          <w:p w14:paraId="13EA40B1" w14:textId="77777777" w:rsidR="005E76EB" w:rsidRPr="005E76EB" w:rsidRDefault="005E76EB" w:rsidP="00EB1D3C">
            <w:pPr>
              <w:autoSpaceDE w:val="0"/>
              <w:autoSpaceDN w:val="0"/>
              <w:adjustRightInd w:val="0"/>
              <w:spacing w:before="240" w:after="100" w:afterAutospacing="1"/>
              <w:jc w:val="both"/>
              <w:rPr>
                <w:rFonts w:eastAsia="Calibri" w:cs="Arial"/>
                <w:bCs/>
                <w:szCs w:val="22"/>
              </w:rPr>
            </w:pPr>
            <w:r w:rsidRPr="005E76EB">
              <w:rPr>
                <w:rFonts w:eastAsia="Calibri" w:cs="Arial"/>
                <w:bCs/>
                <w:szCs w:val="22"/>
              </w:rPr>
              <w:t>Fails to meet the criteria</w:t>
            </w:r>
          </w:p>
        </w:tc>
      </w:tr>
      <w:tr w:rsidR="005E76EB" w:rsidRPr="005E76EB" w14:paraId="77ECDBD2" w14:textId="77777777" w:rsidTr="003A05FF">
        <w:trPr>
          <w:jc w:val="center"/>
        </w:trPr>
        <w:tc>
          <w:tcPr>
            <w:tcW w:w="1555" w:type="dxa"/>
          </w:tcPr>
          <w:p w14:paraId="213A3FE1" w14:textId="77777777" w:rsidR="005E76EB" w:rsidRPr="005E76EB" w:rsidRDefault="005E76EB" w:rsidP="00EB1D3C">
            <w:pPr>
              <w:autoSpaceDE w:val="0"/>
              <w:autoSpaceDN w:val="0"/>
              <w:adjustRightInd w:val="0"/>
              <w:spacing w:before="240" w:after="100" w:afterAutospacing="1"/>
              <w:jc w:val="both"/>
              <w:rPr>
                <w:rFonts w:eastAsia="Calibri" w:cs="Arial"/>
                <w:bCs/>
                <w:szCs w:val="22"/>
              </w:rPr>
            </w:pPr>
            <w:r w:rsidRPr="005E76EB">
              <w:rPr>
                <w:rFonts w:eastAsia="Calibri" w:cs="Arial"/>
                <w:bCs/>
                <w:szCs w:val="22"/>
              </w:rPr>
              <w:t>1</w:t>
            </w:r>
          </w:p>
        </w:tc>
        <w:tc>
          <w:tcPr>
            <w:tcW w:w="3685" w:type="dxa"/>
          </w:tcPr>
          <w:p w14:paraId="52B153E8" w14:textId="77777777" w:rsidR="005E76EB" w:rsidRPr="005E76EB" w:rsidRDefault="005E76EB" w:rsidP="00EB1D3C">
            <w:pPr>
              <w:autoSpaceDE w:val="0"/>
              <w:autoSpaceDN w:val="0"/>
              <w:adjustRightInd w:val="0"/>
              <w:spacing w:before="240" w:after="100" w:afterAutospacing="1"/>
              <w:jc w:val="both"/>
              <w:rPr>
                <w:rFonts w:eastAsia="Calibri" w:cs="Arial"/>
                <w:bCs/>
                <w:szCs w:val="22"/>
              </w:rPr>
            </w:pPr>
            <w:r w:rsidRPr="005E76EB">
              <w:rPr>
                <w:rFonts w:eastAsia="Calibri" w:cs="Arial"/>
                <w:bCs/>
                <w:szCs w:val="22"/>
              </w:rPr>
              <w:t>Meets some of the criteria</w:t>
            </w:r>
          </w:p>
        </w:tc>
      </w:tr>
      <w:tr w:rsidR="005E76EB" w:rsidRPr="005E76EB" w14:paraId="7BB01A83" w14:textId="77777777" w:rsidTr="003A05FF">
        <w:trPr>
          <w:jc w:val="center"/>
        </w:trPr>
        <w:tc>
          <w:tcPr>
            <w:tcW w:w="1555" w:type="dxa"/>
          </w:tcPr>
          <w:p w14:paraId="54BA00BF" w14:textId="77777777" w:rsidR="005E76EB" w:rsidRPr="005E76EB" w:rsidRDefault="005E76EB" w:rsidP="00EB1D3C">
            <w:pPr>
              <w:autoSpaceDE w:val="0"/>
              <w:autoSpaceDN w:val="0"/>
              <w:adjustRightInd w:val="0"/>
              <w:spacing w:before="240" w:after="100" w:afterAutospacing="1"/>
              <w:jc w:val="both"/>
              <w:rPr>
                <w:rFonts w:eastAsia="Calibri" w:cs="Arial"/>
                <w:bCs/>
                <w:szCs w:val="22"/>
              </w:rPr>
            </w:pPr>
            <w:r w:rsidRPr="005E76EB">
              <w:rPr>
                <w:rFonts w:eastAsia="Calibri" w:cs="Arial"/>
                <w:bCs/>
                <w:szCs w:val="22"/>
              </w:rPr>
              <w:t>2</w:t>
            </w:r>
          </w:p>
        </w:tc>
        <w:tc>
          <w:tcPr>
            <w:tcW w:w="3685" w:type="dxa"/>
          </w:tcPr>
          <w:p w14:paraId="7EBB8A28" w14:textId="77777777" w:rsidR="005E76EB" w:rsidRPr="005E76EB" w:rsidRDefault="005E76EB" w:rsidP="00EB1D3C">
            <w:pPr>
              <w:autoSpaceDE w:val="0"/>
              <w:autoSpaceDN w:val="0"/>
              <w:adjustRightInd w:val="0"/>
              <w:spacing w:before="240" w:after="100" w:afterAutospacing="1"/>
              <w:jc w:val="both"/>
              <w:rPr>
                <w:rFonts w:eastAsia="Calibri" w:cs="Arial"/>
                <w:bCs/>
                <w:szCs w:val="22"/>
              </w:rPr>
            </w:pPr>
            <w:r w:rsidRPr="005E76EB">
              <w:rPr>
                <w:rFonts w:eastAsia="Calibri" w:cs="Arial"/>
                <w:bCs/>
                <w:szCs w:val="22"/>
              </w:rPr>
              <w:t>Meets most of the criteria</w:t>
            </w:r>
          </w:p>
        </w:tc>
      </w:tr>
      <w:tr w:rsidR="005E76EB" w:rsidRPr="005E76EB" w14:paraId="13699E51" w14:textId="77777777" w:rsidTr="003A05FF">
        <w:trPr>
          <w:jc w:val="center"/>
        </w:trPr>
        <w:tc>
          <w:tcPr>
            <w:tcW w:w="1555" w:type="dxa"/>
          </w:tcPr>
          <w:p w14:paraId="2DF608B4" w14:textId="77777777" w:rsidR="005E76EB" w:rsidRPr="005E76EB" w:rsidRDefault="005E76EB" w:rsidP="00EB1D3C">
            <w:pPr>
              <w:autoSpaceDE w:val="0"/>
              <w:autoSpaceDN w:val="0"/>
              <w:adjustRightInd w:val="0"/>
              <w:spacing w:before="240" w:after="100" w:afterAutospacing="1"/>
              <w:jc w:val="both"/>
              <w:rPr>
                <w:rFonts w:eastAsia="Calibri" w:cs="Arial"/>
                <w:bCs/>
                <w:szCs w:val="22"/>
              </w:rPr>
            </w:pPr>
            <w:r w:rsidRPr="005E76EB">
              <w:rPr>
                <w:rFonts w:eastAsia="Calibri" w:cs="Arial"/>
                <w:bCs/>
                <w:szCs w:val="22"/>
              </w:rPr>
              <w:t>3</w:t>
            </w:r>
          </w:p>
        </w:tc>
        <w:tc>
          <w:tcPr>
            <w:tcW w:w="3685" w:type="dxa"/>
          </w:tcPr>
          <w:p w14:paraId="52B8B7A2" w14:textId="77777777" w:rsidR="005E76EB" w:rsidRPr="005E76EB" w:rsidRDefault="005E76EB" w:rsidP="00EB1D3C">
            <w:pPr>
              <w:autoSpaceDE w:val="0"/>
              <w:autoSpaceDN w:val="0"/>
              <w:adjustRightInd w:val="0"/>
              <w:spacing w:before="240" w:after="100" w:afterAutospacing="1"/>
              <w:jc w:val="both"/>
              <w:rPr>
                <w:rFonts w:eastAsia="Calibri" w:cs="Arial"/>
                <w:bCs/>
                <w:szCs w:val="22"/>
              </w:rPr>
            </w:pPr>
            <w:r w:rsidRPr="005E76EB">
              <w:rPr>
                <w:rFonts w:eastAsia="Calibri" w:cs="Arial"/>
                <w:bCs/>
                <w:szCs w:val="22"/>
              </w:rPr>
              <w:t>Fully meets the criteria</w:t>
            </w:r>
          </w:p>
        </w:tc>
      </w:tr>
      <w:tr w:rsidR="005E76EB" w:rsidRPr="005E76EB" w14:paraId="4B318527" w14:textId="77777777" w:rsidTr="003A05FF">
        <w:trPr>
          <w:jc w:val="center"/>
        </w:trPr>
        <w:tc>
          <w:tcPr>
            <w:tcW w:w="1555" w:type="dxa"/>
          </w:tcPr>
          <w:p w14:paraId="55EB4272" w14:textId="77777777" w:rsidR="005E76EB" w:rsidRPr="005E76EB" w:rsidRDefault="005E76EB" w:rsidP="00EB1D3C">
            <w:pPr>
              <w:autoSpaceDE w:val="0"/>
              <w:autoSpaceDN w:val="0"/>
              <w:adjustRightInd w:val="0"/>
              <w:spacing w:before="240" w:after="100" w:afterAutospacing="1"/>
              <w:jc w:val="both"/>
              <w:rPr>
                <w:rFonts w:eastAsia="Calibri" w:cs="Arial"/>
                <w:bCs/>
                <w:szCs w:val="22"/>
              </w:rPr>
            </w:pPr>
            <w:r w:rsidRPr="005E76EB">
              <w:rPr>
                <w:rFonts w:eastAsia="Calibri" w:cs="Arial"/>
                <w:bCs/>
                <w:szCs w:val="22"/>
              </w:rPr>
              <w:t>4</w:t>
            </w:r>
          </w:p>
        </w:tc>
        <w:tc>
          <w:tcPr>
            <w:tcW w:w="3685" w:type="dxa"/>
          </w:tcPr>
          <w:p w14:paraId="3D60F205" w14:textId="77777777" w:rsidR="005E76EB" w:rsidRPr="005E76EB" w:rsidRDefault="005E76EB" w:rsidP="00EB1D3C">
            <w:pPr>
              <w:autoSpaceDE w:val="0"/>
              <w:autoSpaceDN w:val="0"/>
              <w:adjustRightInd w:val="0"/>
              <w:spacing w:before="240" w:after="100" w:afterAutospacing="1"/>
              <w:jc w:val="both"/>
              <w:rPr>
                <w:rFonts w:eastAsia="Calibri" w:cs="Arial"/>
                <w:bCs/>
                <w:szCs w:val="22"/>
              </w:rPr>
            </w:pPr>
            <w:r w:rsidRPr="005E76EB">
              <w:rPr>
                <w:rFonts w:eastAsia="Calibri" w:cs="Arial"/>
                <w:bCs/>
                <w:szCs w:val="22"/>
              </w:rPr>
              <w:t xml:space="preserve">Exceeds the criteria </w:t>
            </w:r>
          </w:p>
        </w:tc>
      </w:tr>
    </w:tbl>
    <w:p w14:paraId="38DBBDE8" w14:textId="6EFDE4A2" w:rsidR="005E76EB" w:rsidRPr="005E76EB" w:rsidRDefault="005E76EB" w:rsidP="009120C0">
      <w:pPr>
        <w:widowControl w:val="0"/>
        <w:overflowPunct w:val="0"/>
        <w:autoSpaceDE w:val="0"/>
        <w:autoSpaceDN w:val="0"/>
        <w:adjustRightInd w:val="0"/>
        <w:spacing w:line="240" w:lineRule="auto"/>
        <w:textAlignment w:val="baseline"/>
        <w:rPr>
          <w:rFonts w:eastAsiaTheme="minorHAnsi" w:cs="Arial"/>
          <w:color w:val="000000"/>
          <w:szCs w:val="22"/>
          <w:lang w:eastAsia="en-US"/>
        </w:rPr>
      </w:pPr>
    </w:p>
    <w:p w14:paraId="1D3912AA" w14:textId="3A11BBCC" w:rsidR="005E76EB" w:rsidRPr="005E76EB" w:rsidRDefault="005E76EB" w:rsidP="009120C0">
      <w:pPr>
        <w:widowControl w:val="0"/>
        <w:overflowPunct w:val="0"/>
        <w:autoSpaceDE w:val="0"/>
        <w:autoSpaceDN w:val="0"/>
        <w:adjustRightInd w:val="0"/>
        <w:spacing w:line="240" w:lineRule="auto"/>
        <w:textAlignment w:val="baseline"/>
        <w:rPr>
          <w:rFonts w:eastAsiaTheme="minorHAnsi" w:cs="Arial"/>
          <w:color w:val="000000"/>
          <w:szCs w:val="22"/>
          <w:lang w:eastAsia="en-US"/>
        </w:rPr>
      </w:pPr>
      <w:r w:rsidRPr="005E76EB">
        <w:rPr>
          <w:rFonts w:eastAsiaTheme="minorHAnsi" w:cs="Arial"/>
          <w:color w:val="000000"/>
          <w:szCs w:val="22"/>
          <w:lang w:eastAsia="en-US"/>
        </w:rPr>
        <w:t>CVs and references are not required at this stage.</w:t>
      </w:r>
    </w:p>
    <w:p w14:paraId="40F6F47F" w14:textId="4AE71E08" w:rsidR="00915C18" w:rsidRPr="005E76EB" w:rsidRDefault="009120C0" w:rsidP="00915C18">
      <w:pPr>
        <w:rPr>
          <w:rFonts w:cs="Arial"/>
          <w:szCs w:val="22"/>
        </w:rPr>
      </w:pPr>
      <w:r w:rsidRPr="005E76EB">
        <w:rPr>
          <w:rFonts w:cs="Arial"/>
          <w:szCs w:val="22"/>
        </w:rPr>
        <w:t xml:space="preserve">Expressions of interests submitted must be </w:t>
      </w:r>
      <w:r w:rsidRPr="007504F9">
        <w:rPr>
          <w:rFonts w:cs="Arial"/>
          <w:b/>
          <w:bCs/>
          <w:szCs w:val="22"/>
          <w:u w:val="single"/>
        </w:rPr>
        <w:t>no more than 1,000 words</w:t>
      </w:r>
      <w:r w:rsidR="005E76EB" w:rsidRPr="007504F9">
        <w:rPr>
          <w:rFonts w:cs="Arial"/>
          <w:b/>
          <w:bCs/>
          <w:szCs w:val="22"/>
          <w:u w:val="single"/>
        </w:rPr>
        <w:t xml:space="preserve"> overall.</w:t>
      </w:r>
      <w:r w:rsidR="005E76EB" w:rsidRPr="003A05FF">
        <w:rPr>
          <w:rFonts w:cs="Arial"/>
          <w:szCs w:val="22"/>
        </w:rPr>
        <w:t xml:space="preserve"> </w:t>
      </w:r>
      <w:r w:rsidR="000F7FA9" w:rsidRPr="000F7FA9">
        <w:rPr>
          <w:rFonts w:cs="Arial"/>
          <w:szCs w:val="22"/>
        </w:rPr>
        <w:t>Anything longer than 1,000 words will be disregarded.</w:t>
      </w:r>
      <w:r w:rsidR="005E76EB" w:rsidRPr="003A05FF">
        <w:rPr>
          <w:rFonts w:cs="Arial"/>
          <w:szCs w:val="22"/>
        </w:rPr>
        <w:t xml:space="preserve"> </w:t>
      </w:r>
      <w:r w:rsidR="005E76EB" w:rsidRPr="005E76EB">
        <w:rPr>
          <w:rFonts w:cs="Arial"/>
          <w:szCs w:val="22"/>
        </w:rPr>
        <w:t xml:space="preserve">Please do not include website links or references. </w:t>
      </w:r>
      <w:r w:rsidR="00F04284">
        <w:rPr>
          <w:rFonts w:cs="Arial"/>
          <w:szCs w:val="22"/>
        </w:rPr>
        <w:t>B</w:t>
      </w:r>
      <w:r w:rsidR="00F04284" w:rsidRPr="00F04284">
        <w:rPr>
          <w:rFonts w:cs="Arial"/>
          <w:szCs w:val="22"/>
        </w:rPr>
        <w:t>udget and costings are not required at thi</w:t>
      </w:r>
      <w:r w:rsidR="00F04284">
        <w:rPr>
          <w:rFonts w:cs="Arial"/>
          <w:szCs w:val="22"/>
        </w:rPr>
        <w:t>s</w:t>
      </w:r>
      <w:r w:rsidR="00F04284" w:rsidRPr="00F04284">
        <w:rPr>
          <w:rFonts w:cs="Arial"/>
          <w:szCs w:val="22"/>
        </w:rPr>
        <w:t xml:space="preserve"> Expression of Interest stage.</w:t>
      </w:r>
      <w:r w:rsidR="000F7FA9">
        <w:rPr>
          <w:rFonts w:cs="Arial"/>
          <w:szCs w:val="22"/>
        </w:rPr>
        <w:t xml:space="preserve"> </w:t>
      </w:r>
    </w:p>
    <w:p w14:paraId="2B2B8413" w14:textId="4A45CD41" w:rsidR="005E76EB" w:rsidRDefault="005E76EB" w:rsidP="005E76EB">
      <w:pPr>
        <w:autoSpaceDE w:val="0"/>
        <w:autoSpaceDN w:val="0"/>
        <w:adjustRightInd w:val="0"/>
        <w:spacing w:before="240" w:after="100" w:afterAutospacing="1"/>
        <w:jc w:val="both"/>
        <w:rPr>
          <w:rFonts w:eastAsia="Calibri" w:cs="Arial"/>
          <w:bCs/>
          <w:szCs w:val="22"/>
        </w:rPr>
      </w:pPr>
      <w:r w:rsidRPr="005E76EB">
        <w:rPr>
          <w:rFonts w:eastAsia="Calibri" w:cs="Arial"/>
          <w:bCs/>
          <w:szCs w:val="22"/>
        </w:rPr>
        <w:t>Collaborative/ consortia expressions of interest are welcome and may be advisable to score highly across the criteria.</w:t>
      </w:r>
    </w:p>
    <w:p w14:paraId="665BA9FC" w14:textId="455C59C1" w:rsidR="002B6FF1" w:rsidRPr="002B6FF1" w:rsidRDefault="002B6FF1" w:rsidP="002B6FF1">
      <w:pPr>
        <w:autoSpaceDE w:val="0"/>
        <w:autoSpaceDN w:val="0"/>
        <w:adjustRightInd w:val="0"/>
        <w:spacing w:before="240" w:after="100" w:afterAutospacing="1"/>
        <w:jc w:val="both"/>
        <w:rPr>
          <w:rFonts w:eastAsia="Calibri" w:cs="Arial"/>
          <w:bCs/>
          <w:szCs w:val="22"/>
        </w:rPr>
      </w:pPr>
      <w:r w:rsidRPr="002B6FF1">
        <w:rPr>
          <w:rFonts w:eastAsia="Calibri" w:cs="Arial"/>
          <w:bCs/>
          <w:szCs w:val="22"/>
        </w:rPr>
        <w:t xml:space="preserve">During the EOI stage, where applicable, the Contracts Finder listing for this advert will be updated to notify potential bidders of our responses to any questions that have been asked. Questions will be </w:t>
      </w:r>
      <w:r w:rsidR="001C10A8" w:rsidRPr="002B6FF1">
        <w:rPr>
          <w:rFonts w:eastAsia="Calibri" w:cs="Arial"/>
          <w:bCs/>
          <w:szCs w:val="22"/>
        </w:rPr>
        <w:t>anonymised,</w:t>
      </w:r>
      <w:r w:rsidRPr="002B6FF1">
        <w:rPr>
          <w:rFonts w:eastAsia="Calibri" w:cs="Arial"/>
          <w:bCs/>
          <w:szCs w:val="22"/>
        </w:rPr>
        <w:t xml:space="preserve"> and any commercially sensitive information removed. Contracts Finder will automatically issue an alert to suppliers that have set up notifications. We recommend you check your alert settings should you wish to be notified of any updates. Alternatively, you can periodically check the listing for updates.</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rsidRPr="005E76EB" w14:paraId="2831946D" w14:textId="77777777" w:rsidTr="009120C0">
        <w:trPr>
          <w:trHeight w:val="1223"/>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0125F64E" w:rsidR="00915C18" w:rsidRPr="005E76EB" w:rsidRDefault="00915C18" w:rsidP="00915C18">
            <w:pPr>
              <w:spacing w:before="160"/>
              <w:rPr>
                <w:rFonts w:cs="Arial"/>
                <w:b/>
                <w:bCs/>
                <w:szCs w:val="22"/>
              </w:rPr>
            </w:pPr>
            <w:r w:rsidRPr="005E76EB">
              <w:rPr>
                <w:rFonts w:cs="Arial"/>
                <w:b/>
                <w:bCs/>
                <w:szCs w:val="22"/>
              </w:rPr>
              <w:t>Closing date for EOIs:</w:t>
            </w:r>
            <w:r w:rsidR="00F80A9F">
              <w:rPr>
                <w:rFonts w:cs="Arial"/>
                <w:b/>
                <w:bCs/>
                <w:szCs w:val="22"/>
              </w:rPr>
              <w:t xml:space="preserve"> </w:t>
            </w:r>
            <w:r w:rsidR="00286C02" w:rsidRPr="00286C02">
              <w:rPr>
                <w:rFonts w:cs="Arial"/>
                <w:b/>
                <w:bCs/>
                <w:szCs w:val="22"/>
              </w:rPr>
              <w:t>11.59pm on Tuesday 20th April 2021</w:t>
            </w:r>
          </w:p>
          <w:p w14:paraId="5178F3E6" w14:textId="2F8E1785" w:rsidR="007504F9" w:rsidRPr="005E76EB" w:rsidRDefault="00915C18" w:rsidP="007519C2">
            <w:pPr>
              <w:rPr>
                <w:rFonts w:cs="Arial"/>
                <w:b/>
                <w:bCs/>
                <w:szCs w:val="22"/>
              </w:rPr>
            </w:pPr>
            <w:r w:rsidRPr="005E76EB">
              <w:rPr>
                <w:rFonts w:cs="Arial"/>
                <w:b/>
                <w:bCs/>
                <w:szCs w:val="22"/>
              </w:rPr>
              <w:t>Send your EOI form to:</w:t>
            </w:r>
            <w:r w:rsidR="009120C0" w:rsidRPr="005E76EB">
              <w:rPr>
                <w:rFonts w:cs="Arial"/>
                <w:b/>
                <w:bCs/>
                <w:szCs w:val="22"/>
              </w:rPr>
              <w:t xml:space="preserve"> </w:t>
            </w:r>
            <w:hyperlink r:id="rId14" w:history="1">
              <w:r w:rsidR="005E76EB" w:rsidRPr="00CC3220">
                <w:rPr>
                  <w:rStyle w:val="Hyperlink"/>
                  <w:rFonts w:cs="Arial"/>
                  <w:b/>
                  <w:bCs/>
                  <w:sz w:val="22"/>
                  <w:szCs w:val="22"/>
                </w:rPr>
                <w:t>maura.lantrua@education.gov.uk</w:t>
              </w:r>
            </w:hyperlink>
            <w:r w:rsidR="007504F9">
              <w:rPr>
                <w:rFonts w:cs="Arial"/>
                <w:b/>
                <w:bCs/>
                <w:szCs w:val="22"/>
              </w:rPr>
              <w:t xml:space="preserve"> and </w:t>
            </w:r>
            <w:hyperlink r:id="rId15" w:history="1">
              <w:r w:rsidR="000F7FA9" w:rsidRPr="000F7FA9">
                <w:rPr>
                  <w:rStyle w:val="Hyperlink"/>
                  <w:rFonts w:cs="Arial"/>
                  <w:b/>
                  <w:bCs/>
                  <w:sz w:val="22"/>
                  <w:szCs w:val="22"/>
                </w:rPr>
                <w:t>anna.wales@education.gov.uk</w:t>
              </w:r>
            </w:hyperlink>
          </w:p>
        </w:tc>
      </w:tr>
    </w:tbl>
    <w:p w14:paraId="3EA17F59" w14:textId="7076E85A" w:rsidR="00915C18" w:rsidRPr="005E76EB" w:rsidRDefault="00094338" w:rsidP="001F2CE2">
      <w:pPr>
        <w:pStyle w:val="Heading2"/>
        <w:rPr>
          <w:rFonts w:cs="Arial"/>
          <w:sz w:val="22"/>
          <w:szCs w:val="22"/>
        </w:rPr>
      </w:pPr>
      <w:r w:rsidRPr="005E76EB">
        <w:rPr>
          <w:rFonts w:cs="Arial"/>
          <w:sz w:val="22"/>
          <w:szCs w:val="22"/>
        </w:rPr>
        <w:t>H</w:t>
      </w:r>
      <w:r w:rsidR="00915C18" w:rsidRPr="005E76EB">
        <w:rPr>
          <w:rFonts w:cs="Arial"/>
          <w:sz w:val="22"/>
          <w:szCs w:val="22"/>
        </w:rPr>
        <w:t xml:space="preserve">ow to submit an </w:t>
      </w:r>
      <w:r w:rsidR="001C10A8" w:rsidRPr="005E76EB">
        <w:rPr>
          <w:rFonts w:cs="Arial"/>
          <w:sz w:val="22"/>
          <w:szCs w:val="22"/>
        </w:rPr>
        <w:t>expression of interest</w:t>
      </w:r>
    </w:p>
    <w:p w14:paraId="53D8E246" w14:textId="6448E60C" w:rsidR="00814CCF" w:rsidRPr="005E76EB" w:rsidRDefault="00814CCF" w:rsidP="00814CCF">
      <w:pPr>
        <w:rPr>
          <w:rFonts w:cs="Arial"/>
          <w:szCs w:val="22"/>
        </w:rPr>
      </w:pPr>
      <w:r w:rsidRPr="005E76EB">
        <w:rPr>
          <w:rFonts w:cs="Arial"/>
          <w:szCs w:val="22"/>
        </w:rPr>
        <w:t xml:space="preserve">You must submit an expression of interest (EOI) </w:t>
      </w:r>
      <w:r w:rsidR="001C10A8" w:rsidRPr="005E76EB">
        <w:rPr>
          <w:rFonts w:cs="Arial"/>
          <w:szCs w:val="22"/>
        </w:rPr>
        <w:t>to</w:t>
      </w:r>
      <w:r w:rsidRPr="005E76EB">
        <w:rPr>
          <w:rFonts w:cs="Arial"/>
          <w:szCs w:val="22"/>
        </w:rPr>
        <w:t xml:space="preserve"> be considered to be invited to tender. To do so, please complete the </w:t>
      </w:r>
      <w:r w:rsidR="00A0541C" w:rsidRPr="005E76EB">
        <w:rPr>
          <w:rFonts w:cs="Arial"/>
          <w:szCs w:val="22"/>
        </w:rPr>
        <w:t>NEW EOI Form which can be found under attachments</w:t>
      </w:r>
      <w:r w:rsidRPr="005E76EB">
        <w:rPr>
          <w:rFonts w:cs="Arial"/>
          <w:szCs w:val="22"/>
        </w:rP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4237A75E" w:rsidR="00915C18" w:rsidRPr="005E76EB" w:rsidRDefault="00814CCF" w:rsidP="00814CCF">
      <w:pPr>
        <w:rPr>
          <w:rFonts w:cs="Arial"/>
          <w:szCs w:val="22"/>
        </w:rPr>
      </w:pPr>
      <w:r w:rsidRPr="005E76EB">
        <w:rPr>
          <w:rFonts w:cs="Arial"/>
          <w:szCs w:val="22"/>
        </w:rPr>
        <w:lastRenderedPageBreak/>
        <w:t>All contracts are let on the basis of t</w:t>
      </w:r>
      <w:r w:rsidR="00803236" w:rsidRPr="005E76EB">
        <w:rPr>
          <w:rFonts w:cs="Arial"/>
          <w:szCs w:val="22"/>
        </w:rPr>
        <w:t xml:space="preserve">he </w:t>
      </w:r>
      <w:r w:rsidR="001C10A8" w:rsidRPr="005E76EB">
        <w:rPr>
          <w:rFonts w:cs="Arial"/>
          <w:szCs w:val="22"/>
        </w:rPr>
        <w:t>Department’s</w:t>
      </w:r>
      <w:r w:rsidR="00803236" w:rsidRPr="005E76EB">
        <w:rPr>
          <w:rFonts w:cs="Arial"/>
          <w:szCs w:val="22"/>
        </w:rPr>
        <w:t xml:space="preserve"> Terms &amp; Conditions, </w:t>
      </w:r>
      <w:r w:rsidR="00FD3789" w:rsidRPr="005E76EB">
        <w:rPr>
          <w:rFonts w:cs="Arial"/>
          <w:szCs w:val="22"/>
        </w:rPr>
        <w:t xml:space="preserve">a </w:t>
      </w:r>
      <w:r w:rsidR="00803236" w:rsidRPr="005E76EB">
        <w:rPr>
          <w:rFonts w:cs="Arial"/>
          <w:szCs w:val="22"/>
        </w:rPr>
        <w:t xml:space="preserve">copy </w:t>
      </w:r>
      <w:r w:rsidR="00FD3789" w:rsidRPr="005E76EB">
        <w:rPr>
          <w:rFonts w:cs="Arial"/>
          <w:szCs w:val="22"/>
        </w:rPr>
        <w:t xml:space="preserve">is </w:t>
      </w:r>
      <w:r w:rsidR="00803236" w:rsidRPr="005E76EB">
        <w:rPr>
          <w:rFonts w:cs="Arial"/>
          <w:szCs w:val="22"/>
        </w:rPr>
        <w:t xml:space="preserve">available attached to the </w:t>
      </w:r>
      <w:r w:rsidR="001C10A8" w:rsidRPr="005E76EB">
        <w:rPr>
          <w:rFonts w:cs="Arial"/>
          <w:szCs w:val="22"/>
        </w:rPr>
        <w:t>Contracts Finder</w:t>
      </w:r>
      <w:r w:rsidR="00803236" w:rsidRPr="005E76EB">
        <w:rPr>
          <w:rFonts w:cs="Arial"/>
          <w:szCs w:val="22"/>
        </w:rPr>
        <w:t xml:space="preserve"> listing. </w:t>
      </w:r>
      <w:r w:rsidRPr="005E76EB">
        <w:rPr>
          <w:rFonts w:cs="Arial"/>
          <w:szCs w:val="22"/>
        </w:rPr>
        <w:t>You are encouraged to check these before submitting your expression of interest, as these form part of your contractual obligations.</w:t>
      </w:r>
    </w:p>
    <w:p w14:paraId="50BCB5CE" w14:textId="77777777" w:rsidR="005A0891" w:rsidRPr="005E76EB" w:rsidRDefault="005A0891" w:rsidP="00814CCF">
      <w:pPr>
        <w:rPr>
          <w:rFonts w:cs="Arial"/>
          <w:szCs w:val="22"/>
        </w:rPr>
      </w:pPr>
    </w:p>
    <w:p w14:paraId="5944612C" w14:textId="7C536171" w:rsidR="005D3B59" w:rsidRPr="005E76EB" w:rsidRDefault="00C2496D" w:rsidP="005D3B59">
      <w:pPr>
        <w:rPr>
          <w:rFonts w:cs="Arial"/>
          <w:szCs w:val="22"/>
        </w:rPr>
      </w:pPr>
      <w:r w:rsidRPr="005E76EB">
        <w:rPr>
          <w:rFonts w:cs="Arial"/>
          <w:szCs w:val="22"/>
        </w:rPr>
        <w:t>©</w:t>
      </w:r>
      <w:r w:rsidR="005D3B59" w:rsidRPr="005E76EB">
        <w:rPr>
          <w:rFonts w:cs="Arial"/>
          <w:szCs w:val="22"/>
        </w:rPr>
        <w:t xml:space="preserve"> </w:t>
      </w:r>
      <w:r w:rsidR="00EE71A2" w:rsidRPr="005E76EB">
        <w:rPr>
          <w:rFonts w:cs="Arial"/>
          <w:szCs w:val="22"/>
        </w:rPr>
        <w:t xml:space="preserve">Crown copyright </w:t>
      </w:r>
      <w:r w:rsidR="009120C0" w:rsidRPr="005E76EB">
        <w:rPr>
          <w:rFonts w:cs="Arial"/>
          <w:szCs w:val="22"/>
        </w:rPr>
        <w:t>2021</w:t>
      </w:r>
    </w:p>
    <w:sectPr w:rsidR="005D3B59" w:rsidRPr="005E76EB" w:rsidSect="00622501">
      <w:footerReference w:type="default" r:id="rId16"/>
      <w:footerReference w:type="first" r:id="rId1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767261" w14:textId="77777777" w:rsidR="00631F0B" w:rsidRDefault="00631F0B" w:rsidP="002B6D93">
      <w:r>
        <w:separator/>
      </w:r>
    </w:p>
    <w:p w14:paraId="1D0EBC5F" w14:textId="77777777" w:rsidR="00631F0B" w:rsidRDefault="00631F0B"/>
  </w:endnote>
  <w:endnote w:type="continuationSeparator" w:id="0">
    <w:p w14:paraId="6A7117F5" w14:textId="77777777" w:rsidR="00631F0B" w:rsidRDefault="00631F0B" w:rsidP="002B6D93">
      <w:r>
        <w:continuationSeparator/>
      </w:r>
    </w:p>
    <w:p w14:paraId="0FB0FFC7" w14:textId="77777777" w:rsidR="00631F0B" w:rsidRDefault="00631F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3406967"/>
      <w:docPartObj>
        <w:docPartGallery w:val="Page Numbers (Top of Page)"/>
        <w:docPartUnique/>
      </w:docPartObj>
    </w:sdtPr>
    <w:sdtEndPr>
      <w:rPr>
        <w:noProof/>
      </w:rPr>
    </w:sdtEndPr>
    <w:sdtContent>
      <w:p w14:paraId="66A84460" w14:textId="2E759EC3"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D57899">
          <w:rPr>
            <w:noProof/>
          </w:rPr>
          <w:t>3</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54E66" w14:textId="4FD879BF" w:rsidR="00DA0AD5" w:rsidRPr="006E6ADB" w:rsidRDefault="00DA0AD5" w:rsidP="004A3626">
    <w:pPr>
      <w:tabs>
        <w:tab w:val="left" w:pos="7088"/>
      </w:tabs>
      <w:spacing w:before="240"/>
      <w:rPr>
        <w:szCs w:val="20"/>
      </w:rPr>
    </w:pPr>
    <w:r w:rsidRPr="006E6ADB">
      <w:rPr>
        <w:szCs w:val="20"/>
      </w:rPr>
      <w:tab/>
      <w:t xml:space="preserve">Published: </w:t>
    </w:r>
    <w:r w:rsidR="00F80A9F">
      <w:rPr>
        <w:szCs w:val="20"/>
      </w:rPr>
      <w:t>March</w:t>
    </w:r>
    <w:r w:rsidR="00EC63C2">
      <w:rPr>
        <w:szCs w:val="20"/>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507C12" w14:textId="77777777" w:rsidR="00631F0B" w:rsidRDefault="00631F0B" w:rsidP="002B6D93">
      <w:r>
        <w:separator/>
      </w:r>
    </w:p>
    <w:p w14:paraId="05B46AE7" w14:textId="77777777" w:rsidR="00631F0B" w:rsidRDefault="00631F0B"/>
  </w:footnote>
  <w:footnote w:type="continuationSeparator" w:id="0">
    <w:p w14:paraId="4189BA67" w14:textId="77777777" w:rsidR="00631F0B" w:rsidRDefault="00631F0B" w:rsidP="002B6D93">
      <w:r>
        <w:continuationSeparator/>
      </w:r>
    </w:p>
    <w:p w14:paraId="5BC0D290" w14:textId="77777777" w:rsidR="00631F0B" w:rsidRDefault="00631F0B"/>
  </w:footnote>
  <w:footnote w:id="1">
    <w:p w14:paraId="7FAA460C" w14:textId="77777777" w:rsidR="007D7195" w:rsidRPr="00B17A8B" w:rsidRDefault="007D7195" w:rsidP="007D7195">
      <w:pPr>
        <w:pStyle w:val="FootnoteText"/>
        <w:rPr>
          <w:sz w:val="18"/>
          <w:szCs w:val="18"/>
        </w:rPr>
      </w:pPr>
      <w:r>
        <w:rPr>
          <w:rStyle w:val="FootnoteReference"/>
        </w:rPr>
        <w:footnoteRef/>
      </w:r>
      <w:r>
        <w:t xml:space="preserve"> </w:t>
      </w:r>
      <w:hyperlink r:id="rId1" w:history="1">
        <w:r w:rsidRPr="00B17A8B">
          <w:rPr>
            <w:rStyle w:val="Hyperlink"/>
            <w:sz w:val="18"/>
            <w:szCs w:val="18"/>
          </w:rPr>
          <w:t>https://www.gov.uk/government/collection</w:t>
        </w:r>
        <w:r w:rsidRPr="00B17A8B">
          <w:rPr>
            <w:rStyle w:val="Hyperlink"/>
            <w:sz w:val="18"/>
            <w:szCs w:val="18"/>
          </w:rPr>
          <w:t>s</w:t>
        </w:r>
        <w:r w:rsidRPr="00B17A8B">
          <w:rPr>
            <w:rStyle w:val="Hyperlink"/>
            <w:sz w:val="18"/>
            <w:szCs w:val="18"/>
          </w:rPr>
          <w:t>/statistics-looked-after-children</w:t>
        </w:r>
      </w:hyperlink>
    </w:p>
  </w:footnote>
  <w:footnote w:id="2">
    <w:p w14:paraId="012BE988" w14:textId="76A4B84A" w:rsidR="007D7195" w:rsidRPr="00B17A8B" w:rsidRDefault="007D7195">
      <w:pPr>
        <w:pStyle w:val="FootnoteText"/>
        <w:rPr>
          <w:sz w:val="18"/>
          <w:szCs w:val="18"/>
        </w:rPr>
      </w:pPr>
      <w:r w:rsidRPr="00B17A8B">
        <w:rPr>
          <w:rStyle w:val="FootnoteReference"/>
          <w:sz w:val="18"/>
          <w:szCs w:val="18"/>
        </w:rPr>
        <w:footnoteRef/>
      </w:r>
      <w:r w:rsidRPr="00B17A8B">
        <w:rPr>
          <w:sz w:val="18"/>
          <w:szCs w:val="18"/>
        </w:rPr>
        <w:t xml:space="preserve"> This includes DfE funded research such as: Wade, J et al (2014)  </w:t>
      </w:r>
      <w:hyperlink r:id="rId2" w:history="1">
        <w:r w:rsidRPr="00B17A8B">
          <w:rPr>
            <w:rStyle w:val="Hyperlink"/>
            <w:sz w:val="18"/>
            <w:szCs w:val="18"/>
          </w:rPr>
          <w:t>Investigating s</w:t>
        </w:r>
        <w:r w:rsidRPr="00B17A8B">
          <w:rPr>
            <w:rStyle w:val="Hyperlink"/>
            <w:sz w:val="18"/>
            <w:szCs w:val="18"/>
          </w:rPr>
          <w:t>p</w:t>
        </w:r>
        <w:r w:rsidRPr="00B17A8B">
          <w:rPr>
            <w:rStyle w:val="Hyperlink"/>
            <w:sz w:val="18"/>
            <w:szCs w:val="18"/>
          </w:rPr>
          <w:t>ecial guardianship.</w:t>
        </w:r>
      </w:hyperlink>
      <w:r w:rsidRPr="00B17A8B">
        <w:rPr>
          <w:sz w:val="18"/>
          <w:szCs w:val="18"/>
        </w:rPr>
        <w:t xml:space="preserve">; Selwyn, J et al (2014) </w:t>
      </w:r>
      <w:hyperlink r:id="rId3" w:history="1">
        <w:r w:rsidRPr="00B17A8B">
          <w:rPr>
            <w:rStyle w:val="Hyperlink"/>
            <w:sz w:val="18"/>
            <w:szCs w:val="18"/>
          </w:rPr>
          <w:t>Beyond the adoption order: ch</w:t>
        </w:r>
        <w:r w:rsidRPr="00B17A8B">
          <w:rPr>
            <w:rStyle w:val="Hyperlink"/>
            <w:sz w:val="18"/>
            <w:szCs w:val="18"/>
          </w:rPr>
          <w:t>a</w:t>
        </w:r>
        <w:r w:rsidRPr="00B17A8B">
          <w:rPr>
            <w:rStyle w:val="Hyperlink"/>
            <w:sz w:val="18"/>
            <w:szCs w:val="18"/>
          </w:rPr>
          <w:t>llenges, intervention, disruption</w:t>
        </w:r>
      </w:hyperlink>
      <w:r w:rsidRPr="00B17A8B">
        <w:rPr>
          <w:sz w:val="18"/>
          <w:szCs w:val="18"/>
        </w:rPr>
        <w:t xml:space="preserve">. Other research also includes: </w:t>
      </w:r>
      <w:bookmarkStart w:id="0" w:name="_Hlk56763549"/>
      <w:r w:rsidRPr="00B17A8B">
        <w:rPr>
          <w:sz w:val="18"/>
          <w:szCs w:val="18"/>
        </w:rPr>
        <w:t xml:space="preserve">Harwin, J et al (2019) </w:t>
      </w:r>
      <w:hyperlink r:id="rId4" w:history="1">
        <w:r w:rsidRPr="00B17A8B">
          <w:rPr>
            <w:rStyle w:val="Hyperlink"/>
            <w:sz w:val="18"/>
            <w:szCs w:val="18"/>
          </w:rPr>
          <w:t>Special Guardianship: a review</w:t>
        </w:r>
        <w:r w:rsidRPr="00B17A8B">
          <w:rPr>
            <w:rStyle w:val="Hyperlink"/>
            <w:sz w:val="18"/>
            <w:szCs w:val="18"/>
          </w:rPr>
          <w:t xml:space="preserve"> </w:t>
        </w:r>
        <w:r w:rsidRPr="00B17A8B">
          <w:rPr>
            <w:rStyle w:val="Hyperlink"/>
            <w:sz w:val="18"/>
            <w:szCs w:val="18"/>
          </w:rPr>
          <w:t>of the English research studies.</w:t>
        </w:r>
      </w:hyperlink>
      <w:bookmarkEnd w:id="0"/>
      <w:r w:rsidR="00EC63C2">
        <w:rPr>
          <w:rStyle w:val="Hyperlink"/>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CD3E19"/>
    <w:multiLevelType w:val="hybridMultilevel"/>
    <w:tmpl w:val="8C14530E"/>
    <w:lvl w:ilvl="0" w:tplc="3F0877A4">
      <w:start w:val="1"/>
      <w:numFmt w:val="decimal"/>
      <w:lvlText w:val="%1."/>
      <w:lvlJc w:val="left"/>
      <w:pPr>
        <w:ind w:left="0" w:firstLine="0"/>
      </w:pPr>
      <w:rPr>
        <w:rFonts w:asciiTheme="minorHAnsi" w:hAnsiTheme="minorHAnsi" w:cstheme="minorHAnsi"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E031246"/>
    <w:multiLevelType w:val="hybridMultilevel"/>
    <w:tmpl w:val="F7285C84"/>
    <w:lvl w:ilvl="0" w:tplc="F1C2430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F578B6"/>
    <w:multiLevelType w:val="hybridMultilevel"/>
    <w:tmpl w:val="F1D86CFC"/>
    <w:lvl w:ilvl="0" w:tplc="58B69DC4">
      <w:numFmt w:val="bullet"/>
      <w:lvlText w:val=""/>
      <w:lvlJc w:val="left"/>
      <w:pPr>
        <w:ind w:left="397" w:hanging="37"/>
      </w:pPr>
      <w:rPr>
        <w:rFonts w:ascii="Symbol" w:eastAsia="Times New Roman" w:hAnsi="Symbol" w:cs="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821166"/>
    <w:multiLevelType w:val="hybridMultilevel"/>
    <w:tmpl w:val="2D80E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1B7087"/>
    <w:multiLevelType w:val="hybridMultilevel"/>
    <w:tmpl w:val="9BB4A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A34115"/>
    <w:multiLevelType w:val="hybridMultilevel"/>
    <w:tmpl w:val="E9B8B7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9AA3595"/>
    <w:multiLevelType w:val="hybridMultilevel"/>
    <w:tmpl w:val="C9125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69E2E99"/>
    <w:multiLevelType w:val="hybridMultilevel"/>
    <w:tmpl w:val="B4A494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2"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6EE588F"/>
    <w:multiLevelType w:val="hybridMultilevel"/>
    <w:tmpl w:val="70C6CA0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F35335"/>
    <w:multiLevelType w:val="hybridMultilevel"/>
    <w:tmpl w:val="A2041254"/>
    <w:lvl w:ilvl="0" w:tplc="35D0F564">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21"/>
  </w:num>
  <w:num w:numId="4">
    <w:abstractNumId w:val="15"/>
  </w:num>
  <w:num w:numId="5">
    <w:abstractNumId w:val="8"/>
  </w:num>
  <w:num w:numId="6">
    <w:abstractNumId w:val="17"/>
  </w:num>
  <w:num w:numId="7">
    <w:abstractNumId w:val="3"/>
  </w:num>
  <w:num w:numId="8">
    <w:abstractNumId w:val="1"/>
  </w:num>
  <w:num w:numId="9">
    <w:abstractNumId w:val="0"/>
  </w:num>
  <w:num w:numId="10">
    <w:abstractNumId w:val="19"/>
  </w:num>
  <w:num w:numId="11">
    <w:abstractNumId w:val="17"/>
  </w:num>
  <w:num w:numId="12">
    <w:abstractNumId w:val="24"/>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 w:numId="17">
    <w:abstractNumId w:val="12"/>
  </w:num>
  <w:num w:numId="18">
    <w:abstractNumId w:val="16"/>
  </w:num>
  <w:num w:numId="19">
    <w:abstractNumId w:val="5"/>
  </w:num>
  <w:num w:numId="20">
    <w:abstractNumId w:val="10"/>
  </w:num>
  <w:num w:numId="21">
    <w:abstractNumId w:val="20"/>
  </w:num>
  <w:num w:numId="22">
    <w:abstractNumId w:val="14"/>
  </w:num>
  <w:num w:numId="23">
    <w:abstractNumId w:val="18"/>
  </w:num>
  <w:num w:numId="24">
    <w:abstractNumId w:val="9"/>
  </w:num>
  <w:num w:numId="25">
    <w:abstractNumId w:val="23"/>
  </w:num>
  <w:num w:numId="26">
    <w:abstractNumId w:val="11"/>
  </w:num>
  <w:num w:numId="27">
    <w:abstractNumId w:val="13"/>
  </w:num>
  <w:num w:numId="28">
    <w:abstractNumId w:val="15"/>
  </w:num>
  <w:num w:numId="29">
    <w:abstractNumId w:val="15"/>
  </w:num>
  <w:num w:numId="30">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481">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11A88"/>
    <w:rsid w:val="00012381"/>
    <w:rsid w:val="00013A6E"/>
    <w:rsid w:val="0002203B"/>
    <w:rsid w:val="00031F36"/>
    <w:rsid w:val="000442BD"/>
    <w:rsid w:val="00057100"/>
    <w:rsid w:val="00065E86"/>
    <w:rsid w:val="00066B1C"/>
    <w:rsid w:val="000720CD"/>
    <w:rsid w:val="00081089"/>
    <w:rsid w:val="00083A73"/>
    <w:rsid w:val="00085BB4"/>
    <w:rsid w:val="00094338"/>
    <w:rsid w:val="000A10F4"/>
    <w:rsid w:val="000A3976"/>
    <w:rsid w:val="000B1ABA"/>
    <w:rsid w:val="000B3DE0"/>
    <w:rsid w:val="000D1D30"/>
    <w:rsid w:val="000D4433"/>
    <w:rsid w:val="000E3350"/>
    <w:rsid w:val="000F46A1"/>
    <w:rsid w:val="000F73F3"/>
    <w:rsid w:val="000F7FA9"/>
    <w:rsid w:val="00103E77"/>
    <w:rsid w:val="0011494F"/>
    <w:rsid w:val="00121C6C"/>
    <w:rsid w:val="001264D9"/>
    <w:rsid w:val="001272A9"/>
    <w:rsid w:val="00133075"/>
    <w:rsid w:val="001349BC"/>
    <w:rsid w:val="00147214"/>
    <w:rsid w:val="00147697"/>
    <w:rsid w:val="001534B2"/>
    <w:rsid w:val="001540AB"/>
    <w:rsid w:val="001612C8"/>
    <w:rsid w:val="001646F7"/>
    <w:rsid w:val="001747E2"/>
    <w:rsid w:val="00176EB9"/>
    <w:rsid w:val="0017793A"/>
    <w:rsid w:val="00190C3A"/>
    <w:rsid w:val="00196306"/>
    <w:rsid w:val="001975D1"/>
    <w:rsid w:val="001A3A04"/>
    <w:rsid w:val="001B2AE2"/>
    <w:rsid w:val="001B4452"/>
    <w:rsid w:val="001B5C15"/>
    <w:rsid w:val="001B796F"/>
    <w:rsid w:val="001C10A8"/>
    <w:rsid w:val="001C5A63"/>
    <w:rsid w:val="001C5EB6"/>
    <w:rsid w:val="001D0ED0"/>
    <w:rsid w:val="001D5770"/>
    <w:rsid w:val="001D6CF8"/>
    <w:rsid w:val="001D7B24"/>
    <w:rsid w:val="001F1B30"/>
    <w:rsid w:val="001F2CE2"/>
    <w:rsid w:val="00203EC9"/>
    <w:rsid w:val="002113CF"/>
    <w:rsid w:val="0022255C"/>
    <w:rsid w:val="0022386C"/>
    <w:rsid w:val="0022489D"/>
    <w:rsid w:val="002262F3"/>
    <w:rsid w:val="00230559"/>
    <w:rsid w:val="002332F8"/>
    <w:rsid w:val="00234F75"/>
    <w:rsid w:val="00240F4B"/>
    <w:rsid w:val="002575C5"/>
    <w:rsid w:val="002637D1"/>
    <w:rsid w:val="002639B5"/>
    <w:rsid w:val="00270B12"/>
    <w:rsid w:val="00271D90"/>
    <w:rsid w:val="0027231C"/>
    <w:rsid w:val="0027252F"/>
    <w:rsid w:val="002839B5"/>
    <w:rsid w:val="00286C02"/>
    <w:rsid w:val="00287788"/>
    <w:rsid w:val="002A0D44"/>
    <w:rsid w:val="002A28F7"/>
    <w:rsid w:val="002A3153"/>
    <w:rsid w:val="002A5858"/>
    <w:rsid w:val="002B6D93"/>
    <w:rsid w:val="002B6FF1"/>
    <w:rsid w:val="002C34D4"/>
    <w:rsid w:val="002C3AA4"/>
    <w:rsid w:val="002D7F16"/>
    <w:rsid w:val="002E463F"/>
    <w:rsid w:val="002E4E9A"/>
    <w:rsid w:val="002E508B"/>
    <w:rsid w:val="002E5F9F"/>
    <w:rsid w:val="002E7849"/>
    <w:rsid w:val="002F7128"/>
    <w:rsid w:val="00300F99"/>
    <w:rsid w:val="00342F8B"/>
    <w:rsid w:val="00361752"/>
    <w:rsid w:val="00374981"/>
    <w:rsid w:val="003810D8"/>
    <w:rsid w:val="003853A4"/>
    <w:rsid w:val="0039725F"/>
    <w:rsid w:val="003A05FF"/>
    <w:rsid w:val="003A1CC2"/>
    <w:rsid w:val="003B4776"/>
    <w:rsid w:val="003C60B5"/>
    <w:rsid w:val="003D1EFE"/>
    <w:rsid w:val="003E1329"/>
    <w:rsid w:val="003E3ED2"/>
    <w:rsid w:val="00400E1D"/>
    <w:rsid w:val="00403D1C"/>
    <w:rsid w:val="00405172"/>
    <w:rsid w:val="00420370"/>
    <w:rsid w:val="004216FF"/>
    <w:rsid w:val="004242C5"/>
    <w:rsid w:val="004339FB"/>
    <w:rsid w:val="004509BE"/>
    <w:rsid w:val="00456560"/>
    <w:rsid w:val="00470223"/>
    <w:rsid w:val="0047442D"/>
    <w:rsid w:val="004866AD"/>
    <w:rsid w:val="00496C9B"/>
    <w:rsid w:val="004A3626"/>
    <w:rsid w:val="004A3E98"/>
    <w:rsid w:val="004A600B"/>
    <w:rsid w:val="004B08AC"/>
    <w:rsid w:val="004C5600"/>
    <w:rsid w:val="004D13A3"/>
    <w:rsid w:val="004D73C6"/>
    <w:rsid w:val="004E5405"/>
    <w:rsid w:val="004E6CD9"/>
    <w:rsid w:val="004F20E3"/>
    <w:rsid w:val="004F211A"/>
    <w:rsid w:val="004F3159"/>
    <w:rsid w:val="004F4AEF"/>
    <w:rsid w:val="005170CC"/>
    <w:rsid w:val="005247AD"/>
    <w:rsid w:val="00526002"/>
    <w:rsid w:val="00531E1A"/>
    <w:rsid w:val="005360B7"/>
    <w:rsid w:val="005361CD"/>
    <w:rsid w:val="00536E0B"/>
    <w:rsid w:val="005535E5"/>
    <w:rsid w:val="00560451"/>
    <w:rsid w:val="0057250B"/>
    <w:rsid w:val="00574294"/>
    <w:rsid w:val="005749C5"/>
    <w:rsid w:val="0057670A"/>
    <w:rsid w:val="00581D79"/>
    <w:rsid w:val="005905B1"/>
    <w:rsid w:val="005914F1"/>
    <w:rsid w:val="005946C7"/>
    <w:rsid w:val="005A016F"/>
    <w:rsid w:val="005A07FF"/>
    <w:rsid w:val="005A0891"/>
    <w:rsid w:val="005C0B41"/>
    <w:rsid w:val="005C1770"/>
    <w:rsid w:val="005C2D94"/>
    <w:rsid w:val="005C3C1F"/>
    <w:rsid w:val="005C657D"/>
    <w:rsid w:val="005D3B59"/>
    <w:rsid w:val="005E3024"/>
    <w:rsid w:val="005E76EB"/>
    <w:rsid w:val="005F107C"/>
    <w:rsid w:val="005F6604"/>
    <w:rsid w:val="00606F2F"/>
    <w:rsid w:val="0060702F"/>
    <w:rsid w:val="006108B3"/>
    <w:rsid w:val="00622501"/>
    <w:rsid w:val="006237FB"/>
    <w:rsid w:val="0062451E"/>
    <w:rsid w:val="00631F0B"/>
    <w:rsid w:val="00635D57"/>
    <w:rsid w:val="00640032"/>
    <w:rsid w:val="006418B2"/>
    <w:rsid w:val="00642404"/>
    <w:rsid w:val="00645B6F"/>
    <w:rsid w:val="00647EFA"/>
    <w:rsid w:val="00652973"/>
    <w:rsid w:val="00653AA1"/>
    <w:rsid w:val="006558CA"/>
    <w:rsid w:val="00657E79"/>
    <w:rsid w:val="006606F5"/>
    <w:rsid w:val="00670ADC"/>
    <w:rsid w:val="0067185E"/>
    <w:rsid w:val="00671D5B"/>
    <w:rsid w:val="006775FA"/>
    <w:rsid w:val="006831BC"/>
    <w:rsid w:val="00684973"/>
    <w:rsid w:val="0068544D"/>
    <w:rsid w:val="006900BA"/>
    <w:rsid w:val="00695D08"/>
    <w:rsid w:val="006A27AA"/>
    <w:rsid w:val="006A3602"/>
    <w:rsid w:val="006B1F9F"/>
    <w:rsid w:val="006C382D"/>
    <w:rsid w:val="006C7FAB"/>
    <w:rsid w:val="006D1162"/>
    <w:rsid w:val="006E0892"/>
    <w:rsid w:val="006E6ADB"/>
    <w:rsid w:val="006E7F39"/>
    <w:rsid w:val="006F1F96"/>
    <w:rsid w:val="00700B01"/>
    <w:rsid w:val="00702EBF"/>
    <w:rsid w:val="007122BB"/>
    <w:rsid w:val="00713414"/>
    <w:rsid w:val="00722B33"/>
    <w:rsid w:val="00727EC4"/>
    <w:rsid w:val="00730350"/>
    <w:rsid w:val="0073516C"/>
    <w:rsid w:val="007403F5"/>
    <w:rsid w:val="007426B3"/>
    <w:rsid w:val="00743353"/>
    <w:rsid w:val="007504F9"/>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2AFF"/>
    <w:rsid w:val="007A5759"/>
    <w:rsid w:val="007B3CFE"/>
    <w:rsid w:val="007C19E4"/>
    <w:rsid w:val="007C41A5"/>
    <w:rsid w:val="007C58BE"/>
    <w:rsid w:val="007D080B"/>
    <w:rsid w:val="007D7195"/>
    <w:rsid w:val="007E0083"/>
    <w:rsid w:val="007F3BD3"/>
    <w:rsid w:val="00801B29"/>
    <w:rsid w:val="00803236"/>
    <w:rsid w:val="00805BC9"/>
    <w:rsid w:val="00814CCF"/>
    <w:rsid w:val="00816E77"/>
    <w:rsid w:val="00831263"/>
    <w:rsid w:val="00831DB7"/>
    <w:rsid w:val="00832EBF"/>
    <w:rsid w:val="008366CB"/>
    <w:rsid w:val="00837F3A"/>
    <w:rsid w:val="008420D7"/>
    <w:rsid w:val="00842E4D"/>
    <w:rsid w:val="008620F3"/>
    <w:rsid w:val="00863986"/>
    <w:rsid w:val="00866257"/>
    <w:rsid w:val="00874F24"/>
    <w:rsid w:val="00876230"/>
    <w:rsid w:val="00877D5B"/>
    <w:rsid w:val="00880441"/>
    <w:rsid w:val="00880B83"/>
    <w:rsid w:val="00882A2D"/>
    <w:rsid w:val="00886B1E"/>
    <w:rsid w:val="008A460D"/>
    <w:rsid w:val="008A4CD5"/>
    <w:rsid w:val="008A588F"/>
    <w:rsid w:val="008A644A"/>
    <w:rsid w:val="008B05BD"/>
    <w:rsid w:val="008B0C03"/>
    <w:rsid w:val="008B0DD1"/>
    <w:rsid w:val="008B427B"/>
    <w:rsid w:val="008B6009"/>
    <w:rsid w:val="008C46DC"/>
    <w:rsid w:val="008D15AA"/>
    <w:rsid w:val="008D6968"/>
    <w:rsid w:val="008E16C0"/>
    <w:rsid w:val="008E3F07"/>
    <w:rsid w:val="008E5F36"/>
    <w:rsid w:val="008F2757"/>
    <w:rsid w:val="008F2E4F"/>
    <w:rsid w:val="008F422C"/>
    <w:rsid w:val="008F7436"/>
    <w:rsid w:val="009055E4"/>
    <w:rsid w:val="009120C0"/>
    <w:rsid w:val="00915C18"/>
    <w:rsid w:val="00917E9C"/>
    <w:rsid w:val="00926A3C"/>
    <w:rsid w:val="0093027C"/>
    <w:rsid w:val="0094189B"/>
    <w:rsid w:val="00947DB5"/>
    <w:rsid w:val="00951C56"/>
    <w:rsid w:val="0095599F"/>
    <w:rsid w:val="00963DC9"/>
    <w:rsid w:val="0096424B"/>
    <w:rsid w:val="009701C8"/>
    <w:rsid w:val="00972EFD"/>
    <w:rsid w:val="00986616"/>
    <w:rsid w:val="00995398"/>
    <w:rsid w:val="009B32FA"/>
    <w:rsid w:val="009C2C02"/>
    <w:rsid w:val="009C73CF"/>
    <w:rsid w:val="009E00AE"/>
    <w:rsid w:val="009E09D3"/>
    <w:rsid w:val="009E6E74"/>
    <w:rsid w:val="009E7EE1"/>
    <w:rsid w:val="009E7F32"/>
    <w:rsid w:val="00A0230D"/>
    <w:rsid w:val="00A0541C"/>
    <w:rsid w:val="00A248DB"/>
    <w:rsid w:val="00A30BA1"/>
    <w:rsid w:val="00A37DEE"/>
    <w:rsid w:val="00A433C3"/>
    <w:rsid w:val="00A53B0A"/>
    <w:rsid w:val="00A54BB7"/>
    <w:rsid w:val="00A5643A"/>
    <w:rsid w:val="00A57128"/>
    <w:rsid w:val="00A5723C"/>
    <w:rsid w:val="00A707A4"/>
    <w:rsid w:val="00A7274B"/>
    <w:rsid w:val="00A73FB8"/>
    <w:rsid w:val="00A75086"/>
    <w:rsid w:val="00A763CB"/>
    <w:rsid w:val="00A801D1"/>
    <w:rsid w:val="00A81F69"/>
    <w:rsid w:val="00A85EBD"/>
    <w:rsid w:val="00A94579"/>
    <w:rsid w:val="00AA3484"/>
    <w:rsid w:val="00AA6A6C"/>
    <w:rsid w:val="00AA7E7B"/>
    <w:rsid w:val="00AB6D0F"/>
    <w:rsid w:val="00AB7858"/>
    <w:rsid w:val="00AC61A6"/>
    <w:rsid w:val="00AD1BE5"/>
    <w:rsid w:val="00AD1DD2"/>
    <w:rsid w:val="00AD2062"/>
    <w:rsid w:val="00AD2F1D"/>
    <w:rsid w:val="00AD565E"/>
    <w:rsid w:val="00AE1E46"/>
    <w:rsid w:val="00AE3F1A"/>
    <w:rsid w:val="00AE4296"/>
    <w:rsid w:val="00AF0989"/>
    <w:rsid w:val="00AF2191"/>
    <w:rsid w:val="00AF785C"/>
    <w:rsid w:val="00B17A8B"/>
    <w:rsid w:val="00B25469"/>
    <w:rsid w:val="00B336AF"/>
    <w:rsid w:val="00B3498C"/>
    <w:rsid w:val="00B43CAD"/>
    <w:rsid w:val="00B53333"/>
    <w:rsid w:val="00B55A49"/>
    <w:rsid w:val="00B64265"/>
    <w:rsid w:val="00B67F76"/>
    <w:rsid w:val="00B70EFF"/>
    <w:rsid w:val="00B7558C"/>
    <w:rsid w:val="00B818C3"/>
    <w:rsid w:val="00B866C8"/>
    <w:rsid w:val="00B9194F"/>
    <w:rsid w:val="00BA003B"/>
    <w:rsid w:val="00BB05E2"/>
    <w:rsid w:val="00BD1111"/>
    <w:rsid w:val="00BD26B6"/>
    <w:rsid w:val="00BE01C6"/>
    <w:rsid w:val="00BE4DAC"/>
    <w:rsid w:val="00BF13F8"/>
    <w:rsid w:val="00C01CFF"/>
    <w:rsid w:val="00C026F2"/>
    <w:rsid w:val="00C02D89"/>
    <w:rsid w:val="00C15B78"/>
    <w:rsid w:val="00C15FDB"/>
    <w:rsid w:val="00C2207B"/>
    <w:rsid w:val="00C22BA0"/>
    <w:rsid w:val="00C2496D"/>
    <w:rsid w:val="00C278D7"/>
    <w:rsid w:val="00C46129"/>
    <w:rsid w:val="00C4624B"/>
    <w:rsid w:val="00C529E8"/>
    <w:rsid w:val="00C5454B"/>
    <w:rsid w:val="00C6013F"/>
    <w:rsid w:val="00C71238"/>
    <w:rsid w:val="00C71561"/>
    <w:rsid w:val="00C76325"/>
    <w:rsid w:val="00C8124F"/>
    <w:rsid w:val="00C81513"/>
    <w:rsid w:val="00C84637"/>
    <w:rsid w:val="00C92AD3"/>
    <w:rsid w:val="00C93B4C"/>
    <w:rsid w:val="00CA1009"/>
    <w:rsid w:val="00CA1F32"/>
    <w:rsid w:val="00CA30B4"/>
    <w:rsid w:val="00CA610B"/>
    <w:rsid w:val="00CA72FC"/>
    <w:rsid w:val="00CB56F5"/>
    <w:rsid w:val="00CB6E04"/>
    <w:rsid w:val="00CC2512"/>
    <w:rsid w:val="00CC547F"/>
    <w:rsid w:val="00CD5D21"/>
    <w:rsid w:val="00CE2652"/>
    <w:rsid w:val="00CE7714"/>
    <w:rsid w:val="00CE7906"/>
    <w:rsid w:val="00CF0E19"/>
    <w:rsid w:val="00CF4C07"/>
    <w:rsid w:val="00D11353"/>
    <w:rsid w:val="00D129B3"/>
    <w:rsid w:val="00D27D9B"/>
    <w:rsid w:val="00D376DB"/>
    <w:rsid w:val="00D408A5"/>
    <w:rsid w:val="00D40DE9"/>
    <w:rsid w:val="00D41212"/>
    <w:rsid w:val="00D4199C"/>
    <w:rsid w:val="00D42B45"/>
    <w:rsid w:val="00D57899"/>
    <w:rsid w:val="00D57EE0"/>
    <w:rsid w:val="00D660A1"/>
    <w:rsid w:val="00D75416"/>
    <w:rsid w:val="00D77136"/>
    <w:rsid w:val="00D90BA9"/>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371B"/>
    <w:rsid w:val="00DF5124"/>
    <w:rsid w:val="00DF7F39"/>
    <w:rsid w:val="00E033AD"/>
    <w:rsid w:val="00E1702C"/>
    <w:rsid w:val="00E20B43"/>
    <w:rsid w:val="00E22EE8"/>
    <w:rsid w:val="00E23ABB"/>
    <w:rsid w:val="00E23E99"/>
    <w:rsid w:val="00E3093A"/>
    <w:rsid w:val="00E32FB0"/>
    <w:rsid w:val="00E33078"/>
    <w:rsid w:val="00E335AB"/>
    <w:rsid w:val="00E33AB6"/>
    <w:rsid w:val="00E4012C"/>
    <w:rsid w:val="00E42A8F"/>
    <w:rsid w:val="00E5223F"/>
    <w:rsid w:val="00E534F0"/>
    <w:rsid w:val="00E65568"/>
    <w:rsid w:val="00E66B4F"/>
    <w:rsid w:val="00E741D5"/>
    <w:rsid w:val="00E74474"/>
    <w:rsid w:val="00E86E93"/>
    <w:rsid w:val="00E87A6A"/>
    <w:rsid w:val="00E91087"/>
    <w:rsid w:val="00E9232A"/>
    <w:rsid w:val="00EA375A"/>
    <w:rsid w:val="00EA4D1B"/>
    <w:rsid w:val="00EB1D11"/>
    <w:rsid w:val="00EC375A"/>
    <w:rsid w:val="00EC3DC1"/>
    <w:rsid w:val="00EC63C2"/>
    <w:rsid w:val="00ED2F1C"/>
    <w:rsid w:val="00ED3D05"/>
    <w:rsid w:val="00EE64AE"/>
    <w:rsid w:val="00EE71A2"/>
    <w:rsid w:val="00F04284"/>
    <w:rsid w:val="00F06445"/>
    <w:rsid w:val="00F07114"/>
    <w:rsid w:val="00F206A7"/>
    <w:rsid w:val="00F22369"/>
    <w:rsid w:val="00F3105E"/>
    <w:rsid w:val="00F41591"/>
    <w:rsid w:val="00F41A63"/>
    <w:rsid w:val="00F4216D"/>
    <w:rsid w:val="00F43E3D"/>
    <w:rsid w:val="00F45BEB"/>
    <w:rsid w:val="00F54523"/>
    <w:rsid w:val="00F54B50"/>
    <w:rsid w:val="00F80A9F"/>
    <w:rsid w:val="00F84544"/>
    <w:rsid w:val="00F85AA7"/>
    <w:rsid w:val="00F923F7"/>
    <w:rsid w:val="00F954FA"/>
    <w:rsid w:val="00F958EA"/>
    <w:rsid w:val="00F95B1F"/>
    <w:rsid w:val="00FA05B2"/>
    <w:rsid w:val="00FA68A7"/>
    <w:rsid w:val="00FB7102"/>
    <w:rsid w:val="00FC0C51"/>
    <w:rsid w:val="00FC2B3C"/>
    <w:rsid w:val="00FD1CD8"/>
    <w:rsid w:val="00FD3789"/>
    <w:rsid w:val="00FE1B88"/>
    <w:rsid w:val="00FF62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F5 List Paragraph,List-paragraph,List Paragraph1,Dot pt,No Spacing1,List Paragraph Char Char Char,Indicator Text,Numbered Para 1,Bullet 1,Bullet Points,MAIN CONTENT,List Paragraph12,Bullet Style,Colorful List - Accent 11,Normal numbered"/>
    <w:basedOn w:val="Normal"/>
    <w:link w:val="ListParagraphChar"/>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FootnoteText">
    <w:name w:val="footnote text"/>
    <w:aliases w:val=" Char,Char"/>
    <w:basedOn w:val="Normal"/>
    <w:link w:val="FootnoteTextChar1"/>
    <w:rsid w:val="007D7195"/>
    <w:pPr>
      <w:widowControl w:val="0"/>
      <w:overflowPunct w:val="0"/>
      <w:autoSpaceDE w:val="0"/>
      <w:autoSpaceDN w:val="0"/>
      <w:adjustRightInd w:val="0"/>
      <w:spacing w:after="0" w:line="240" w:lineRule="auto"/>
      <w:textAlignment w:val="baseline"/>
    </w:pPr>
    <w:rPr>
      <w:sz w:val="20"/>
      <w:szCs w:val="20"/>
    </w:rPr>
  </w:style>
  <w:style w:type="character" w:customStyle="1" w:styleId="FootnoteTextChar">
    <w:name w:val="Footnote Text Char"/>
    <w:basedOn w:val="DefaultParagraphFont"/>
    <w:semiHidden/>
    <w:rsid w:val="007D7195"/>
  </w:style>
  <w:style w:type="character" w:styleId="FootnoteReference">
    <w:name w:val="footnote reference"/>
    <w:semiHidden/>
    <w:rsid w:val="007D7195"/>
    <w:rPr>
      <w:vertAlign w:val="superscript"/>
    </w:rPr>
  </w:style>
  <w:style w:type="character" w:customStyle="1" w:styleId="FootnoteTextChar1">
    <w:name w:val="Footnote Text Char1"/>
    <w:aliases w:val=" Char Char,Char Char"/>
    <w:link w:val="FootnoteText"/>
    <w:rsid w:val="007D7195"/>
  </w:style>
  <w:style w:type="character" w:customStyle="1" w:styleId="ListParagraphChar">
    <w:name w:val="List Paragraph Char"/>
    <w:aliases w:val="F5 List Paragraph Char,List-paragraph Char,List Paragraph1 Char,Dot pt Char,No Spacing1 Char,List Paragraph Char Char Char Char,Indicator Text Char,Numbered Para 1 Char,Bullet 1 Char,Bullet Points Char,MAIN CONTENT Char"/>
    <w:link w:val="ListParagraph"/>
    <w:uiPriority w:val="34"/>
    <w:locked/>
    <w:rsid w:val="007D7195"/>
    <w:rPr>
      <w:sz w:val="22"/>
      <w:szCs w:val="24"/>
    </w:rPr>
  </w:style>
  <w:style w:type="character" w:styleId="UnresolvedMention">
    <w:name w:val="Unresolved Mention"/>
    <w:basedOn w:val="DefaultParagraphFont"/>
    <w:uiPriority w:val="99"/>
    <w:semiHidden/>
    <w:unhideWhenUsed/>
    <w:rsid w:val="00912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789275905">
      <w:bodyDiv w:val="1"/>
      <w:marLeft w:val="0"/>
      <w:marRight w:val="0"/>
      <w:marTop w:val="0"/>
      <w:marBottom w:val="0"/>
      <w:divBdr>
        <w:top w:val="none" w:sz="0" w:space="0" w:color="auto"/>
        <w:left w:val="none" w:sz="0" w:space="0" w:color="auto"/>
        <w:bottom w:val="none" w:sz="0" w:space="0" w:color="auto"/>
        <w:right w:val="none" w:sz="0" w:space="0" w:color="auto"/>
      </w:divBdr>
      <w:divsChild>
        <w:div w:id="316223721">
          <w:marLeft w:val="0"/>
          <w:marRight w:val="0"/>
          <w:marTop w:val="0"/>
          <w:marBottom w:val="0"/>
          <w:divBdr>
            <w:top w:val="none" w:sz="0" w:space="0" w:color="auto"/>
            <w:left w:val="none" w:sz="0" w:space="0" w:color="auto"/>
            <w:bottom w:val="none" w:sz="0" w:space="0" w:color="auto"/>
            <w:right w:val="none" w:sz="0" w:space="0" w:color="auto"/>
          </w:divBdr>
          <w:divsChild>
            <w:div w:id="464587950">
              <w:marLeft w:val="0"/>
              <w:marRight w:val="0"/>
              <w:marTop w:val="0"/>
              <w:marBottom w:val="0"/>
              <w:divBdr>
                <w:top w:val="none" w:sz="0" w:space="0" w:color="auto"/>
                <w:left w:val="none" w:sz="0" w:space="0" w:color="auto"/>
                <w:bottom w:val="none" w:sz="0" w:space="0" w:color="auto"/>
                <w:right w:val="none" w:sz="0" w:space="0" w:color="auto"/>
              </w:divBdr>
            </w:div>
            <w:div w:id="178965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anna.wales@education.gov.uk"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aura.lantrua@education.gov.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beyond-the-adoption-order-challenges-intervention-disruption" TargetMode="External"/><Relationship Id="rId2" Type="http://schemas.openxmlformats.org/officeDocument/2006/relationships/hyperlink" Target="https://www.gov.uk/government/publications/investigating-special-guardianship" TargetMode="External"/><Relationship Id="rId1" Type="http://schemas.openxmlformats.org/officeDocument/2006/relationships/hyperlink" Target="https://www.gov.uk/government/collections/statistics-looked-after-children" TargetMode="External"/><Relationship Id="rId4" Type="http://schemas.openxmlformats.org/officeDocument/2006/relationships/hyperlink" Target="https://www.nuffieldfjo.org.uk/files/documents/Nuffield%20FJO_Special%20guardianship_English%20research%20studies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ad312983-9933-4586-87ae-0dd55f2c5b7f">2CYMDDFJX5CA-1263910581-386</_dlc_DocId>
    <_dlc_DocIdUrl xmlns="ad312983-9933-4586-87ae-0dd55f2c5b7f">
      <Url>https://educationgovuk.sharepoint.com/sites/sarpi/g/_layouts/15/DocIdRedir.aspx?ID=2CYMDDFJX5CA-1263910581-386</Url>
      <Description>2CYMDDFJX5CA-1263910581-386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FE54337CFEC904DB186EF2210540C9A" ma:contentTypeVersion="12" ma:contentTypeDescription="Create a new document." ma:contentTypeScope="" ma:versionID="f1956e15a294df65750eff8a09596795">
  <xsd:schema xmlns:xsd="http://www.w3.org/2001/XMLSchema" xmlns:xs="http://www.w3.org/2001/XMLSchema" xmlns:p="http://schemas.microsoft.com/office/2006/metadata/properties" xmlns:ns2="ad312983-9933-4586-87ae-0dd55f2c5b7f" xmlns:ns3="17d1197e-4deb-4718-b2f6-a4117e8a9ecd" targetNamespace="http://schemas.microsoft.com/office/2006/metadata/properties" ma:root="true" ma:fieldsID="f916f9e35b4b6ef538bec1414a5d6159" ns2:_="" ns3:_="">
    <xsd:import namespace="ad312983-9933-4586-87ae-0dd55f2c5b7f"/>
    <xsd:import namespace="17d1197e-4deb-4718-b2f6-a4117e8a9ec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d1197e-4deb-4718-b2f6-a4117e8a9ec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05173E1-DDFC-4AD1-817A-2CBA5B234C97}">
  <ds:schemaRefs>
    <ds:schemaRef ds:uri="http://schemas.openxmlformats.org/officeDocument/2006/bibliography"/>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ad312983-9933-4586-87ae-0dd55f2c5b7f"/>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A28EF018-B5EA-44FA-80CF-1E425D2A2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12983-9933-4586-87ae-0dd55f2c5b7f"/>
    <ds:schemaRef ds:uri="17d1197e-4deb-4718-b2f6-a4117e8a9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0B1C452-B94D-426B-9355-89A6C7FF744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2119</Words>
  <Characters>11639</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13731</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MAIDMENT, Christopher</cp:lastModifiedBy>
  <cp:revision>2</cp:revision>
  <cp:lastPrinted>2013-07-11T10:35:00Z</cp:lastPrinted>
  <dcterms:created xsi:type="dcterms:W3CDTF">2021-03-29T09:18:00Z</dcterms:created>
  <dcterms:modified xsi:type="dcterms:W3CDTF">2021-03-29T09:18:00Z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0x0101000FE54337CFEC904DB186EF2210540C9A</vt:lpwstr>
  </property>
  <property fmtid="{D5CDD505-2E9C-101B-9397-08002B2CF9AE}" pid="4" name="_dlc_DocIdItemGuid">
    <vt:lpwstr>7e9012af-fb3f-4307-b9fc-6ad395d05ac3</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c02f73938b5741d4934b358b31a1b80f">
    <vt:lpwstr>Official|0884c477-2e62-47ea-b19c-5af6e91124c5</vt:lpwstr>
  </property>
  <property fmtid="{D5CDD505-2E9C-101B-9397-08002B2CF9AE}" pid="12" name="p6919dbb65844893b164c5f63a6f0eeb">
    <vt:lpwstr>DfE|a484111e-5b24-4ad9-9778-c536c8c88985</vt:lpwstr>
  </property>
  <property fmtid="{D5CDD505-2E9C-101B-9397-08002B2CF9AE}" pid="13" name="f6ec388a6d534bab86a259abd1bfa088">
    <vt:lpwstr>DfE|cc08a6d4-dfde-4d0f-bd85-069ebcef80d5</vt:lpwstr>
  </property>
</Properties>
</file>