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p w14:paraId="0C4EA7E1" w14:textId="77777777" w:rsidR="005262FE" w:rsidRDefault="005262FE" w:rsidP="001E5E9B">
      <w:pPr>
        <w:pStyle w:val="Heading1"/>
        <w:rPr>
          <w:rFonts w:ascii="Arial" w:eastAsiaTheme="minorHAnsi" w:hAnsi="Arial" w:cs="Arial"/>
          <w:color w:val="auto"/>
          <w:sz w:val="40"/>
          <w:szCs w:val="40"/>
        </w:rPr>
      </w:pPr>
      <w:r w:rsidRPr="005262FE">
        <w:rPr>
          <w:rFonts w:ascii="Arial" w:eastAsiaTheme="minorHAnsi" w:hAnsi="Arial" w:cs="Arial"/>
          <w:color w:val="auto"/>
          <w:sz w:val="40"/>
          <w:szCs w:val="40"/>
        </w:rPr>
        <w:t>PR23 study of project deliverability</w:t>
      </w:r>
    </w:p>
    <w:p w14:paraId="38D7D855" w14:textId="2CCB3F78" w:rsidR="00FC6860" w:rsidRPr="00686325" w:rsidRDefault="005262FE" w:rsidP="001E5E9B">
      <w:pPr>
        <w:pStyle w:val="Heading1"/>
        <w:rPr>
          <w:sz w:val="24"/>
          <w:szCs w:val="24"/>
        </w:rPr>
      </w:pPr>
      <w:sdt>
        <w:sdtPr>
          <w:rPr>
            <w:bCs/>
            <w:sz w:val="24"/>
            <w:szCs w:val="24"/>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2-11-09T00:00:00Z">
            <w:dateFormat w:val="dd MMMM yyyy"/>
            <w:lid w:val="en-GB"/>
            <w:storeMappedDataAs w:val="dateTime"/>
            <w:calendar w:val="gregorian"/>
          </w:date>
        </w:sdtPr>
        <w:sdtEndPr/>
        <w:sdtContent>
          <w:r w:rsidR="001E5E9B" w:rsidRPr="00686325">
            <w:rPr>
              <w:bCs/>
              <w:sz w:val="24"/>
              <w:szCs w:val="24"/>
            </w:rPr>
            <w:t>09 November 2022</w:t>
          </w:r>
        </w:sdtContent>
      </w:sdt>
    </w:p>
    <w:p w14:paraId="512B2E87" w14:textId="77777777" w:rsidR="003E5612" w:rsidRDefault="003E5612" w:rsidP="003E5612"/>
    <w:p w14:paraId="0B23CADF" w14:textId="340C77EC" w:rsidR="003E5612" w:rsidRPr="00574B16" w:rsidRDefault="003E5612" w:rsidP="003E5612">
      <w:pPr>
        <w:pStyle w:val="NormalBulletround"/>
        <w:rPr>
          <w:b/>
          <w:bCs/>
          <w:color w:val="B1173B"/>
        </w:rPr>
      </w:pPr>
      <w:r w:rsidRPr="003E5612">
        <w:rPr>
          <w:b/>
          <w:bCs/>
        </w:rPr>
        <w:t xml:space="preserve">CPV Code: </w:t>
      </w:r>
      <w:r w:rsidR="005262FE" w:rsidRPr="001358EF">
        <w:rPr>
          <w:b/>
          <w:bCs/>
        </w:rPr>
        <w:t>73210000</w:t>
      </w:r>
    </w:p>
    <w:p w14:paraId="4B92FCBC" w14:textId="661C8D39" w:rsidR="00FC6860" w:rsidRPr="00574B16" w:rsidRDefault="003E5612" w:rsidP="003E5612">
      <w:pPr>
        <w:pStyle w:val="NormalBulletround"/>
        <w:rPr>
          <w:b/>
          <w:bCs/>
          <w:color w:val="B1173B"/>
        </w:rPr>
      </w:pPr>
      <w:r w:rsidRPr="003E5612">
        <w:rPr>
          <w:b/>
          <w:bCs/>
        </w:rPr>
        <w:t>Tender Reference:</w:t>
      </w:r>
      <w:r w:rsidRPr="001E5E9B">
        <w:rPr>
          <w:b/>
          <w:bCs/>
        </w:rPr>
        <w:t xml:space="preserve"> </w:t>
      </w:r>
      <w:r w:rsidR="001E5E9B" w:rsidRPr="001E5E9B">
        <w:rPr>
          <w:b/>
          <w:bCs/>
        </w:rPr>
        <w:t>ORR/CT/22-</w:t>
      </w:r>
      <w:r w:rsidR="00C35691">
        <w:rPr>
          <w:b/>
          <w:bCs/>
        </w:rPr>
        <w:t>48</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5F7009D1" w14:textId="1A1901E4" w:rsidR="0079264A" w:rsidRDefault="00FC6860">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08" w:history="1">
        <w:r w:rsidR="0079264A" w:rsidRPr="000C347F">
          <w:rPr>
            <w:rStyle w:val="Hyperlink"/>
          </w:rPr>
          <w:t>Drafting note</w:t>
        </w:r>
        <w:r w:rsidR="0079264A">
          <w:rPr>
            <w:webHidden/>
          </w:rPr>
          <w:tab/>
        </w:r>
        <w:r w:rsidR="0079264A">
          <w:rPr>
            <w:webHidden/>
          </w:rPr>
          <w:fldChar w:fldCharType="begin"/>
        </w:r>
        <w:r w:rsidR="0079264A">
          <w:rPr>
            <w:webHidden/>
          </w:rPr>
          <w:instrText xml:space="preserve"> PAGEREF _Toc111551908 \h </w:instrText>
        </w:r>
        <w:r w:rsidR="0079264A">
          <w:rPr>
            <w:webHidden/>
          </w:rPr>
        </w:r>
        <w:r w:rsidR="0079264A">
          <w:rPr>
            <w:webHidden/>
          </w:rPr>
          <w:fldChar w:fldCharType="separate"/>
        </w:r>
        <w:r w:rsidR="0079264A">
          <w:rPr>
            <w:webHidden/>
          </w:rPr>
          <w:t>3</w:t>
        </w:r>
        <w:r w:rsidR="0079264A">
          <w:rPr>
            <w:webHidden/>
          </w:rPr>
          <w:fldChar w:fldCharType="end"/>
        </w:r>
      </w:hyperlink>
    </w:p>
    <w:p w14:paraId="683571A9" w14:textId="45501F9D" w:rsidR="0079264A" w:rsidRDefault="005262FE">
      <w:pPr>
        <w:pStyle w:val="TOC2"/>
        <w:tabs>
          <w:tab w:val="right" w:pos="9628"/>
        </w:tabs>
        <w:rPr>
          <w:rFonts w:asciiTheme="minorHAnsi" w:eastAsiaTheme="minorEastAsia" w:hAnsiTheme="minorHAnsi"/>
          <w:noProof/>
          <w:sz w:val="22"/>
          <w:lang w:eastAsia="en-GB"/>
        </w:rPr>
      </w:pPr>
      <w:hyperlink w:anchor="_Toc111551909" w:history="1">
        <w:r w:rsidR="0079264A" w:rsidRPr="000C347F">
          <w:rPr>
            <w:rStyle w:val="Hyperlink"/>
            <w:noProof/>
          </w:rPr>
          <w:t>Section 1 – Introduction to ORR</w:t>
        </w:r>
        <w:r w:rsidR="0079264A">
          <w:rPr>
            <w:noProof/>
            <w:webHidden/>
          </w:rPr>
          <w:tab/>
        </w:r>
        <w:r w:rsidR="0079264A">
          <w:rPr>
            <w:noProof/>
            <w:webHidden/>
          </w:rPr>
          <w:fldChar w:fldCharType="begin"/>
        </w:r>
        <w:r w:rsidR="0079264A">
          <w:rPr>
            <w:noProof/>
            <w:webHidden/>
          </w:rPr>
          <w:instrText xml:space="preserve"> PAGEREF _Toc111551909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5565F52" w14:textId="2675960D" w:rsidR="0079264A" w:rsidRDefault="005262FE">
      <w:pPr>
        <w:pStyle w:val="TOC2"/>
        <w:tabs>
          <w:tab w:val="right" w:pos="9628"/>
        </w:tabs>
        <w:rPr>
          <w:rFonts w:asciiTheme="minorHAnsi" w:eastAsiaTheme="minorEastAsia" w:hAnsiTheme="minorHAnsi"/>
          <w:noProof/>
          <w:sz w:val="22"/>
          <w:lang w:eastAsia="en-GB"/>
        </w:rPr>
      </w:pPr>
      <w:hyperlink w:anchor="_Toc111551910" w:history="1">
        <w:r w:rsidR="0079264A" w:rsidRPr="000C347F">
          <w:rPr>
            <w:rStyle w:val="Hyperlink"/>
            <w:noProof/>
          </w:rPr>
          <w:t>Section 2 – Statement of Requirement</w:t>
        </w:r>
        <w:r w:rsidR="0079264A">
          <w:rPr>
            <w:noProof/>
            <w:webHidden/>
          </w:rPr>
          <w:tab/>
        </w:r>
        <w:r w:rsidR="0079264A">
          <w:rPr>
            <w:noProof/>
            <w:webHidden/>
          </w:rPr>
          <w:fldChar w:fldCharType="begin"/>
        </w:r>
        <w:r w:rsidR="0079264A">
          <w:rPr>
            <w:noProof/>
            <w:webHidden/>
          </w:rPr>
          <w:instrText xml:space="preserve"> PAGEREF _Toc111551910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3D93C174" w14:textId="2CBF8AF4" w:rsidR="0079264A" w:rsidRDefault="005262FE">
      <w:pPr>
        <w:pStyle w:val="TOC2"/>
        <w:tabs>
          <w:tab w:val="right" w:pos="9628"/>
        </w:tabs>
        <w:rPr>
          <w:rFonts w:asciiTheme="minorHAnsi" w:eastAsiaTheme="minorEastAsia" w:hAnsiTheme="minorHAnsi"/>
          <w:noProof/>
          <w:sz w:val="22"/>
          <w:lang w:eastAsia="en-GB"/>
        </w:rPr>
      </w:pPr>
      <w:hyperlink w:anchor="_Toc111551911" w:history="1">
        <w:r w:rsidR="0079264A" w:rsidRPr="000C347F">
          <w:rPr>
            <w:rStyle w:val="Hyperlink"/>
            <w:noProof/>
          </w:rPr>
          <w:t>Section 3 – Tender Response &amp; Evaluation Criteria</w:t>
        </w:r>
        <w:r w:rsidR="0079264A">
          <w:rPr>
            <w:noProof/>
            <w:webHidden/>
          </w:rPr>
          <w:tab/>
        </w:r>
        <w:r w:rsidR="0079264A">
          <w:rPr>
            <w:noProof/>
            <w:webHidden/>
          </w:rPr>
          <w:fldChar w:fldCharType="begin"/>
        </w:r>
        <w:r w:rsidR="0079264A">
          <w:rPr>
            <w:noProof/>
            <w:webHidden/>
          </w:rPr>
          <w:instrText xml:space="preserve"> PAGEREF _Toc111551911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87151DC" w14:textId="5882C4E8" w:rsidR="0079264A" w:rsidRDefault="005262FE">
      <w:pPr>
        <w:pStyle w:val="TOC2"/>
        <w:tabs>
          <w:tab w:val="right" w:pos="9628"/>
        </w:tabs>
        <w:rPr>
          <w:rFonts w:asciiTheme="minorHAnsi" w:eastAsiaTheme="minorEastAsia" w:hAnsiTheme="minorHAnsi"/>
          <w:noProof/>
          <w:sz w:val="22"/>
          <w:lang w:eastAsia="en-GB"/>
        </w:rPr>
      </w:pPr>
      <w:hyperlink w:anchor="_Toc111551912" w:history="1">
        <w:r w:rsidR="0079264A" w:rsidRPr="000C347F">
          <w:rPr>
            <w:rStyle w:val="Hyperlink"/>
            <w:noProof/>
          </w:rPr>
          <w:t>Section 4 – Procurement details – to be completed by the Procurement team</w:t>
        </w:r>
        <w:r w:rsidR="0079264A">
          <w:rPr>
            <w:noProof/>
            <w:webHidden/>
          </w:rPr>
          <w:tab/>
        </w:r>
        <w:r w:rsidR="0079264A">
          <w:rPr>
            <w:noProof/>
            <w:webHidden/>
          </w:rPr>
          <w:fldChar w:fldCharType="begin"/>
        </w:r>
        <w:r w:rsidR="0079264A">
          <w:rPr>
            <w:noProof/>
            <w:webHidden/>
          </w:rPr>
          <w:instrText xml:space="preserve"> PAGEREF _Toc111551912 \h </w:instrText>
        </w:r>
        <w:r w:rsidR="0079264A">
          <w:rPr>
            <w:noProof/>
            <w:webHidden/>
          </w:rPr>
        </w:r>
        <w:r w:rsidR="0079264A">
          <w:rPr>
            <w:noProof/>
            <w:webHidden/>
          </w:rPr>
          <w:fldChar w:fldCharType="separate"/>
        </w:r>
        <w:r w:rsidR="0079264A">
          <w:rPr>
            <w:noProof/>
            <w:webHidden/>
          </w:rPr>
          <w:t>4</w:t>
        </w:r>
        <w:r w:rsidR="0079264A">
          <w:rPr>
            <w:noProof/>
            <w:webHidden/>
          </w:rPr>
          <w:fldChar w:fldCharType="end"/>
        </w:r>
      </w:hyperlink>
    </w:p>
    <w:p w14:paraId="5E5E5324" w14:textId="56140CFC" w:rsidR="0079264A" w:rsidRDefault="005262FE">
      <w:pPr>
        <w:pStyle w:val="TOC1"/>
        <w:rPr>
          <w:rFonts w:asciiTheme="minorHAnsi" w:eastAsiaTheme="minorEastAsia" w:hAnsiTheme="minorHAnsi"/>
          <w:b w:val="0"/>
          <w:bCs w:val="0"/>
          <w:color w:val="auto"/>
          <w:sz w:val="22"/>
          <w:lang w:eastAsia="en-GB"/>
        </w:rPr>
      </w:pP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5262FE">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sidR="0079264A">
          <w:rPr>
            <w:webHidden/>
          </w:rPr>
          <w:t>6</w:t>
        </w:r>
        <w:r w:rsidR="0079264A">
          <w:rPr>
            <w:webHidden/>
          </w:rPr>
          <w:fldChar w:fldCharType="end"/>
        </w:r>
      </w:hyperlink>
    </w:p>
    <w:p w14:paraId="4F774D3D" w14:textId="31E39395" w:rsidR="0079264A" w:rsidRDefault="005262FE">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EDB0490" w14:textId="483045E0" w:rsidR="0079264A" w:rsidRDefault="005262FE">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34AD544" w14:textId="37367FC3" w:rsidR="0079264A" w:rsidRDefault="005262FE">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sidR="0079264A">
          <w:rPr>
            <w:webHidden/>
          </w:rPr>
          <w:t>8</w:t>
        </w:r>
        <w:r w:rsidR="0079264A">
          <w:rPr>
            <w:webHidden/>
          </w:rPr>
          <w:fldChar w:fldCharType="end"/>
        </w:r>
      </w:hyperlink>
    </w:p>
    <w:p w14:paraId="08E45A16" w14:textId="0FA4F6E4" w:rsidR="0079264A" w:rsidRDefault="005262FE">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sidR="0079264A">
          <w:rPr>
            <w:webHidden/>
          </w:rPr>
          <w:t>10</w:t>
        </w:r>
        <w:r w:rsidR="0079264A">
          <w:rPr>
            <w:webHidden/>
          </w:rPr>
          <w:fldChar w:fldCharType="end"/>
        </w:r>
      </w:hyperlink>
    </w:p>
    <w:p w14:paraId="3B60C34D" w14:textId="3CB68232" w:rsidR="0079264A" w:rsidRDefault="005262FE">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0A313B7D" w14:textId="65C3A45A" w:rsidR="0079264A" w:rsidRDefault="005262FE">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1DC3EE13" w14:textId="7B86328E" w:rsidR="0079264A" w:rsidRDefault="005262FE">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sidR="0079264A">
          <w:rPr>
            <w:noProof/>
            <w:webHidden/>
          </w:rPr>
          <w:t>11</w:t>
        </w:r>
        <w:r w:rsidR="0079264A">
          <w:rPr>
            <w:noProof/>
            <w:webHidden/>
          </w:rPr>
          <w:fldChar w:fldCharType="end"/>
        </w:r>
      </w:hyperlink>
    </w:p>
    <w:p w14:paraId="00910335" w14:textId="52C1808B" w:rsidR="0079264A" w:rsidRDefault="005262FE">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sidR="0079264A">
          <w:rPr>
            <w:noProof/>
            <w:webHidden/>
          </w:rPr>
          <w:t>12</w:t>
        </w:r>
        <w:r w:rsidR="0079264A">
          <w:rPr>
            <w:noProof/>
            <w:webHidden/>
          </w:rPr>
          <w:fldChar w:fldCharType="end"/>
        </w:r>
      </w:hyperlink>
    </w:p>
    <w:p w14:paraId="5634B37D" w14:textId="2C40B131" w:rsidR="0079264A" w:rsidRDefault="005262FE">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sidR="0079264A">
          <w:rPr>
            <w:noProof/>
            <w:webHidden/>
          </w:rPr>
          <w:t>13</w:t>
        </w:r>
        <w:r w:rsidR="0079264A">
          <w:rPr>
            <w:noProof/>
            <w:webHidden/>
          </w:rPr>
          <w:fldChar w:fldCharType="end"/>
        </w:r>
      </w:hyperlink>
    </w:p>
    <w:p w14:paraId="3ED694D5" w14:textId="3E2ADDB8" w:rsidR="0079264A" w:rsidRDefault="005262FE">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sidR="0079264A">
          <w:rPr>
            <w:noProof/>
            <w:webHidden/>
          </w:rPr>
          <w:t>14</w:t>
        </w:r>
        <w:r w:rsidR="0079264A">
          <w:rPr>
            <w:noProof/>
            <w:webHidden/>
          </w:rPr>
          <w:fldChar w:fldCharType="end"/>
        </w:r>
      </w:hyperlink>
    </w:p>
    <w:p w14:paraId="49188D30" w14:textId="03037883" w:rsidR="0079264A" w:rsidRDefault="005262FE">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sidR="0079264A">
          <w:rPr>
            <w:webHidden/>
          </w:rPr>
          <w:t>16</w:t>
        </w:r>
        <w:r w:rsidR="0079264A">
          <w:rPr>
            <w:webHidden/>
          </w:rPr>
          <w:fldChar w:fldCharType="end"/>
        </w:r>
      </w:hyperlink>
    </w:p>
    <w:p w14:paraId="4DED5429" w14:textId="00F4C96E" w:rsidR="0079264A" w:rsidRDefault="005262FE">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sidR="0079264A">
          <w:rPr>
            <w:noProof/>
            <w:webHidden/>
          </w:rPr>
          <w:t>16</w:t>
        </w:r>
        <w:r w:rsidR="0079264A">
          <w:rPr>
            <w:noProof/>
            <w:webHidden/>
          </w:rPr>
          <w:fldChar w:fldCharType="end"/>
        </w:r>
      </w:hyperlink>
    </w:p>
    <w:p w14:paraId="24C28E0D" w14:textId="15183F51" w:rsidR="0079264A" w:rsidRDefault="005262FE">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sidR="0079264A">
          <w:rPr>
            <w:noProof/>
            <w:webHidden/>
          </w:rPr>
          <w:t>17</w:t>
        </w:r>
        <w:r w:rsidR="0079264A">
          <w:rPr>
            <w:noProof/>
            <w:webHidden/>
          </w:rPr>
          <w:fldChar w:fldCharType="end"/>
        </w:r>
      </w:hyperlink>
    </w:p>
    <w:p w14:paraId="56D04470" w14:textId="3033ED1C" w:rsidR="0079264A" w:rsidRDefault="005262FE">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sidR="0079264A">
          <w:rPr>
            <w:webHidden/>
          </w:rPr>
          <w:t>21</w:t>
        </w:r>
        <w:r w:rsidR="0079264A">
          <w:rPr>
            <w:webHidden/>
          </w:rPr>
          <w:fldChar w:fldCharType="end"/>
        </w:r>
      </w:hyperlink>
    </w:p>
    <w:p w14:paraId="0EDE73FA" w14:textId="3890DE96" w:rsidR="0079264A" w:rsidRDefault="005262FE">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0713F7E5" w14:textId="66E19FC9" w:rsidR="0079264A" w:rsidRDefault="005262FE">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6B48D324" w14:textId="2419B6E7"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49C40AA4" w:rsidR="00A02455" w:rsidRPr="00686325" w:rsidRDefault="00A02455" w:rsidP="00A02455">
      <w:pPr>
        <w:rPr>
          <w:rFonts w:cs="Arial"/>
          <w:b/>
          <w:sz w:val="40"/>
          <w:szCs w:val="40"/>
        </w:rPr>
      </w:pPr>
      <w:r>
        <w:t xml:space="preserve">The purpose of this document is to invite proposals for </w:t>
      </w:r>
      <w:r w:rsidR="00686325" w:rsidRPr="00686325">
        <w:t>Regulatory good practice, incentives and benchmarking package</w:t>
      </w:r>
      <w:r w:rsidR="00686325">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7DCD4A92" w14:textId="77777777" w:rsidR="00365B11" w:rsidRDefault="00365B11" w:rsidP="00490915">
      <w:pPr>
        <w:pStyle w:val="Heading3"/>
      </w:pPr>
      <w:bookmarkStart w:id="7" w:name="_Toc111551916"/>
    </w:p>
    <w:p w14:paraId="3D22F1BB" w14:textId="4D457CB0" w:rsidR="00490915" w:rsidRDefault="00490915" w:rsidP="00490915">
      <w:pPr>
        <w:pStyle w:val="Heading3"/>
      </w:pPr>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7498B92F" w14:textId="77777777" w:rsidR="00C35691" w:rsidRPr="00C35691" w:rsidRDefault="00C35691" w:rsidP="00C35691">
      <w:pPr>
        <w:spacing w:line="256" w:lineRule="auto"/>
        <w:rPr>
          <w:rFonts w:cs="Arial"/>
          <w:szCs w:val="24"/>
          <w:lang w:val="en-US"/>
        </w:rPr>
      </w:pPr>
      <w:bookmarkStart w:id="11" w:name="_Toc111551920"/>
      <w:r w:rsidRPr="00C35691">
        <w:rPr>
          <w:rFonts w:cs="Arial"/>
          <w:szCs w:val="24"/>
          <w:lang w:val="en-US"/>
        </w:rPr>
        <w:t xml:space="preserve">ORR’s </w:t>
      </w:r>
      <w:hyperlink r:id="rId20" w:history="1">
        <w:r w:rsidRPr="00C35691">
          <w:rPr>
            <w:rStyle w:val="Hyperlink"/>
            <w:rFonts w:cs="Arial"/>
            <w:szCs w:val="24"/>
            <w:lang w:val="en-US"/>
          </w:rPr>
          <w:t>Periodic Review 2023 (PR23)</w:t>
        </w:r>
      </w:hyperlink>
      <w:r w:rsidRPr="00C35691">
        <w:rPr>
          <w:rFonts w:cs="Arial"/>
          <w:szCs w:val="24"/>
          <w:lang w:val="en-US"/>
        </w:rPr>
        <w:t xml:space="preserve"> will determine Network Rail’s funding and outputs for the five years from 1 April 2024 – 31 March 2029. The focus of our review will be safety, performance, asset sustainability and efficiency.</w:t>
      </w:r>
    </w:p>
    <w:p w14:paraId="22053304" w14:textId="77777777" w:rsidR="00C35691" w:rsidRPr="00C35691" w:rsidRDefault="00C35691" w:rsidP="00C35691">
      <w:pPr>
        <w:spacing w:line="256" w:lineRule="auto"/>
        <w:rPr>
          <w:rFonts w:cs="Arial"/>
          <w:szCs w:val="24"/>
          <w:lang w:val="en-US"/>
        </w:rPr>
      </w:pPr>
      <w:r w:rsidRPr="00C35691">
        <w:rPr>
          <w:rFonts w:cs="Arial"/>
          <w:szCs w:val="24"/>
          <w:lang w:val="en-US"/>
        </w:rPr>
        <w:t xml:space="preserve">When assessing Network Rail’s plans, we will need to understand the balance of these factors on the delivery of projects, including any barriers to deliverability. </w:t>
      </w:r>
    </w:p>
    <w:p w14:paraId="712D5072" w14:textId="77777777" w:rsidR="00C35691" w:rsidRPr="00C35691" w:rsidRDefault="00C35691" w:rsidP="00C35691">
      <w:pPr>
        <w:pStyle w:val="Heading3"/>
        <w:rPr>
          <w:rFonts w:eastAsiaTheme="minorHAnsi" w:cs="Arial"/>
          <w:b w:val="0"/>
          <w:color w:val="auto"/>
          <w:sz w:val="24"/>
          <w:lang w:val="en-US"/>
        </w:rPr>
      </w:pPr>
      <w:r w:rsidRPr="00C35691">
        <w:rPr>
          <w:rFonts w:eastAsiaTheme="minorHAnsi" w:cs="Arial"/>
          <w:b w:val="0"/>
          <w:color w:val="auto"/>
          <w:sz w:val="24"/>
          <w:lang w:val="en-US"/>
        </w:rPr>
        <w:t xml:space="preserve">At the same time, ORR is also commencing a Periodic Review (PR24) of the High Speed network between London and the Channel Tunnel (HS1) and we perform economic regulation of the Strategic Road Network. Hence, we are also interested in the potential to benchmark between Network Rail, HS1’s suppliers and National Highways, who share many of the same challenges in delivering infrastructure projects.   </w:t>
      </w:r>
    </w:p>
    <w:p w14:paraId="74919ACA" w14:textId="56074D4C" w:rsidR="00F20E70" w:rsidRDefault="00F20E70" w:rsidP="00C35691">
      <w:pPr>
        <w:pStyle w:val="Heading3"/>
      </w:pPr>
      <w:r>
        <w:t>2.2 Project Objectives and Scope</w:t>
      </w:r>
      <w:bookmarkEnd w:id="11"/>
    </w:p>
    <w:p w14:paraId="7B55CD8D" w14:textId="77777777" w:rsidR="00C35691" w:rsidRPr="00C35691" w:rsidRDefault="00C35691" w:rsidP="00C35691">
      <w:pPr>
        <w:spacing w:line="256" w:lineRule="auto"/>
        <w:rPr>
          <w:rFonts w:cs="Arial"/>
          <w:szCs w:val="24"/>
          <w:lang w:val="en-US"/>
        </w:rPr>
      </w:pPr>
      <w:bookmarkStart w:id="12" w:name="_Toc111551921"/>
      <w:r w:rsidRPr="00C35691">
        <w:rPr>
          <w:rFonts w:cs="Arial"/>
          <w:szCs w:val="24"/>
          <w:lang w:val="en-US"/>
        </w:rPr>
        <w:t>We require a benchmarking study of the factors that impact the planning, forecasting and deliverability of UK infrastructure projects across different sectors. We envision this would require a contractor to compile qualitative and quantitative evidence about the factors affecting deliverability of capital projects (renewals and enhancements), then analyse this information to establish the key factors which are currently governing deliverability. By deliverability, we mean whether or not projects can be delivered:</w:t>
      </w:r>
    </w:p>
    <w:p w14:paraId="25BB8CCA" w14:textId="77777777" w:rsidR="00C35691" w:rsidRPr="00C35691" w:rsidRDefault="00C35691" w:rsidP="00C35691">
      <w:pPr>
        <w:pStyle w:val="ListParagraph"/>
        <w:numPr>
          <w:ilvl w:val="0"/>
          <w:numId w:val="36"/>
        </w:numPr>
        <w:spacing w:line="256" w:lineRule="auto"/>
        <w:rPr>
          <w:rFonts w:cs="Arial"/>
          <w:szCs w:val="24"/>
          <w:lang w:val="en-US"/>
        </w:rPr>
      </w:pPr>
      <w:r w:rsidRPr="00C35691">
        <w:rPr>
          <w:rFonts w:cs="Arial"/>
          <w:szCs w:val="24"/>
          <w:lang w:val="en-US"/>
        </w:rPr>
        <w:t xml:space="preserve">on schedule; </w:t>
      </w:r>
    </w:p>
    <w:p w14:paraId="2714F0E2" w14:textId="77777777" w:rsidR="00C35691" w:rsidRPr="00C35691" w:rsidRDefault="00C35691" w:rsidP="00C35691">
      <w:pPr>
        <w:pStyle w:val="ListParagraph"/>
        <w:numPr>
          <w:ilvl w:val="0"/>
          <w:numId w:val="36"/>
        </w:numPr>
        <w:spacing w:line="256" w:lineRule="auto"/>
        <w:rPr>
          <w:rFonts w:cs="Arial"/>
          <w:szCs w:val="24"/>
          <w:lang w:val="en-US"/>
        </w:rPr>
      </w:pPr>
      <w:r w:rsidRPr="00C35691">
        <w:rPr>
          <w:rFonts w:cs="Arial"/>
          <w:szCs w:val="24"/>
          <w:lang w:val="en-US"/>
        </w:rPr>
        <w:t>with efficient costs; and</w:t>
      </w:r>
    </w:p>
    <w:p w14:paraId="6969DD39" w14:textId="77777777" w:rsidR="00C35691" w:rsidRPr="00C35691" w:rsidRDefault="00C35691" w:rsidP="00C35691">
      <w:pPr>
        <w:pStyle w:val="ListParagraph"/>
        <w:numPr>
          <w:ilvl w:val="0"/>
          <w:numId w:val="36"/>
        </w:numPr>
        <w:spacing w:line="256" w:lineRule="auto"/>
        <w:rPr>
          <w:rFonts w:cs="Arial"/>
          <w:szCs w:val="24"/>
          <w:lang w:val="en-US"/>
        </w:rPr>
      </w:pPr>
      <w:r w:rsidRPr="00C35691">
        <w:rPr>
          <w:rFonts w:cs="Arial"/>
          <w:szCs w:val="24"/>
          <w:lang w:val="en-US"/>
        </w:rPr>
        <w:t xml:space="preserve">meeting their output specifications or quality standards. </w:t>
      </w:r>
    </w:p>
    <w:p w14:paraId="1D58CCB8" w14:textId="77777777" w:rsidR="00C35691" w:rsidRPr="00C35691" w:rsidRDefault="00C35691" w:rsidP="00C35691">
      <w:pPr>
        <w:spacing w:line="256" w:lineRule="auto"/>
        <w:rPr>
          <w:rFonts w:cs="Arial"/>
          <w:szCs w:val="24"/>
          <w:lang w:val="en-US"/>
        </w:rPr>
      </w:pPr>
      <w:r w:rsidRPr="00C35691">
        <w:rPr>
          <w:rFonts w:cs="Arial"/>
          <w:szCs w:val="24"/>
          <w:lang w:val="en-US"/>
        </w:rPr>
        <w:t xml:space="preserve">ORR is able to source qualitative and quantitative information through our Business As Usual engagement with project sponsors, project managers and government investment leads from across sectors. But we expect the contractor will need to undertake additional engagement with these parties to fully understand their approach to planning renewals and enhancements of major infrastructure. </w:t>
      </w:r>
    </w:p>
    <w:p w14:paraId="72B26FBB" w14:textId="77777777" w:rsidR="00C35691" w:rsidRPr="00C35691" w:rsidRDefault="00C35691" w:rsidP="00C35691">
      <w:pPr>
        <w:spacing w:after="120" w:line="256" w:lineRule="auto"/>
        <w:rPr>
          <w:rFonts w:cs="Arial"/>
          <w:bCs/>
          <w:szCs w:val="24"/>
          <w:lang w:val="en-US"/>
        </w:rPr>
      </w:pPr>
      <w:r w:rsidRPr="00C35691">
        <w:rPr>
          <w:rFonts w:cs="Arial"/>
          <w:szCs w:val="24"/>
          <w:lang w:val="en-US"/>
        </w:rPr>
        <w:t xml:space="preserve">We welcome proposals from bidders for any proven approaches for deliverability benchmarking, which can account for different constraints between sectors or projects; and which can examine different delivery models and approaches, contrasting them and offering explanations for their benefits and risks. </w:t>
      </w:r>
    </w:p>
    <w:p w14:paraId="42753E50" w14:textId="77777777" w:rsidR="00C35691" w:rsidRPr="00C35691" w:rsidRDefault="00C35691" w:rsidP="00C35691">
      <w:pPr>
        <w:spacing w:after="120" w:line="256" w:lineRule="auto"/>
        <w:rPr>
          <w:rFonts w:cs="Arial"/>
          <w:bCs/>
          <w:szCs w:val="24"/>
          <w:lang w:val="en-US"/>
        </w:rPr>
      </w:pPr>
      <w:r w:rsidRPr="00C35691">
        <w:rPr>
          <w:rFonts w:cs="Arial"/>
          <w:bCs/>
          <w:szCs w:val="24"/>
          <w:lang w:val="en-US"/>
        </w:rPr>
        <w:t xml:space="preserve">It will be up to the contractor to identify the key factors which are currently impacting deliverability, then to determine available data which can be used to capture these factors, in order to benchmark between Network Rail regions; between Network Rail and publicly available data in other industries; and (if possible) using ORR’s data to benchmark across </w:t>
      </w:r>
      <w:r w:rsidRPr="00C35691">
        <w:rPr>
          <w:rFonts w:cs="Arial"/>
          <w:bCs/>
          <w:szCs w:val="24"/>
          <w:lang w:val="en-US"/>
        </w:rPr>
        <w:lastRenderedPageBreak/>
        <w:t>HS1 and National Highways. Again, it is up to the contractor to identify the key factors, but we have listed some suggestions below, to help bidders understand ORR’s current thinking:</w:t>
      </w:r>
    </w:p>
    <w:p w14:paraId="26E453C3" w14:textId="77777777" w:rsidR="00C35691" w:rsidRPr="00C35691" w:rsidRDefault="00C35691" w:rsidP="00C35691">
      <w:pPr>
        <w:pStyle w:val="ListParagraph"/>
        <w:numPr>
          <w:ilvl w:val="0"/>
          <w:numId w:val="37"/>
        </w:numPr>
        <w:spacing w:after="120" w:line="256" w:lineRule="auto"/>
        <w:rPr>
          <w:rFonts w:cs="Arial"/>
          <w:bCs/>
          <w:szCs w:val="24"/>
          <w:lang w:val="en-US"/>
        </w:rPr>
      </w:pPr>
      <w:r w:rsidRPr="00C35691">
        <w:rPr>
          <w:rFonts w:cs="Arial"/>
          <w:bCs/>
          <w:szCs w:val="24"/>
          <w:lang w:val="en-US"/>
        </w:rPr>
        <w:t>Delivery / contracting model (e.g. ‘turnkey’ contract vs multiple tiers of management and sub-contractors; single framework supplier vs open market tender for every job, etc)</w:t>
      </w:r>
    </w:p>
    <w:p w14:paraId="206E2B5F" w14:textId="77777777" w:rsidR="00C35691" w:rsidRPr="00C35691" w:rsidRDefault="00C35691" w:rsidP="00C35691">
      <w:pPr>
        <w:pStyle w:val="ListParagraph"/>
        <w:numPr>
          <w:ilvl w:val="0"/>
          <w:numId w:val="37"/>
        </w:numPr>
        <w:spacing w:after="120" w:line="256" w:lineRule="auto"/>
        <w:rPr>
          <w:rFonts w:cs="Arial"/>
          <w:bCs/>
          <w:szCs w:val="24"/>
          <w:lang w:val="en-US"/>
        </w:rPr>
      </w:pPr>
      <w:r w:rsidRPr="00C35691">
        <w:rPr>
          <w:rFonts w:cs="Arial"/>
          <w:bCs/>
          <w:szCs w:val="24"/>
          <w:lang w:val="en-US"/>
        </w:rPr>
        <w:t>In-house vs external sourcing for labour / plant / materials</w:t>
      </w:r>
    </w:p>
    <w:p w14:paraId="3D829296" w14:textId="77777777" w:rsidR="00C35691" w:rsidRPr="00C35691" w:rsidRDefault="00C35691" w:rsidP="00C35691">
      <w:pPr>
        <w:pStyle w:val="ListParagraph"/>
        <w:numPr>
          <w:ilvl w:val="0"/>
          <w:numId w:val="37"/>
        </w:numPr>
        <w:spacing w:after="120" w:line="256" w:lineRule="auto"/>
        <w:rPr>
          <w:rFonts w:cs="Arial"/>
          <w:bCs/>
          <w:szCs w:val="24"/>
          <w:lang w:val="en-US"/>
        </w:rPr>
      </w:pPr>
      <w:r w:rsidRPr="00C35691">
        <w:rPr>
          <w:rFonts w:cs="Arial"/>
          <w:bCs/>
          <w:szCs w:val="24"/>
          <w:lang w:val="en-US"/>
        </w:rPr>
        <w:t>Competence &amp; salaries (e.g. pay-grade and experience level of project sponsors)</w:t>
      </w:r>
    </w:p>
    <w:p w14:paraId="553E4B60" w14:textId="77777777" w:rsidR="00C35691" w:rsidRPr="00C35691" w:rsidRDefault="00C35691" w:rsidP="00C35691">
      <w:pPr>
        <w:pStyle w:val="ListParagraph"/>
        <w:numPr>
          <w:ilvl w:val="0"/>
          <w:numId w:val="37"/>
        </w:numPr>
        <w:spacing w:after="120" w:line="256" w:lineRule="auto"/>
        <w:rPr>
          <w:rFonts w:cs="Arial"/>
          <w:bCs/>
          <w:szCs w:val="24"/>
          <w:lang w:val="en-US"/>
        </w:rPr>
      </w:pPr>
      <w:r w:rsidRPr="00C35691">
        <w:rPr>
          <w:rFonts w:cs="Arial"/>
          <w:bCs/>
          <w:szCs w:val="24"/>
          <w:lang w:val="en-US"/>
        </w:rPr>
        <w:t xml:space="preserve">Governance &amp; change management (e.g. how much did scope change) </w:t>
      </w:r>
    </w:p>
    <w:p w14:paraId="51DE7545" w14:textId="77777777" w:rsidR="00C35691" w:rsidRPr="00C35691" w:rsidRDefault="00C35691" w:rsidP="00C35691">
      <w:pPr>
        <w:pStyle w:val="ListParagraph"/>
        <w:numPr>
          <w:ilvl w:val="0"/>
          <w:numId w:val="37"/>
        </w:numPr>
        <w:spacing w:after="120" w:line="256" w:lineRule="auto"/>
        <w:rPr>
          <w:rFonts w:cs="Arial"/>
          <w:bCs/>
          <w:szCs w:val="24"/>
          <w:lang w:val="en-US"/>
        </w:rPr>
      </w:pPr>
      <w:r w:rsidRPr="00C35691">
        <w:rPr>
          <w:rFonts w:cs="Arial"/>
          <w:bCs/>
          <w:szCs w:val="24"/>
          <w:lang w:val="en-US"/>
        </w:rPr>
        <w:t>Portfolio priorities (e.g. are projects competing for funding or resources)</w:t>
      </w:r>
    </w:p>
    <w:p w14:paraId="5E45B846" w14:textId="77777777" w:rsidR="00C35691" w:rsidRPr="00C35691" w:rsidRDefault="00C35691" w:rsidP="00C35691">
      <w:pPr>
        <w:pStyle w:val="ListParagraph"/>
        <w:numPr>
          <w:ilvl w:val="0"/>
          <w:numId w:val="37"/>
        </w:numPr>
        <w:spacing w:after="120" w:line="256" w:lineRule="auto"/>
        <w:rPr>
          <w:rFonts w:cs="Arial"/>
          <w:bCs/>
          <w:szCs w:val="24"/>
          <w:lang w:val="en-US"/>
        </w:rPr>
      </w:pPr>
      <w:r w:rsidRPr="00C35691">
        <w:rPr>
          <w:rFonts w:cs="Arial"/>
          <w:bCs/>
          <w:szCs w:val="24"/>
          <w:lang w:val="en-US"/>
        </w:rPr>
        <w:t>Access &amp; stakeholder constraints (e.g. how hard is it to get possessions, compensation rates for operators, neighbours etc)</w:t>
      </w:r>
    </w:p>
    <w:p w14:paraId="33BB37F6" w14:textId="77777777" w:rsidR="00C35691" w:rsidRPr="00C35691" w:rsidRDefault="00C35691" w:rsidP="00C35691">
      <w:pPr>
        <w:pStyle w:val="ListParagraph"/>
        <w:numPr>
          <w:ilvl w:val="0"/>
          <w:numId w:val="37"/>
        </w:numPr>
        <w:spacing w:after="120" w:line="256" w:lineRule="auto"/>
        <w:rPr>
          <w:rFonts w:cs="Arial"/>
          <w:bCs/>
          <w:szCs w:val="24"/>
          <w:lang w:val="en-US"/>
        </w:rPr>
      </w:pPr>
      <w:r w:rsidRPr="00C35691">
        <w:rPr>
          <w:rFonts w:cs="Arial"/>
          <w:bCs/>
          <w:szCs w:val="24"/>
          <w:lang w:val="en-US"/>
        </w:rPr>
        <w:t>Permitting constraints (e.g. environmental permits, TWAOs etc)</w:t>
      </w:r>
    </w:p>
    <w:p w14:paraId="305EACBD" w14:textId="77777777" w:rsidR="00C35691" w:rsidRPr="00C35691" w:rsidRDefault="00C35691" w:rsidP="00C35691">
      <w:pPr>
        <w:pStyle w:val="ListParagraph"/>
        <w:numPr>
          <w:ilvl w:val="0"/>
          <w:numId w:val="37"/>
        </w:numPr>
        <w:spacing w:after="120" w:line="256" w:lineRule="auto"/>
        <w:rPr>
          <w:rFonts w:cs="Arial"/>
          <w:bCs/>
          <w:szCs w:val="24"/>
          <w:lang w:val="en-US"/>
        </w:rPr>
      </w:pPr>
      <w:r w:rsidRPr="00C35691">
        <w:rPr>
          <w:rFonts w:cs="Arial"/>
          <w:bCs/>
          <w:szCs w:val="24"/>
          <w:lang w:val="en-US"/>
        </w:rPr>
        <w:t>Environmental constraints (e.g. protected species, extreme weather impacting site etc)</w:t>
      </w:r>
    </w:p>
    <w:p w14:paraId="3B15965E" w14:textId="77777777" w:rsidR="00C35691" w:rsidRPr="00C35691" w:rsidRDefault="00C35691" w:rsidP="00C35691">
      <w:pPr>
        <w:pStyle w:val="ListParagraph"/>
        <w:numPr>
          <w:ilvl w:val="0"/>
          <w:numId w:val="37"/>
        </w:numPr>
        <w:spacing w:after="120" w:line="256" w:lineRule="auto"/>
        <w:rPr>
          <w:rFonts w:cs="Arial"/>
          <w:bCs/>
          <w:szCs w:val="24"/>
          <w:lang w:val="en-US"/>
        </w:rPr>
      </w:pPr>
      <w:r w:rsidRPr="00C35691">
        <w:rPr>
          <w:rFonts w:cs="Arial"/>
          <w:bCs/>
          <w:szCs w:val="24"/>
          <w:lang w:val="en-US"/>
        </w:rPr>
        <w:t xml:space="preserve">Other external constraints (e.g. inflation*, changing work patterns post-Covid, etc) </w:t>
      </w:r>
    </w:p>
    <w:p w14:paraId="54744127" w14:textId="5A1D4AAC" w:rsidR="00C35691" w:rsidRPr="00C35691" w:rsidRDefault="00C35691" w:rsidP="00C35691">
      <w:pPr>
        <w:pStyle w:val="Heading3"/>
        <w:rPr>
          <w:rFonts w:eastAsiaTheme="minorHAnsi" w:cs="Arial"/>
          <w:b w:val="0"/>
          <w:bCs/>
          <w:color w:val="auto"/>
          <w:sz w:val="24"/>
          <w:lang w:val="en-US"/>
        </w:rPr>
      </w:pPr>
      <w:r w:rsidRPr="00C35691">
        <w:rPr>
          <w:rFonts w:eastAsiaTheme="minorHAnsi" w:cs="Arial"/>
          <w:b w:val="0"/>
          <w:bCs/>
          <w:color w:val="auto"/>
          <w:sz w:val="24"/>
          <w:lang w:val="en-US"/>
        </w:rPr>
        <w:br/>
        <w:t>*ORR are commissioning a separate study into input price inflation, so this study will not be expected to look in detail at input price inflation (e.g. forecasts, financial strategies for mitigating risk going forwards etc) – but we would expect this study to consider whether inflation is currently a key factor in deliverability of projects.</w:t>
      </w:r>
    </w:p>
    <w:p w14:paraId="6CD87194" w14:textId="0ED675DC" w:rsidR="001E5E9B" w:rsidRPr="001E5E9B" w:rsidRDefault="003F3CB0" w:rsidP="00C35691">
      <w:pPr>
        <w:pStyle w:val="Heading3"/>
      </w:pPr>
      <w:r w:rsidRPr="003F3CB0">
        <w:t>2.3 Project Outputs, Deliverables and Contract Management</w:t>
      </w:r>
      <w:bookmarkEnd w:id="12"/>
    </w:p>
    <w:p w14:paraId="15628EA9" w14:textId="77777777" w:rsidR="00C35691" w:rsidRPr="00C35691" w:rsidRDefault="00C35691" w:rsidP="00C35691">
      <w:pPr>
        <w:spacing w:after="0"/>
        <w:rPr>
          <w:szCs w:val="24"/>
        </w:rPr>
      </w:pPr>
      <w:r w:rsidRPr="00C35691">
        <w:rPr>
          <w:szCs w:val="24"/>
        </w:rPr>
        <w:t xml:space="preserve">The output of the study will be a simple, pragmatic methodology for benchmarking deliverability between infrastructure managers; with datapoints that allow us to compare Network Rail with other infrastructure managers; and a written explanation of what is driving the differences.  </w:t>
      </w:r>
    </w:p>
    <w:p w14:paraId="0107B2AE" w14:textId="77777777" w:rsidR="00C35691" w:rsidRPr="00C35691" w:rsidRDefault="00C35691" w:rsidP="00C35691">
      <w:pPr>
        <w:spacing w:after="0"/>
        <w:rPr>
          <w:szCs w:val="24"/>
        </w:rPr>
      </w:pPr>
    </w:p>
    <w:p w14:paraId="1F5E630D" w14:textId="77777777" w:rsidR="00C35691" w:rsidRPr="00C35691" w:rsidRDefault="00C35691" w:rsidP="00C35691">
      <w:pPr>
        <w:spacing w:after="0"/>
        <w:rPr>
          <w:rFonts w:cs="Arial"/>
          <w:b/>
          <w:szCs w:val="24"/>
          <w:u w:val="single"/>
        </w:rPr>
      </w:pPr>
      <w:r w:rsidRPr="00C35691">
        <w:rPr>
          <w:szCs w:val="24"/>
        </w:rPr>
        <w:t>Bidders should prepare a project plan and present it with the proposal. The plan should be kept up-to-date by the successful bidder to reflect milestones:</w:t>
      </w:r>
    </w:p>
    <w:p w14:paraId="030AB927" w14:textId="77777777" w:rsidR="00C35691" w:rsidRPr="00C35691" w:rsidRDefault="00C35691" w:rsidP="00C35691">
      <w:pPr>
        <w:numPr>
          <w:ilvl w:val="0"/>
          <w:numId w:val="38"/>
        </w:numPr>
        <w:spacing w:after="0"/>
        <w:rPr>
          <w:rFonts w:cs="Arial"/>
          <w:bCs/>
          <w:szCs w:val="24"/>
        </w:rPr>
      </w:pPr>
      <w:r w:rsidRPr="00C35691">
        <w:rPr>
          <w:rFonts w:cs="Arial"/>
          <w:bCs/>
          <w:szCs w:val="24"/>
        </w:rPr>
        <w:t>Start up meeting to agree approach and data requirements 09 January 2023</w:t>
      </w:r>
    </w:p>
    <w:p w14:paraId="4D6DBA76" w14:textId="77777777" w:rsidR="00C35691" w:rsidRPr="00C35691" w:rsidRDefault="00C35691" w:rsidP="00C35691">
      <w:pPr>
        <w:numPr>
          <w:ilvl w:val="0"/>
          <w:numId w:val="38"/>
        </w:numPr>
        <w:spacing w:after="0"/>
        <w:rPr>
          <w:rFonts w:cs="Arial"/>
          <w:b/>
          <w:szCs w:val="24"/>
          <w:u w:val="single"/>
        </w:rPr>
      </w:pPr>
      <w:r w:rsidRPr="00C35691">
        <w:rPr>
          <w:rFonts w:cs="Arial"/>
          <w:szCs w:val="24"/>
        </w:rPr>
        <w:t xml:space="preserve">Interim presentation w/c 30 January 2023 </w:t>
      </w:r>
      <w:r w:rsidRPr="00C35691">
        <w:rPr>
          <w:rFonts w:cs="Arial"/>
          <w:color w:val="000000"/>
          <w:szCs w:val="24"/>
          <w:lang w:eastAsia="en-GB"/>
        </w:rPr>
        <w:t>to the project team</w:t>
      </w:r>
    </w:p>
    <w:p w14:paraId="0597264A" w14:textId="77777777" w:rsidR="00C35691" w:rsidRPr="00C35691" w:rsidRDefault="00C35691" w:rsidP="00C35691">
      <w:pPr>
        <w:numPr>
          <w:ilvl w:val="0"/>
          <w:numId w:val="38"/>
        </w:numPr>
        <w:spacing w:after="0"/>
        <w:rPr>
          <w:rFonts w:cs="Arial"/>
          <w:b/>
          <w:szCs w:val="24"/>
          <w:u w:val="single"/>
        </w:rPr>
      </w:pPr>
      <w:r w:rsidRPr="00C35691">
        <w:rPr>
          <w:rFonts w:cs="Arial"/>
          <w:bCs/>
          <w:szCs w:val="24"/>
        </w:rPr>
        <w:t>Draft report for comment detailing findings, conclusions and recommendations w/c 13 February 2023 - ORR will return comments within 5 working days</w:t>
      </w:r>
    </w:p>
    <w:p w14:paraId="12A4966A" w14:textId="77777777" w:rsidR="00C35691" w:rsidRPr="00C35691" w:rsidRDefault="00C35691" w:rsidP="00C35691">
      <w:pPr>
        <w:numPr>
          <w:ilvl w:val="0"/>
          <w:numId w:val="38"/>
        </w:numPr>
        <w:spacing w:after="0"/>
        <w:rPr>
          <w:rFonts w:cs="Arial"/>
          <w:b/>
          <w:szCs w:val="24"/>
          <w:u w:val="single"/>
        </w:rPr>
      </w:pPr>
      <w:r w:rsidRPr="00C35691">
        <w:rPr>
          <w:rFonts w:cs="Arial"/>
          <w:szCs w:val="24"/>
        </w:rPr>
        <w:t>Final report incorporating ORR comments, submitted for publication (in accordance with accessibility guidelines) 28 February 2023</w:t>
      </w:r>
    </w:p>
    <w:p w14:paraId="4F2B1675" w14:textId="77777777" w:rsidR="00C35691" w:rsidRPr="00C35691" w:rsidRDefault="00C35691" w:rsidP="00C35691">
      <w:pPr>
        <w:numPr>
          <w:ilvl w:val="0"/>
          <w:numId w:val="38"/>
        </w:numPr>
        <w:spacing w:after="0"/>
        <w:rPr>
          <w:rFonts w:cs="Arial"/>
          <w:b/>
          <w:szCs w:val="24"/>
          <w:u w:val="single"/>
        </w:rPr>
      </w:pPr>
      <w:r w:rsidRPr="00C35691">
        <w:rPr>
          <w:rFonts w:cs="Arial"/>
          <w:szCs w:val="24"/>
        </w:rPr>
        <w:t>A presentation of the findings and recommendations to the wider PR23 programme team beginning March 2023.</w:t>
      </w:r>
    </w:p>
    <w:p w14:paraId="17CECDA1" w14:textId="77777777" w:rsidR="001E5E9B" w:rsidRDefault="001E5E9B" w:rsidP="001E5E9B">
      <w:pPr>
        <w:spacing w:after="0" w:line="256" w:lineRule="auto"/>
        <w:rPr>
          <w:rFonts w:cs="Arial"/>
          <w:bCs/>
          <w:sz w:val="22"/>
          <w:lang w:val="en-US"/>
        </w:rPr>
      </w:pPr>
    </w:p>
    <w:p w14:paraId="44E3A021" w14:textId="77777777" w:rsidR="001E5E9B" w:rsidRDefault="001E5E9B" w:rsidP="001E5E9B">
      <w:pPr>
        <w:spacing w:after="0" w:line="256" w:lineRule="auto"/>
        <w:rPr>
          <w:rFonts w:cs="Arial"/>
          <w:bCs/>
          <w:sz w:val="22"/>
          <w:lang w:val="en-US"/>
        </w:rPr>
      </w:pPr>
    </w:p>
    <w:p w14:paraId="30DFB785" w14:textId="2FA6F5B6" w:rsidR="00DB02EF" w:rsidRDefault="00DB02EF" w:rsidP="001E5E9B">
      <w:pPr>
        <w:pStyle w:val="Heading4"/>
      </w:pPr>
      <w:r>
        <w:t>Contract Management Requirements</w:t>
      </w:r>
    </w:p>
    <w:p w14:paraId="0497111F" w14:textId="77777777" w:rsidR="00C35691" w:rsidRPr="00C35691" w:rsidRDefault="00C35691" w:rsidP="00C35691">
      <w:pPr>
        <w:autoSpaceDE w:val="0"/>
        <w:autoSpaceDN w:val="0"/>
        <w:adjustRightInd w:val="0"/>
        <w:spacing w:after="0"/>
        <w:rPr>
          <w:rFonts w:cs="Arial"/>
          <w:bCs/>
          <w:szCs w:val="24"/>
        </w:rPr>
      </w:pPr>
      <w:bookmarkStart w:id="13" w:name="_Toc111551922"/>
      <w:r w:rsidRPr="00C35691">
        <w:rPr>
          <w:rFonts w:cs="Arial"/>
          <w:bCs/>
          <w:szCs w:val="24"/>
        </w:rPr>
        <w:t>The contract will be managed throughout with weekly check-ins on MS Teams, or in person as appropriate.</w:t>
      </w:r>
    </w:p>
    <w:p w14:paraId="75F8969E" w14:textId="1145BE20" w:rsidR="00D6160E" w:rsidRDefault="00AF7AF9" w:rsidP="00AF7AF9">
      <w:pPr>
        <w:pStyle w:val="Heading3"/>
      </w:pPr>
      <w:r>
        <w:t>2.4 Project Timescales</w:t>
      </w:r>
      <w:bookmarkEnd w:id="13"/>
    </w:p>
    <w:p w14:paraId="1B3AB361" w14:textId="77777777" w:rsidR="00C35691" w:rsidRPr="00C35691" w:rsidRDefault="00C35691" w:rsidP="00C35691">
      <w:pPr>
        <w:pStyle w:val="ListParagraph"/>
        <w:numPr>
          <w:ilvl w:val="0"/>
          <w:numId w:val="42"/>
        </w:numPr>
        <w:autoSpaceDE w:val="0"/>
        <w:autoSpaceDN w:val="0"/>
        <w:adjustRightInd w:val="0"/>
        <w:spacing w:after="0"/>
        <w:rPr>
          <w:rFonts w:cs="Arial"/>
          <w:color w:val="000000"/>
          <w:szCs w:val="24"/>
          <w:lang w:eastAsia="en-GB"/>
        </w:rPr>
      </w:pPr>
      <w:r w:rsidRPr="00C35691">
        <w:rPr>
          <w:rFonts w:cs="Arial"/>
          <w:color w:val="000000"/>
          <w:szCs w:val="24"/>
          <w:lang w:eastAsia="en-GB"/>
        </w:rPr>
        <w:t>Start up meeting 09 January 2023</w:t>
      </w:r>
    </w:p>
    <w:p w14:paraId="36004BA8" w14:textId="77777777" w:rsidR="00C35691" w:rsidRPr="00C35691" w:rsidRDefault="00C35691" w:rsidP="00C35691">
      <w:pPr>
        <w:pStyle w:val="ListParagraph"/>
        <w:numPr>
          <w:ilvl w:val="0"/>
          <w:numId w:val="42"/>
        </w:numPr>
        <w:autoSpaceDE w:val="0"/>
        <w:autoSpaceDN w:val="0"/>
        <w:adjustRightInd w:val="0"/>
        <w:spacing w:after="0"/>
        <w:rPr>
          <w:rFonts w:cs="Arial"/>
          <w:color w:val="000000"/>
          <w:szCs w:val="24"/>
          <w:lang w:eastAsia="en-GB"/>
        </w:rPr>
      </w:pPr>
      <w:r w:rsidRPr="00C35691">
        <w:rPr>
          <w:rFonts w:cs="Arial"/>
          <w:color w:val="000000"/>
          <w:szCs w:val="24"/>
          <w:lang w:eastAsia="en-GB"/>
        </w:rPr>
        <w:t>Weekly updates on progress and any issues</w:t>
      </w:r>
    </w:p>
    <w:p w14:paraId="44634772" w14:textId="77777777" w:rsidR="00C35691" w:rsidRPr="00C35691" w:rsidRDefault="00C35691" w:rsidP="00C35691">
      <w:pPr>
        <w:pStyle w:val="ListParagraph"/>
        <w:numPr>
          <w:ilvl w:val="0"/>
          <w:numId w:val="42"/>
        </w:numPr>
        <w:autoSpaceDE w:val="0"/>
        <w:autoSpaceDN w:val="0"/>
        <w:adjustRightInd w:val="0"/>
        <w:spacing w:after="0"/>
        <w:rPr>
          <w:rFonts w:cs="Arial"/>
          <w:color w:val="000000"/>
          <w:szCs w:val="24"/>
          <w:lang w:eastAsia="en-GB"/>
        </w:rPr>
      </w:pPr>
      <w:r w:rsidRPr="00C35691">
        <w:rPr>
          <w:rFonts w:cs="Arial"/>
          <w:color w:val="000000"/>
          <w:szCs w:val="24"/>
          <w:lang w:eastAsia="en-GB"/>
        </w:rPr>
        <w:t xml:space="preserve">Presentation of interim findings </w:t>
      </w:r>
      <w:r w:rsidRPr="00C35691">
        <w:rPr>
          <w:rFonts w:cs="Arial"/>
          <w:szCs w:val="24"/>
        </w:rPr>
        <w:t>w/c 30 January</w:t>
      </w:r>
    </w:p>
    <w:p w14:paraId="2FB8AAF8" w14:textId="77777777" w:rsidR="00C35691" w:rsidRPr="00C35691" w:rsidRDefault="00C35691" w:rsidP="00C35691">
      <w:pPr>
        <w:pStyle w:val="ListParagraph"/>
        <w:numPr>
          <w:ilvl w:val="0"/>
          <w:numId w:val="42"/>
        </w:numPr>
        <w:autoSpaceDE w:val="0"/>
        <w:autoSpaceDN w:val="0"/>
        <w:adjustRightInd w:val="0"/>
        <w:spacing w:after="0"/>
        <w:rPr>
          <w:rFonts w:cs="Arial"/>
          <w:color w:val="000000"/>
          <w:szCs w:val="24"/>
          <w:lang w:eastAsia="en-GB"/>
        </w:rPr>
      </w:pPr>
      <w:r w:rsidRPr="00C35691">
        <w:rPr>
          <w:rFonts w:cs="Arial"/>
          <w:color w:val="000000"/>
          <w:szCs w:val="24"/>
          <w:lang w:eastAsia="en-GB"/>
        </w:rPr>
        <w:t>Draft report w/c 13 February 2023</w:t>
      </w:r>
    </w:p>
    <w:p w14:paraId="5A83BBAB" w14:textId="77777777" w:rsidR="00C35691" w:rsidRPr="00C35691" w:rsidRDefault="00C35691" w:rsidP="00C35691">
      <w:pPr>
        <w:pStyle w:val="ListParagraph"/>
        <w:numPr>
          <w:ilvl w:val="0"/>
          <w:numId w:val="42"/>
        </w:numPr>
        <w:autoSpaceDE w:val="0"/>
        <w:autoSpaceDN w:val="0"/>
        <w:adjustRightInd w:val="0"/>
        <w:spacing w:after="0"/>
        <w:rPr>
          <w:rFonts w:cs="Arial"/>
          <w:b/>
          <w:color w:val="000000"/>
          <w:szCs w:val="24"/>
          <w:lang w:eastAsia="en-GB"/>
        </w:rPr>
      </w:pPr>
      <w:r w:rsidRPr="00C35691">
        <w:rPr>
          <w:rFonts w:cs="Arial"/>
          <w:color w:val="000000"/>
          <w:szCs w:val="24"/>
          <w:lang w:eastAsia="en-GB"/>
        </w:rPr>
        <w:t>Final report by 28 February 2023</w:t>
      </w:r>
    </w:p>
    <w:p w14:paraId="3B9B803B" w14:textId="77777777" w:rsidR="00C35691" w:rsidRPr="00C35691" w:rsidRDefault="00C35691" w:rsidP="00C35691">
      <w:pPr>
        <w:pStyle w:val="Numberedparagraphdouble"/>
        <w:numPr>
          <w:ilvl w:val="0"/>
          <w:numId w:val="0"/>
        </w:numPr>
        <w:ind w:left="851"/>
      </w:pPr>
    </w:p>
    <w:p w14:paraId="76E3EE61" w14:textId="3062E7A4" w:rsidR="00AF7AF9" w:rsidRDefault="00AF7AF9" w:rsidP="001E5E9B">
      <w:pPr>
        <w:pStyle w:val="Heading3"/>
      </w:pPr>
      <w:bookmarkStart w:id="14" w:name="_Toc111551923"/>
      <w:r w:rsidRPr="00AF7AF9">
        <w:t>2.5 Budget and Payment Schedule</w:t>
      </w:r>
      <w:bookmarkEnd w:id="14"/>
    </w:p>
    <w:p w14:paraId="3AB1D28D" w14:textId="35BE042F" w:rsidR="001E5E9B" w:rsidRPr="00686325" w:rsidRDefault="001E5E9B" w:rsidP="001E5E9B">
      <w:pPr>
        <w:rPr>
          <w:rFonts w:cs="Arial"/>
          <w:color w:val="000000"/>
          <w:szCs w:val="24"/>
        </w:rPr>
      </w:pPr>
      <w:bookmarkStart w:id="15" w:name="_Toc111551924"/>
      <w:r w:rsidRPr="00686325">
        <w:rPr>
          <w:szCs w:val="24"/>
        </w:rPr>
        <w:t>The maximum budget for this piece of work is £</w:t>
      </w:r>
      <w:r w:rsidR="00C35691">
        <w:rPr>
          <w:szCs w:val="24"/>
        </w:rPr>
        <w:t>8</w:t>
      </w:r>
      <w:r w:rsidRPr="00686325">
        <w:rPr>
          <w:szCs w:val="24"/>
        </w:rPr>
        <w:t>5,000 (inc. of expenses, exc. of VAT)</w:t>
      </w:r>
      <w:r w:rsidRPr="00686325">
        <w:rPr>
          <w:rFonts w:cs="Arial"/>
          <w:color w:val="000000"/>
          <w:szCs w:val="24"/>
        </w:rPr>
        <w:t>.</w:t>
      </w:r>
    </w:p>
    <w:p w14:paraId="7767925C" w14:textId="77777777" w:rsidR="001E5E9B" w:rsidRPr="00686325" w:rsidRDefault="001E5E9B" w:rsidP="001E5E9B">
      <w:pPr>
        <w:pStyle w:val="Heading3"/>
        <w:rPr>
          <w:rFonts w:eastAsiaTheme="minorHAnsi" w:cstheme="minorBidi"/>
          <w:b w:val="0"/>
          <w:color w:val="auto"/>
          <w:sz w:val="24"/>
        </w:rPr>
      </w:pPr>
      <w:r w:rsidRPr="00686325">
        <w:rPr>
          <w:rFonts w:eastAsiaTheme="minorHAnsi" w:cstheme="minorBidi"/>
          <w:b w:val="0"/>
          <w:color w:val="auto"/>
          <w:sz w:val="24"/>
        </w:rPr>
        <w:t xml:space="preserve">Payment of the total fee will be on the delivery and acceptance by ORR of all required outputs and/or deliverables. </w:t>
      </w:r>
    </w:p>
    <w:p w14:paraId="3BB5AE4A" w14:textId="3A6608AC" w:rsidR="00AF7AF9" w:rsidRDefault="00AF7AF9" w:rsidP="001E5E9B">
      <w:pPr>
        <w:pStyle w:val="Heading3"/>
      </w:pPr>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4321FD02" w:rsidR="001768F1" w:rsidRDefault="001768F1" w:rsidP="001768F1">
      <w:r>
        <w:t xml:space="preserve">The proposals for this project should include an outline of how bidders will meet the requirement outlined in section (ii) “Statement of Requirement”. The following information should be included </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E7A7098" w:rsidR="001768F1" w:rsidRDefault="001768F1" w:rsidP="001E7C87">
      <w:pPr>
        <w:pStyle w:val="NormalBullet-"/>
      </w:pPr>
      <w:r>
        <w:t>Provide an explanation of the proposed approach</w:t>
      </w:r>
      <w:r w:rsidR="00686325">
        <w:t xml:space="preserve"> </w:t>
      </w:r>
      <w:r>
        <w:t>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460BB598" w:rsidR="001768F1" w:rsidRDefault="001768F1" w:rsidP="001E7C87">
      <w:pPr>
        <w:pStyle w:val="NormalBullet-"/>
      </w:pPr>
      <w:r>
        <w:lastRenderedPageBreak/>
        <w:t>Some relevant examples of previous work that bidders have carried out (e</w:t>
      </w:r>
      <w:r w:rsidR="00686325">
        <w:t>.</w:t>
      </w:r>
      <w:r>
        <w:t>g</w:t>
      </w:r>
      <w:r w:rsidR="00686325">
        <w:t>.</w:t>
      </w:r>
      <w:r>
        <w:t xml:space="preserve"> case studies)</w:t>
      </w:r>
      <w:r w:rsidRPr="00686325">
        <w:t xml:space="preserve"> AND/OR </w:t>
      </w:r>
      <w:r w:rsidR="00686325">
        <w:t>d</w:t>
      </w:r>
      <w:r>
        <w:t>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4DF76C33" w:rsidR="005C29ED" w:rsidRDefault="005C29ED" w:rsidP="00D61976">
      <w:pPr>
        <w:pStyle w:val="Heading4"/>
      </w:pPr>
      <w:r>
        <w:lastRenderedPageBreak/>
        <w:t xml:space="preserve">Methodology </w:t>
      </w:r>
      <w:r w:rsidRPr="00686325">
        <w:t>(</w:t>
      </w:r>
      <w:r w:rsidR="00686325" w:rsidRPr="00686325">
        <w:t>30</w:t>
      </w:r>
      <w:r w:rsidRPr="00686325">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29"/>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29"/>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29"/>
        </w:numPr>
      </w:pPr>
      <w:r>
        <w:t>Explain how your organisation will engage with external stakeholders;</w:t>
      </w:r>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498DA221" w:rsidR="005C29ED" w:rsidRDefault="005C29ED" w:rsidP="00350594">
      <w:pPr>
        <w:pStyle w:val="Heading4"/>
      </w:pPr>
      <w:r>
        <w:t xml:space="preserve">Delivery </w:t>
      </w:r>
      <w:r w:rsidRPr="00686325">
        <w:t>(</w:t>
      </w:r>
      <w:r w:rsidR="00686325" w:rsidRPr="00686325">
        <w:t>20</w:t>
      </w:r>
      <w:r w:rsidRPr="00686325">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26EEBB90" w:rsidR="005C29ED" w:rsidRPr="00686325" w:rsidRDefault="005C29ED" w:rsidP="00350594">
      <w:pPr>
        <w:pStyle w:val="Heading4"/>
      </w:pPr>
      <w:r>
        <w:t xml:space="preserve">Experience </w:t>
      </w:r>
      <w:r w:rsidRPr="00686325">
        <w:t>(</w:t>
      </w:r>
      <w:r w:rsidR="00686325" w:rsidRPr="00686325">
        <w:t>20</w:t>
      </w:r>
      <w:r w:rsidRPr="00686325">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project;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7CFF4270" w:rsidR="005C29ED" w:rsidRDefault="005C29ED" w:rsidP="00350594">
      <w:pPr>
        <w:pStyle w:val="Heading4"/>
      </w:pPr>
      <w:r>
        <w:t xml:space="preserve">Cost / Value for money </w:t>
      </w:r>
      <w:r w:rsidRPr="00686325">
        <w:t>(</w:t>
      </w:r>
      <w:r w:rsidR="00686325" w:rsidRPr="00686325">
        <w:t>30</w:t>
      </w:r>
      <w:r w:rsidRPr="00686325">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1155192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1155192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400432">
        <w:trPr>
          <w:tblHeader/>
        </w:trPr>
        <w:tc>
          <w:tcPr>
            <w:tcW w:w="4928"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400432">
        <w:tc>
          <w:tcPr>
            <w:tcW w:w="4928"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cBorders>
            <w:shd w:val="solid" w:color="FFFFFF" w:fill="FFFFFF"/>
          </w:tcPr>
          <w:p w14:paraId="0B221E35" w14:textId="2D6A8371" w:rsidR="00400432" w:rsidRPr="00400432" w:rsidRDefault="00686325" w:rsidP="0001648F">
            <w:pPr>
              <w:pStyle w:val="TblText"/>
              <w:ind w:left="0"/>
            </w:pPr>
            <w:r>
              <w:t xml:space="preserve">09 Nov 22 </w:t>
            </w:r>
          </w:p>
        </w:tc>
      </w:tr>
      <w:tr w:rsidR="00400432" w:rsidRPr="00400432" w14:paraId="42283B80" w14:textId="77777777" w:rsidTr="00400432">
        <w:tc>
          <w:tcPr>
            <w:tcW w:w="4928"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cBorders>
            <w:shd w:val="solid" w:color="E4E7F5" w:themeColor="text2" w:themeTint="19" w:fill="E4E7F5" w:themeFill="text2" w:themeFillTint="19"/>
          </w:tcPr>
          <w:p w14:paraId="4308C2DC" w14:textId="2B435D21" w:rsidR="00400432" w:rsidRPr="00400432" w:rsidRDefault="005262FE" w:rsidP="0001648F">
            <w:pPr>
              <w:pStyle w:val="TblText"/>
              <w:ind w:left="0"/>
            </w:pPr>
            <w:r>
              <w:t>23</w:t>
            </w:r>
            <w:r w:rsidR="0001648F">
              <w:t xml:space="preserve"> Nov 22</w:t>
            </w:r>
            <w:r w:rsidR="00365B11">
              <w:t xml:space="preserve"> 12pm</w:t>
            </w:r>
          </w:p>
        </w:tc>
      </w:tr>
      <w:tr w:rsidR="00400432" w:rsidRPr="00400432" w14:paraId="66301268" w14:textId="77777777" w:rsidTr="00400432">
        <w:tc>
          <w:tcPr>
            <w:tcW w:w="4928"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cBorders>
            <w:shd w:val="solid" w:color="FFFFFF" w:fill="FFFFFF"/>
          </w:tcPr>
          <w:p w14:paraId="63343DB4" w14:textId="15DD8F4C" w:rsidR="00400432" w:rsidRPr="00400432" w:rsidRDefault="00C35691" w:rsidP="0001648F">
            <w:pPr>
              <w:pStyle w:val="TblText"/>
              <w:ind w:left="0"/>
            </w:pPr>
            <w:r>
              <w:t>30</w:t>
            </w:r>
            <w:r w:rsidR="0001648F">
              <w:t xml:space="preserve"> </w:t>
            </w:r>
            <w:r>
              <w:t>Nov</w:t>
            </w:r>
            <w:r w:rsidR="0001648F">
              <w:t xml:space="preserve"> 22</w:t>
            </w:r>
            <w:r w:rsidR="00365B11">
              <w:t xml:space="preserve"> 12pm</w:t>
            </w:r>
          </w:p>
        </w:tc>
      </w:tr>
      <w:tr w:rsidR="00400432" w:rsidRPr="00400432" w14:paraId="4B08FCC5" w14:textId="77777777" w:rsidTr="00400432">
        <w:tc>
          <w:tcPr>
            <w:tcW w:w="4928" w:type="dxa"/>
            <w:tcBorders>
              <w:bottom w:val="single" w:sz="12" w:space="0" w:color="FFFFFF"/>
            </w:tcBorders>
            <w:shd w:val="solid" w:color="E4E7F5" w:themeColor="text2" w:themeTint="19" w:fill="E4E7F5" w:themeFill="text2" w:themeFillTint="19"/>
          </w:tcPr>
          <w:p w14:paraId="5D3F0ED3" w14:textId="77777777" w:rsidR="00400432" w:rsidRPr="00400432" w:rsidRDefault="00400432" w:rsidP="00400432">
            <w:pPr>
              <w:pStyle w:val="TblText"/>
            </w:pPr>
            <w:r w:rsidRPr="00400432">
              <w:t>Shortlisted suppliers notified</w:t>
            </w:r>
          </w:p>
        </w:tc>
        <w:tc>
          <w:tcPr>
            <w:tcW w:w="3600" w:type="dxa"/>
            <w:tcBorders>
              <w:bottom w:val="single" w:sz="12" w:space="0" w:color="FFFFFF"/>
            </w:tcBorders>
            <w:shd w:val="solid" w:color="E4E7F5" w:themeColor="text2" w:themeTint="19" w:fill="E4E7F5" w:themeFill="text2" w:themeFillTint="19"/>
          </w:tcPr>
          <w:p w14:paraId="572895D5" w14:textId="7677AC01" w:rsidR="00400432" w:rsidRPr="00400432" w:rsidRDefault="0001648F" w:rsidP="00686325">
            <w:pPr>
              <w:pStyle w:val="TblText"/>
              <w:ind w:left="0"/>
            </w:pPr>
            <w:r>
              <w:t>0</w:t>
            </w:r>
            <w:r w:rsidR="00C35691">
              <w:t>5</w:t>
            </w:r>
            <w:r>
              <w:t xml:space="preserve"> Dec 22</w:t>
            </w:r>
          </w:p>
        </w:tc>
      </w:tr>
      <w:tr w:rsidR="00400432" w:rsidRPr="00400432" w14:paraId="0217C7BB" w14:textId="77777777" w:rsidTr="00400432">
        <w:tc>
          <w:tcPr>
            <w:tcW w:w="4928" w:type="dxa"/>
            <w:tcBorders>
              <w:bottom w:val="single" w:sz="12" w:space="0" w:color="FFFFFF"/>
            </w:tcBorders>
            <w:shd w:val="solid" w:color="FFFFFF" w:fill="FFFFFF"/>
          </w:tcPr>
          <w:p w14:paraId="32D5FD17" w14:textId="77777777" w:rsidR="00400432" w:rsidRPr="00400432" w:rsidRDefault="00400432" w:rsidP="00400432">
            <w:pPr>
              <w:pStyle w:val="TblText"/>
            </w:pPr>
            <w:r w:rsidRPr="00400432">
              <w:t>Interviews and presentations*</w:t>
            </w:r>
          </w:p>
        </w:tc>
        <w:tc>
          <w:tcPr>
            <w:tcW w:w="3600" w:type="dxa"/>
            <w:tcBorders>
              <w:bottom w:val="single" w:sz="12" w:space="0" w:color="FFFFFF"/>
            </w:tcBorders>
            <w:shd w:val="solid" w:color="FFFFFF" w:fill="FFFFFF"/>
          </w:tcPr>
          <w:p w14:paraId="565B27EE" w14:textId="755AD3AE" w:rsidR="00400432" w:rsidRPr="00400432" w:rsidRDefault="00C35691" w:rsidP="0001648F">
            <w:pPr>
              <w:pStyle w:val="TblText"/>
              <w:ind w:left="0"/>
            </w:pPr>
            <w:r>
              <w:t xml:space="preserve">w/c </w:t>
            </w:r>
            <w:r w:rsidR="0001648F">
              <w:t>1</w:t>
            </w:r>
            <w:r>
              <w:t>2</w:t>
            </w:r>
            <w:r w:rsidR="0001648F">
              <w:t xml:space="preserve"> Dec 22</w:t>
            </w:r>
          </w:p>
        </w:tc>
      </w:tr>
      <w:tr w:rsidR="00400432" w:rsidRPr="00400432" w14:paraId="2D3D0936" w14:textId="77777777" w:rsidTr="00400432">
        <w:tc>
          <w:tcPr>
            <w:tcW w:w="4928"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cBorders>
            <w:shd w:val="solid" w:color="E4E7F5" w:themeColor="text2" w:themeTint="19" w:fill="E4E7F5" w:themeFill="text2" w:themeFillTint="19"/>
          </w:tcPr>
          <w:p w14:paraId="2FF6E1B1" w14:textId="46A7BBBE" w:rsidR="00400432" w:rsidRPr="00400432" w:rsidRDefault="00C35691" w:rsidP="0001648F">
            <w:pPr>
              <w:pStyle w:val="TblText"/>
              <w:ind w:left="0"/>
            </w:pPr>
            <w:r>
              <w:t xml:space="preserve">w/c </w:t>
            </w:r>
            <w:r w:rsidR="0001648F">
              <w:t>1</w:t>
            </w:r>
            <w:r>
              <w:t>9</w:t>
            </w:r>
            <w:r w:rsidR="0001648F">
              <w:t xml:space="preserve"> Dec 22</w:t>
            </w:r>
          </w:p>
        </w:tc>
      </w:tr>
      <w:tr w:rsidR="00400432" w:rsidRPr="00400432" w14:paraId="3E83975E" w14:textId="77777777" w:rsidTr="00400432">
        <w:tc>
          <w:tcPr>
            <w:tcW w:w="4928" w:type="dxa"/>
            <w:shd w:val="solid" w:color="FFFFFF" w:fill="FFFFFF"/>
          </w:tcPr>
          <w:p w14:paraId="19972227" w14:textId="658B1D49" w:rsidR="00400432" w:rsidRPr="00400432" w:rsidRDefault="00400432" w:rsidP="00400432">
            <w:pPr>
              <w:pStyle w:val="TblText"/>
            </w:pPr>
            <w:r w:rsidRPr="00400432">
              <w:t>Project Inception Meeting</w:t>
            </w:r>
          </w:p>
        </w:tc>
        <w:tc>
          <w:tcPr>
            <w:tcW w:w="3600" w:type="dxa"/>
            <w:shd w:val="solid" w:color="FFFFFF" w:fill="FFFFFF"/>
          </w:tcPr>
          <w:p w14:paraId="5605FB39" w14:textId="423D622C" w:rsidR="00400432" w:rsidRPr="00400432" w:rsidRDefault="00C35691" w:rsidP="0001648F">
            <w:pPr>
              <w:pStyle w:val="TblText"/>
              <w:ind w:left="0"/>
            </w:pPr>
            <w:r>
              <w:t>09</w:t>
            </w:r>
            <w:r w:rsidR="0001648F">
              <w:t xml:space="preserve"> </w:t>
            </w:r>
            <w:r>
              <w:t>Jan</w:t>
            </w:r>
            <w:r w:rsidR="0001648F">
              <w:t xml:space="preserve"> 2</w:t>
            </w:r>
            <w:r>
              <w:t>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1155193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1"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2"/>
          <w:headerReference w:type="default" r:id="rId23"/>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5"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6"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7" w:history="1">
        <w:r w:rsidR="008F0B87" w:rsidRPr="00C9621C">
          <w:rPr>
            <w:rStyle w:val="Hyperlink"/>
          </w:rPr>
          <w:t>procurementteam@orr.gov.uk</w:t>
        </w:r>
      </w:hyperlink>
      <w:r w:rsidR="008F0B87">
        <w:t xml:space="preserve"> </w:t>
      </w:r>
    </w:p>
    <w:sectPr w:rsidR="00D25F7E" w:rsidRPr="00D25F7E" w:rsidSect="00D25F7E">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D25F7E">
        <w:rPr>
          <w:b w:val="0"/>
          <w:bCs/>
          <w:lang w:val="en-US"/>
        </w:rPr>
        <w:instrText>ITT</w:instrText>
      </w:r>
    </w:fldSimple>
    <w:r w:rsidRPr="00AC3B7A">
      <w:instrText xml:space="preserve"> = "Error! No document variable supplied." " " </w:instrText>
    </w:r>
    <w:fldSimple w:instr=" DOCVARIABLE  txtHdr \* MERGEFORMAT ">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D25F7E">
        <w:rPr>
          <w:b w:val="0"/>
          <w:bCs/>
          <w:lang w:val="en-US"/>
        </w:rPr>
        <w:instrText>ITT</w:instrText>
      </w:r>
    </w:fldSimple>
    <w:r w:rsidRPr="00AC3B7A">
      <w:instrText xml:space="preserve"> = "Error! No document variable supplied." " " </w:instrText>
    </w:r>
    <w:fldSimple w:instr=" DOCVARIABLE  txtHdr \* MERGEFORMAT ">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8F1"/>
    <w:multiLevelType w:val="hybridMultilevel"/>
    <w:tmpl w:val="F8E050E0"/>
    <w:lvl w:ilvl="0" w:tplc="08090003">
      <w:start w:val="1"/>
      <w:numFmt w:val="bullet"/>
      <w:lvlText w:val="o"/>
      <w:lvlJc w:val="left"/>
      <w:pPr>
        <w:tabs>
          <w:tab w:val="num" w:pos="720"/>
        </w:tabs>
        <w:ind w:left="720" w:hanging="360"/>
      </w:pPr>
      <w:rPr>
        <w:rFonts w:ascii="Courier New" w:hAnsi="Courier New" w:cs="Courier New" w:hint="default"/>
      </w:rPr>
    </w:lvl>
    <w:lvl w:ilvl="1" w:tplc="FFFFFFFF">
      <w:start w:val="1"/>
      <w:numFmt w:val="decimal"/>
      <w:lvlText w:val="%2."/>
      <w:lvlJc w:val="left"/>
      <w:pPr>
        <w:tabs>
          <w:tab w:val="num" w:pos="1364"/>
        </w:tabs>
        <w:ind w:left="1080" w:firstLine="0"/>
      </w:pPr>
      <w:rPr>
        <w:rFonts w:ascii="Arial" w:hAnsi="Arial" w:cs="Times New Roman" w:hint="default"/>
        <w:b w:val="0"/>
        <w:i w:val="0"/>
        <w:sz w:val="22"/>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62E25"/>
    <w:multiLevelType w:val="multilevel"/>
    <w:tmpl w:val="D79C245A"/>
    <w:numStyleLink w:val="ORRNormalList"/>
  </w:abstractNum>
  <w:abstractNum w:abstractNumId="3" w15:restartNumberingAfterBreak="0">
    <w:nsid w:val="0CD4621B"/>
    <w:multiLevelType w:val="multilevel"/>
    <w:tmpl w:val="0B3EB1C4"/>
    <w:numStyleLink w:val="ORRBoxed"/>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511656B"/>
    <w:multiLevelType w:val="hybridMultilevel"/>
    <w:tmpl w:val="EC94A602"/>
    <w:lvl w:ilvl="0" w:tplc="08090001">
      <w:start w:val="1"/>
      <w:numFmt w:val="bullet"/>
      <w:lvlText w:val=""/>
      <w:lvlJc w:val="left"/>
      <w:pPr>
        <w:ind w:left="908" w:hanging="360"/>
      </w:pPr>
      <w:rPr>
        <w:rFonts w:ascii="Symbol" w:hAnsi="Symbol" w:hint="default"/>
      </w:rPr>
    </w:lvl>
    <w:lvl w:ilvl="1" w:tplc="08090003">
      <w:start w:val="1"/>
      <w:numFmt w:val="bullet"/>
      <w:lvlText w:val="o"/>
      <w:lvlJc w:val="left"/>
      <w:pPr>
        <w:ind w:left="1628" w:hanging="360"/>
      </w:pPr>
      <w:rPr>
        <w:rFonts w:ascii="Courier New" w:hAnsi="Courier New" w:cs="Courier New" w:hint="default"/>
      </w:rPr>
    </w:lvl>
    <w:lvl w:ilvl="2" w:tplc="08090005">
      <w:start w:val="1"/>
      <w:numFmt w:val="bullet"/>
      <w:lvlText w:val=""/>
      <w:lvlJc w:val="left"/>
      <w:pPr>
        <w:ind w:left="2348" w:hanging="360"/>
      </w:pPr>
      <w:rPr>
        <w:rFonts w:ascii="Wingdings" w:hAnsi="Wingdings" w:hint="default"/>
      </w:rPr>
    </w:lvl>
    <w:lvl w:ilvl="3" w:tplc="08090001">
      <w:start w:val="1"/>
      <w:numFmt w:val="bullet"/>
      <w:lvlText w:val=""/>
      <w:lvlJc w:val="left"/>
      <w:pPr>
        <w:ind w:left="3068" w:hanging="360"/>
      </w:pPr>
      <w:rPr>
        <w:rFonts w:ascii="Symbol" w:hAnsi="Symbol" w:hint="default"/>
      </w:rPr>
    </w:lvl>
    <w:lvl w:ilvl="4" w:tplc="08090003">
      <w:start w:val="1"/>
      <w:numFmt w:val="bullet"/>
      <w:lvlText w:val="o"/>
      <w:lvlJc w:val="left"/>
      <w:pPr>
        <w:ind w:left="3788" w:hanging="360"/>
      </w:pPr>
      <w:rPr>
        <w:rFonts w:ascii="Courier New" w:hAnsi="Courier New" w:cs="Courier New" w:hint="default"/>
      </w:rPr>
    </w:lvl>
    <w:lvl w:ilvl="5" w:tplc="08090005">
      <w:start w:val="1"/>
      <w:numFmt w:val="bullet"/>
      <w:lvlText w:val=""/>
      <w:lvlJc w:val="left"/>
      <w:pPr>
        <w:ind w:left="4508" w:hanging="360"/>
      </w:pPr>
      <w:rPr>
        <w:rFonts w:ascii="Wingdings" w:hAnsi="Wingdings" w:hint="default"/>
      </w:rPr>
    </w:lvl>
    <w:lvl w:ilvl="6" w:tplc="08090001">
      <w:start w:val="1"/>
      <w:numFmt w:val="bullet"/>
      <w:lvlText w:val=""/>
      <w:lvlJc w:val="left"/>
      <w:pPr>
        <w:ind w:left="5228" w:hanging="360"/>
      </w:pPr>
      <w:rPr>
        <w:rFonts w:ascii="Symbol" w:hAnsi="Symbol" w:hint="default"/>
      </w:rPr>
    </w:lvl>
    <w:lvl w:ilvl="7" w:tplc="08090003">
      <w:start w:val="1"/>
      <w:numFmt w:val="bullet"/>
      <w:lvlText w:val="o"/>
      <w:lvlJc w:val="left"/>
      <w:pPr>
        <w:ind w:left="5948" w:hanging="360"/>
      </w:pPr>
      <w:rPr>
        <w:rFonts w:ascii="Courier New" w:hAnsi="Courier New" w:cs="Courier New" w:hint="default"/>
      </w:rPr>
    </w:lvl>
    <w:lvl w:ilvl="8" w:tplc="08090005">
      <w:start w:val="1"/>
      <w:numFmt w:val="bullet"/>
      <w:lvlText w:val=""/>
      <w:lvlJc w:val="left"/>
      <w:pPr>
        <w:ind w:left="6668" w:hanging="360"/>
      </w:pPr>
      <w:rPr>
        <w:rFonts w:ascii="Wingdings" w:hAnsi="Wingdings" w:hint="default"/>
      </w:rPr>
    </w:lvl>
  </w:abstractNum>
  <w:abstractNum w:abstractNumId="8"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6443BFC"/>
    <w:multiLevelType w:val="hybridMultilevel"/>
    <w:tmpl w:val="BAC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96852"/>
    <w:multiLevelType w:val="multilevel"/>
    <w:tmpl w:val="D79C245A"/>
    <w:numStyleLink w:val="ORRNormalList"/>
  </w:abstractNum>
  <w:abstractNum w:abstractNumId="13" w15:restartNumberingAfterBreak="0">
    <w:nsid w:val="2D7E7BF5"/>
    <w:multiLevelType w:val="hybridMultilevel"/>
    <w:tmpl w:val="4FA6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76BCC"/>
    <w:multiLevelType w:val="multilevel"/>
    <w:tmpl w:val="D79C245A"/>
    <w:numStyleLink w:val="ORRNormalList"/>
  </w:abstractNum>
  <w:abstractNum w:abstractNumId="15"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cs="Times New Roman" w:hint="default"/>
        <w:b w:val="0"/>
        <w:i w:val="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BD5682"/>
    <w:multiLevelType w:val="multilevel"/>
    <w:tmpl w:val="EAD453D0"/>
    <w:numStyleLink w:val="NumbListHighlight"/>
  </w:abstractNum>
  <w:abstractNum w:abstractNumId="22"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97150"/>
    <w:multiLevelType w:val="hybridMultilevel"/>
    <w:tmpl w:val="94DAF67E"/>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24"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15:restartNumberingAfterBreak="0">
    <w:nsid w:val="774C62AB"/>
    <w:multiLevelType w:val="multilevel"/>
    <w:tmpl w:val="6B204466"/>
    <w:numStyleLink w:val="ORRAnnex"/>
  </w:abstractNum>
  <w:abstractNum w:abstractNumId="26" w15:restartNumberingAfterBreak="0">
    <w:nsid w:val="7DDA5CB4"/>
    <w:multiLevelType w:val="multilevel"/>
    <w:tmpl w:val="6B204466"/>
    <w:numStyleLink w:val="ORRAnnex"/>
  </w:abstractNum>
  <w:num w:numId="1" w16cid:durableId="123300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4"/>
  </w:num>
  <w:num w:numId="3" w16cid:durableId="615990203">
    <w:abstractNumId w:val="8"/>
  </w:num>
  <w:num w:numId="4" w16cid:durableId="1539008159">
    <w:abstractNumId w:val="18"/>
  </w:num>
  <w:num w:numId="5" w16cid:durableId="1334801291">
    <w:abstractNumId w:val="9"/>
  </w:num>
  <w:num w:numId="6" w16cid:durableId="116142554">
    <w:abstractNumId w:val="14"/>
  </w:num>
  <w:num w:numId="7" w16cid:durableId="1708795862">
    <w:abstractNumId w:val="10"/>
  </w:num>
  <w:num w:numId="8" w16cid:durableId="1432780497">
    <w:abstractNumId w:val="5"/>
  </w:num>
  <w:num w:numId="9" w16cid:durableId="35012236">
    <w:abstractNumId w:val="4"/>
  </w:num>
  <w:num w:numId="10" w16cid:durableId="711077664">
    <w:abstractNumId w:val="1"/>
  </w:num>
  <w:num w:numId="11" w16cid:durableId="1604993918">
    <w:abstractNumId w:val="21"/>
  </w:num>
  <w:num w:numId="12" w16cid:durableId="435447028">
    <w:abstractNumId w:val="19"/>
  </w:num>
  <w:num w:numId="13" w16cid:durableId="2048019962">
    <w:abstractNumId w:val="25"/>
  </w:num>
  <w:num w:numId="14" w16cid:durableId="2025738407">
    <w:abstractNumId w:val="21"/>
  </w:num>
  <w:num w:numId="15" w16cid:durableId="150879135">
    <w:abstractNumId w:val="21"/>
  </w:num>
  <w:num w:numId="16" w16cid:durableId="891042484">
    <w:abstractNumId w:val="21"/>
  </w:num>
  <w:num w:numId="17" w16cid:durableId="727414043">
    <w:abstractNumId w:val="19"/>
  </w:num>
  <w:num w:numId="18" w16cid:durableId="1027833524">
    <w:abstractNumId w:val="2"/>
  </w:num>
  <w:num w:numId="19" w16cid:durableId="50661355">
    <w:abstractNumId w:val="6"/>
  </w:num>
  <w:num w:numId="20" w16cid:durableId="1446195555">
    <w:abstractNumId w:val="4"/>
  </w:num>
  <w:num w:numId="21" w16cid:durableId="558327301">
    <w:abstractNumId w:val="26"/>
  </w:num>
  <w:num w:numId="22" w16cid:durableId="463500638">
    <w:abstractNumId w:val="16"/>
  </w:num>
  <w:num w:numId="23" w16cid:durableId="1527019102">
    <w:abstractNumId w:val="3"/>
  </w:num>
  <w:num w:numId="24" w16cid:durableId="1992102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2"/>
  </w:num>
  <w:num w:numId="26" w16cid:durableId="1830293373">
    <w:abstractNumId w:val="22"/>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7"/>
  </w:num>
  <w:num w:numId="33" w16cid:durableId="812675197">
    <w:abstractNumId w:val="20"/>
    <w:lvlOverride w:ilvl="0"/>
    <w:lvlOverride w:ilvl="1">
      <w:startOverride w:val="1"/>
    </w:lvlOverride>
    <w:lvlOverride w:ilvl="2"/>
    <w:lvlOverride w:ilvl="3"/>
    <w:lvlOverride w:ilvl="4"/>
    <w:lvlOverride w:ilvl="5"/>
    <w:lvlOverride w:ilvl="6"/>
    <w:lvlOverride w:ilvl="7"/>
    <w:lvlOverride w:ilvl="8"/>
  </w:num>
  <w:num w:numId="34" w16cid:durableId="183596959">
    <w:abstractNumId w:val="11"/>
  </w:num>
  <w:num w:numId="35" w16cid:durableId="1718822124">
    <w:abstractNumId w:val="11"/>
  </w:num>
  <w:num w:numId="36" w16cid:durableId="1753356313">
    <w:abstractNumId w:val="23"/>
  </w:num>
  <w:num w:numId="37" w16cid:durableId="603656107">
    <w:abstractNumId w:val="7"/>
  </w:num>
  <w:num w:numId="38" w16cid:durableId="1219901884">
    <w:abstractNumId w:val="0"/>
    <w:lvlOverride w:ilvl="0"/>
    <w:lvlOverride w:ilvl="1">
      <w:startOverride w:val="1"/>
    </w:lvlOverride>
    <w:lvlOverride w:ilvl="2"/>
    <w:lvlOverride w:ilvl="3"/>
    <w:lvlOverride w:ilvl="4"/>
    <w:lvlOverride w:ilvl="5"/>
    <w:lvlOverride w:ilvl="6"/>
    <w:lvlOverride w:ilvl="7"/>
    <w:lvlOverride w:ilvl="8"/>
  </w:num>
  <w:num w:numId="39" w16cid:durableId="980118000">
    <w:abstractNumId w:val="11"/>
  </w:num>
  <w:num w:numId="40" w16cid:durableId="1436052037">
    <w:abstractNumId w:val="7"/>
  </w:num>
  <w:num w:numId="41" w16cid:durableId="877932029">
    <w:abstractNumId w:val="0"/>
  </w:num>
  <w:num w:numId="42" w16cid:durableId="206845260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1648F"/>
    <w:rsid w:val="0002210B"/>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126F"/>
    <w:rsid w:val="0009203F"/>
    <w:rsid w:val="000A0438"/>
    <w:rsid w:val="000A6DE7"/>
    <w:rsid w:val="000B0266"/>
    <w:rsid w:val="000B309A"/>
    <w:rsid w:val="000B6176"/>
    <w:rsid w:val="000C7B66"/>
    <w:rsid w:val="000D2970"/>
    <w:rsid w:val="000E135E"/>
    <w:rsid w:val="000E5AB1"/>
    <w:rsid w:val="000E5E49"/>
    <w:rsid w:val="000F4554"/>
    <w:rsid w:val="000F5529"/>
    <w:rsid w:val="000F70BB"/>
    <w:rsid w:val="000F7BB6"/>
    <w:rsid w:val="001012B6"/>
    <w:rsid w:val="00102F62"/>
    <w:rsid w:val="00120892"/>
    <w:rsid w:val="0012193D"/>
    <w:rsid w:val="00124D1D"/>
    <w:rsid w:val="00137015"/>
    <w:rsid w:val="00141746"/>
    <w:rsid w:val="001526A6"/>
    <w:rsid w:val="00155088"/>
    <w:rsid w:val="0015625B"/>
    <w:rsid w:val="00156D5F"/>
    <w:rsid w:val="00160B26"/>
    <w:rsid w:val="00162B03"/>
    <w:rsid w:val="001659DD"/>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60A4"/>
    <w:rsid w:val="001D1536"/>
    <w:rsid w:val="001D590D"/>
    <w:rsid w:val="001D5DF3"/>
    <w:rsid w:val="001E23F4"/>
    <w:rsid w:val="001E5E9B"/>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433A"/>
    <w:rsid w:val="00286CF2"/>
    <w:rsid w:val="0028735A"/>
    <w:rsid w:val="0029283C"/>
    <w:rsid w:val="00293D38"/>
    <w:rsid w:val="00297104"/>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65B11"/>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300B"/>
    <w:rsid w:val="0048774B"/>
    <w:rsid w:val="00490915"/>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65AD"/>
    <w:rsid w:val="005262FE"/>
    <w:rsid w:val="00526956"/>
    <w:rsid w:val="00532B91"/>
    <w:rsid w:val="00534962"/>
    <w:rsid w:val="00536EB2"/>
    <w:rsid w:val="00544099"/>
    <w:rsid w:val="00546AF7"/>
    <w:rsid w:val="00555585"/>
    <w:rsid w:val="005612F3"/>
    <w:rsid w:val="005635FA"/>
    <w:rsid w:val="00574B16"/>
    <w:rsid w:val="00580A77"/>
    <w:rsid w:val="00585CEE"/>
    <w:rsid w:val="00591161"/>
    <w:rsid w:val="00596F73"/>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567C"/>
    <w:rsid w:val="0066651F"/>
    <w:rsid w:val="006701F0"/>
    <w:rsid w:val="00680F51"/>
    <w:rsid w:val="00683A4B"/>
    <w:rsid w:val="00683F80"/>
    <w:rsid w:val="00686325"/>
    <w:rsid w:val="00691342"/>
    <w:rsid w:val="006A063F"/>
    <w:rsid w:val="006A6751"/>
    <w:rsid w:val="006B10E9"/>
    <w:rsid w:val="006B198C"/>
    <w:rsid w:val="006B27E0"/>
    <w:rsid w:val="006C004C"/>
    <w:rsid w:val="006C02BD"/>
    <w:rsid w:val="006C15DB"/>
    <w:rsid w:val="006D1DD8"/>
    <w:rsid w:val="006D4741"/>
    <w:rsid w:val="006D6465"/>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B1555"/>
    <w:rsid w:val="007C43C1"/>
    <w:rsid w:val="007D5014"/>
    <w:rsid w:val="007E2744"/>
    <w:rsid w:val="007E4EC4"/>
    <w:rsid w:val="007E6E4B"/>
    <w:rsid w:val="007F3F24"/>
    <w:rsid w:val="007F4B75"/>
    <w:rsid w:val="007F6498"/>
    <w:rsid w:val="007F6B18"/>
    <w:rsid w:val="00806042"/>
    <w:rsid w:val="008122F2"/>
    <w:rsid w:val="008145A2"/>
    <w:rsid w:val="0081555F"/>
    <w:rsid w:val="0081639D"/>
    <w:rsid w:val="008174A6"/>
    <w:rsid w:val="00826F5D"/>
    <w:rsid w:val="008277B1"/>
    <w:rsid w:val="00831EE0"/>
    <w:rsid w:val="0083798F"/>
    <w:rsid w:val="00841B8C"/>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75BF"/>
    <w:rsid w:val="0094130E"/>
    <w:rsid w:val="009617D1"/>
    <w:rsid w:val="00963E0B"/>
    <w:rsid w:val="009646F5"/>
    <w:rsid w:val="00973BC6"/>
    <w:rsid w:val="009757DA"/>
    <w:rsid w:val="00981E60"/>
    <w:rsid w:val="009822CC"/>
    <w:rsid w:val="00982820"/>
    <w:rsid w:val="009852F9"/>
    <w:rsid w:val="0099269F"/>
    <w:rsid w:val="00992B05"/>
    <w:rsid w:val="00994102"/>
    <w:rsid w:val="009942BE"/>
    <w:rsid w:val="009A5DA3"/>
    <w:rsid w:val="009B04F7"/>
    <w:rsid w:val="009B5565"/>
    <w:rsid w:val="009C3E78"/>
    <w:rsid w:val="009C7888"/>
    <w:rsid w:val="009D4BF5"/>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13C"/>
    <w:rsid w:val="00A525B9"/>
    <w:rsid w:val="00A575FC"/>
    <w:rsid w:val="00A66AC8"/>
    <w:rsid w:val="00A67863"/>
    <w:rsid w:val="00A70557"/>
    <w:rsid w:val="00A739EA"/>
    <w:rsid w:val="00A73FDA"/>
    <w:rsid w:val="00A77317"/>
    <w:rsid w:val="00A90826"/>
    <w:rsid w:val="00A93476"/>
    <w:rsid w:val="00A95FB0"/>
    <w:rsid w:val="00AB3000"/>
    <w:rsid w:val="00AB6599"/>
    <w:rsid w:val="00AC3F17"/>
    <w:rsid w:val="00AE1221"/>
    <w:rsid w:val="00AF205E"/>
    <w:rsid w:val="00AF41B0"/>
    <w:rsid w:val="00AF5A70"/>
    <w:rsid w:val="00AF7AF9"/>
    <w:rsid w:val="00B017A5"/>
    <w:rsid w:val="00B04D1F"/>
    <w:rsid w:val="00B0622B"/>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35691"/>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62FF"/>
    <w:rsid w:val="00CE2434"/>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60E5"/>
    <w:rsid w:val="00E3647D"/>
    <w:rsid w:val="00E450CC"/>
    <w:rsid w:val="00E507FC"/>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64883">
      <w:bodyDiv w:val="1"/>
      <w:marLeft w:val="0"/>
      <w:marRight w:val="0"/>
      <w:marTop w:val="0"/>
      <w:marBottom w:val="0"/>
      <w:divBdr>
        <w:top w:val="none" w:sz="0" w:space="0" w:color="auto"/>
        <w:left w:val="none" w:sz="0" w:space="0" w:color="auto"/>
        <w:bottom w:val="none" w:sz="0" w:space="0" w:color="auto"/>
        <w:right w:val="none" w:sz="0" w:space="0" w:color="auto"/>
      </w:divBdr>
    </w:div>
    <w:div w:id="748500916">
      <w:bodyDiv w:val="1"/>
      <w:marLeft w:val="0"/>
      <w:marRight w:val="0"/>
      <w:marTop w:val="0"/>
      <w:marBottom w:val="0"/>
      <w:divBdr>
        <w:top w:val="none" w:sz="0" w:space="0" w:color="auto"/>
        <w:left w:val="none" w:sz="0" w:space="0" w:color="auto"/>
        <w:bottom w:val="none" w:sz="0" w:space="0" w:color="auto"/>
        <w:right w:val="none" w:sz="0" w:space="0" w:color="auto"/>
      </w:divBdr>
    </w:div>
    <w:div w:id="763962996">
      <w:bodyDiv w:val="1"/>
      <w:marLeft w:val="0"/>
      <w:marRight w:val="0"/>
      <w:marTop w:val="0"/>
      <w:marBottom w:val="0"/>
      <w:divBdr>
        <w:top w:val="none" w:sz="0" w:space="0" w:color="auto"/>
        <w:left w:val="none" w:sz="0" w:space="0" w:color="auto"/>
        <w:bottom w:val="none" w:sz="0" w:space="0" w:color="auto"/>
        <w:right w:val="none" w:sz="0" w:space="0" w:color="auto"/>
      </w:divBdr>
    </w:div>
    <w:div w:id="803625500">
      <w:bodyDiv w:val="1"/>
      <w:marLeft w:val="0"/>
      <w:marRight w:val="0"/>
      <w:marTop w:val="0"/>
      <w:marBottom w:val="0"/>
      <w:divBdr>
        <w:top w:val="none" w:sz="0" w:space="0" w:color="auto"/>
        <w:left w:val="none" w:sz="0" w:space="0" w:color="auto"/>
        <w:bottom w:val="none" w:sz="0" w:space="0" w:color="auto"/>
        <w:right w:val="none" w:sz="0" w:space="0" w:color="auto"/>
      </w:divBdr>
    </w:div>
    <w:div w:id="960770226">
      <w:bodyDiv w:val="1"/>
      <w:marLeft w:val="0"/>
      <w:marRight w:val="0"/>
      <w:marTop w:val="0"/>
      <w:marBottom w:val="0"/>
      <w:divBdr>
        <w:top w:val="none" w:sz="0" w:space="0" w:color="auto"/>
        <w:left w:val="none" w:sz="0" w:space="0" w:color="auto"/>
        <w:bottom w:val="none" w:sz="0" w:space="0" w:color="auto"/>
        <w:right w:val="none" w:sz="0" w:space="0" w:color="auto"/>
      </w:divBdr>
    </w:div>
    <w:div w:id="1041395807">
      <w:bodyDiv w:val="1"/>
      <w:marLeft w:val="0"/>
      <w:marRight w:val="0"/>
      <w:marTop w:val="0"/>
      <w:marBottom w:val="0"/>
      <w:divBdr>
        <w:top w:val="none" w:sz="0" w:space="0" w:color="auto"/>
        <w:left w:val="none" w:sz="0" w:space="0" w:color="auto"/>
        <w:bottom w:val="none" w:sz="0" w:space="0" w:color="auto"/>
        <w:right w:val="none" w:sz="0" w:space="0" w:color="auto"/>
      </w:divBdr>
    </w:div>
    <w:div w:id="1160314962">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524900293">
      <w:bodyDiv w:val="1"/>
      <w:marLeft w:val="0"/>
      <w:marRight w:val="0"/>
      <w:marTop w:val="0"/>
      <w:marBottom w:val="0"/>
      <w:divBdr>
        <w:top w:val="none" w:sz="0" w:space="0" w:color="auto"/>
        <w:left w:val="none" w:sz="0" w:space="0" w:color="auto"/>
        <w:bottom w:val="none" w:sz="0" w:space="0" w:color="auto"/>
        <w:right w:val="none" w:sz="0" w:space="0" w:color="auto"/>
      </w:divBdr>
    </w:div>
    <w:div w:id="1677492092">
      <w:bodyDiv w:val="1"/>
      <w:marLeft w:val="0"/>
      <w:marRight w:val="0"/>
      <w:marTop w:val="0"/>
      <w:marBottom w:val="0"/>
      <w:divBdr>
        <w:top w:val="none" w:sz="0" w:space="0" w:color="auto"/>
        <w:left w:val="none" w:sz="0" w:space="0" w:color="auto"/>
        <w:bottom w:val="none" w:sz="0" w:space="0" w:color="auto"/>
        <w:right w:val="none" w:sz="0" w:space="0" w:color="auto"/>
      </w:divBdr>
    </w:div>
    <w:div w:id="1716194203">
      <w:bodyDiv w:val="1"/>
      <w:marLeft w:val="0"/>
      <w:marRight w:val="0"/>
      <w:marTop w:val="0"/>
      <w:marBottom w:val="0"/>
      <w:divBdr>
        <w:top w:val="none" w:sz="0" w:space="0" w:color="auto"/>
        <w:left w:val="none" w:sz="0" w:space="0" w:color="auto"/>
        <w:bottom w:val="none" w:sz="0" w:space="0" w:color="auto"/>
        <w:right w:val="none" w:sz="0" w:space="0" w:color="auto"/>
      </w:divBdr>
    </w:div>
    <w:div w:id="1845701689">
      <w:bodyDiv w:val="1"/>
      <w:marLeft w:val="0"/>
      <w:marRight w:val="0"/>
      <w:marTop w:val="0"/>
      <w:marBottom w:val="0"/>
      <w:divBdr>
        <w:top w:val="none" w:sz="0" w:space="0" w:color="auto"/>
        <w:left w:val="none" w:sz="0" w:space="0" w:color="auto"/>
        <w:bottom w:val="none" w:sz="0" w:space="0" w:color="auto"/>
        <w:right w:val="none" w:sz="0" w:space="0" w:color="auto"/>
      </w:divBdr>
    </w:div>
    <w:div w:id="19435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gov.uk/contracts-finder" TargetMode="External"/><Relationship Id="rId3" Type="http://schemas.openxmlformats.org/officeDocument/2006/relationships/numbering" Target="numbering.xml"/><Relationship Id="rId21" Type="http://schemas.openxmlformats.org/officeDocument/2006/relationships/hyperlink" Target="https://www.orr.gov.uk/media/23638"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nationalarchives.gov.uk/doc/open-government-licence/version/3"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monitoring-regulation/rail/networks/network-rail/price-controls/pr23"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yperlink" Target="mailto:procurementteam@orr.gov.uk" TargetMode="External"/><Relationship Id="rId30" Type="http://schemas.openxmlformats.org/officeDocument/2006/relationships/footer" Target="footer6.xml"/><Relationship Id="rId35" Type="http://schemas.openxmlformats.org/officeDocument/2006/relationships/glossaryDocument" Target="glossary/document.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624DF8"/>
    <w:rsid w:val="00843948"/>
    <w:rsid w:val="009E0644"/>
    <w:rsid w:val="00A257DF"/>
    <w:rsid w:val="00A72823"/>
    <w:rsid w:val="00C506B8"/>
    <w:rsid w:val="00F0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359</TotalTime>
  <Pages>22</Pages>
  <Words>4573</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Title of project</dc:subject>
  <dc:creator>Angeriz-Santos, Paula</dc:creator>
  <cp:keywords/>
  <dc:description/>
  <cp:lastModifiedBy>Augusto, Barbara</cp:lastModifiedBy>
  <cp:revision>14</cp:revision>
  <cp:lastPrinted>2021-02-24T15:29:00Z</cp:lastPrinted>
  <dcterms:created xsi:type="dcterms:W3CDTF">2022-10-20T09:56:00Z</dcterms:created>
  <dcterms:modified xsi:type="dcterms:W3CDTF">2022-11-08T21:13:00Z</dcterms:modified>
</cp:coreProperties>
</file>