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65A5AC76" w:rsidR="000A3E97" w:rsidRPr="006255A8" w:rsidRDefault="00507A62" w:rsidP="006268C8">
      <w:pPr>
        <w:pStyle w:val="BodyText"/>
        <w:kinsoku w:val="0"/>
        <w:overflowPunct w:val="0"/>
        <w:spacing w:before="2"/>
        <w:ind w:left="567" w:right="-53" w:firstLine="0"/>
        <w:jc w:val="center"/>
        <w:rPr>
          <w:b/>
          <w:bCs/>
          <w:color w:val="FF0000"/>
          <w:spacing w:val="-1"/>
          <w:sz w:val="36"/>
          <w:szCs w:val="36"/>
        </w:rPr>
      </w:pPr>
      <w:bookmarkStart w:id="0" w:name="_Hlk163043427"/>
      <w:bookmarkStart w:id="1" w:name="_Hlk188374069"/>
      <w:bookmarkStart w:id="2" w:name="_Hlk188374368"/>
      <w:r>
        <w:rPr>
          <w:b/>
          <w:bCs/>
          <w:spacing w:val="-1"/>
          <w:sz w:val="36"/>
          <w:szCs w:val="36"/>
        </w:rPr>
        <w:t>MusicAbility Centre Phase 1</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05E14A7F"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507A62">
        <w:rPr>
          <w:b/>
          <w:bCs/>
          <w:sz w:val="36"/>
          <w:szCs w:val="36"/>
        </w:rPr>
        <w:t xml:space="preserve"> </w:t>
      </w:r>
      <w:r w:rsidR="00050B96">
        <w:rPr>
          <w:b/>
          <w:bCs/>
          <w:sz w:val="36"/>
          <w:szCs w:val="36"/>
        </w:rPr>
        <w:t>PZ-00095</w:t>
      </w:r>
    </w:p>
    <w:bookmarkEnd w:id="1"/>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bookmarkEnd w:id="2"/>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43383E2" w:rsidR="008B4124" w:rsidRDefault="000A3E97" w:rsidP="00676601">
      <w:pPr>
        <w:pStyle w:val="Heading1"/>
      </w:pPr>
      <w:r w:rsidRPr="004A562D">
        <w:lastRenderedPageBreak/>
        <w:t xml:space="preserve">About </w:t>
      </w:r>
      <w:proofErr w:type="spellStart"/>
      <w:r w:rsidR="00B36DC3">
        <w:t>MusicAbility</w:t>
      </w:r>
      <w:proofErr w:type="spellEnd"/>
      <w:r w:rsidR="00B36DC3">
        <w:t xml:space="preserve"> Foundation</w:t>
      </w:r>
    </w:p>
    <w:p w14:paraId="5F68E574" w14:textId="77777777" w:rsidR="00676601" w:rsidRPr="00676601" w:rsidRDefault="00676601" w:rsidP="00676601"/>
    <w:p w14:paraId="78192FC2" w14:textId="4D027FD6" w:rsidR="00024866" w:rsidRPr="00B36DC3" w:rsidRDefault="00481061" w:rsidP="00024866">
      <w:pPr>
        <w:rPr>
          <w:rFonts w:ascii="Verdana" w:hAnsi="Verdana"/>
          <w:sz w:val="22"/>
          <w:szCs w:val="22"/>
        </w:rPr>
      </w:pPr>
      <w:r w:rsidRPr="00B36DC3">
        <w:rPr>
          <w:rFonts w:ascii="Verdana" w:hAnsi="Verdana"/>
          <w:sz w:val="22"/>
          <w:szCs w:val="22"/>
        </w:rPr>
        <w:t>Penzance-based charity</w:t>
      </w:r>
      <w:bookmarkStart w:id="3" w:name="_Hlk188374095"/>
      <w:r w:rsidRPr="00B36DC3">
        <w:rPr>
          <w:rFonts w:ascii="Verdana" w:hAnsi="Verdana"/>
          <w:sz w:val="22"/>
          <w:szCs w:val="22"/>
        </w:rPr>
        <w:t xml:space="preserve"> MusicAbility Foundation</w:t>
      </w:r>
      <w:bookmarkEnd w:id="3"/>
      <w:r w:rsidRPr="00B36DC3">
        <w:rPr>
          <w:rFonts w:ascii="Verdana" w:hAnsi="Verdana"/>
          <w:sz w:val="22"/>
          <w:szCs w:val="22"/>
        </w:rPr>
        <w:t xml:space="preserve"> strives to improve the lives of people in this beautiful but economically deprived area of the UK through music therapy, music education and participation.  During the pandemic the Foundation was gifted a fine but rather run</w:t>
      </w:r>
      <w:r w:rsidR="000A3FB7">
        <w:rPr>
          <w:rFonts w:ascii="Verdana" w:hAnsi="Verdana"/>
          <w:sz w:val="22"/>
          <w:szCs w:val="22"/>
        </w:rPr>
        <w:t>-</w:t>
      </w:r>
      <w:r w:rsidRPr="00B36DC3">
        <w:rPr>
          <w:rFonts w:ascii="Verdana" w:hAnsi="Verdana"/>
          <w:sz w:val="22"/>
          <w:szCs w:val="22"/>
        </w:rPr>
        <w:t xml:space="preserve">down Grade 2 listed building in the centre of Penzance to create a music centre for health and well-being.  </w:t>
      </w:r>
      <w:r w:rsidR="00D22976" w:rsidRPr="00B36DC3">
        <w:rPr>
          <w:rFonts w:ascii="Verdana" w:hAnsi="Verdana" w:cstheme="majorBidi"/>
          <w:color w:val="000000" w:themeColor="text1"/>
          <w:sz w:val="22"/>
          <w:szCs w:val="22"/>
        </w:rPr>
        <w:t>MusicAbility is committed to creating flexible and inclusive musical opportunities for people of all ages, life-experience and abilities, and our services are frequently life</w:t>
      </w:r>
      <w:r w:rsidR="000A3FB7">
        <w:rPr>
          <w:rFonts w:ascii="Verdana" w:hAnsi="Verdana" w:cstheme="majorBidi"/>
          <w:color w:val="000000" w:themeColor="text1"/>
          <w:sz w:val="22"/>
          <w:szCs w:val="22"/>
        </w:rPr>
        <w:t>-</w:t>
      </w:r>
      <w:r w:rsidR="00D22976" w:rsidRPr="00B36DC3">
        <w:rPr>
          <w:rFonts w:ascii="Verdana" w:hAnsi="Verdana" w:cstheme="majorBidi"/>
          <w:color w:val="000000" w:themeColor="text1"/>
          <w:sz w:val="22"/>
          <w:szCs w:val="22"/>
        </w:rPr>
        <w:t xml:space="preserve">changing for the people we work with.   </w:t>
      </w:r>
      <w:r w:rsidR="00B36DC3" w:rsidRPr="00B36DC3">
        <w:rPr>
          <w:rFonts w:ascii="Verdana" w:hAnsi="Verdana" w:cstheme="majorHAnsi"/>
          <w:color w:val="000000" w:themeColor="text1"/>
          <w:sz w:val="22"/>
          <w:szCs w:val="18"/>
        </w:rPr>
        <w:t xml:space="preserve">On being gifted the building in June 2021 we created a </w:t>
      </w:r>
      <w:r w:rsidR="00B36DC3" w:rsidRPr="00B36DC3">
        <w:rPr>
          <w:rFonts w:ascii="Verdana" w:hAnsi="Verdana" w:cstheme="majorHAnsi"/>
          <w:color w:val="000000"/>
          <w:sz w:val="22"/>
          <w:szCs w:val="18"/>
          <w:shd w:val="clear" w:color="auto" w:fill="FFFFFF"/>
        </w:rPr>
        <w:t xml:space="preserve">dedicated music therapy room – the only fully equipped music therapy space west of Bristol.  This has enabled us to meet the needs of individuals and families, working in close partnership with local schools, social care, and mental health services. </w:t>
      </w:r>
      <w:r w:rsidR="00B36DC3" w:rsidRPr="00B36DC3">
        <w:rPr>
          <w:rFonts w:ascii="Verdana" w:hAnsi="Verdana" w:cstheme="majorHAnsi"/>
          <w:color w:val="000000" w:themeColor="text1"/>
          <w:sz w:val="22"/>
          <w:szCs w:val="18"/>
        </w:rPr>
        <w:t xml:space="preserve"> We are now working towards renovating and extending the rest of the building to become a unique socially focussed music centre, offering expanded music therapy services and spaces for music teaching, rehearsal and events.  The social impact of our project is significant – West Cornwall is rich in creativity but economically</w:t>
      </w:r>
      <w:r w:rsidR="00FD157A">
        <w:rPr>
          <w:rFonts w:ascii="Verdana" w:hAnsi="Verdana" w:cstheme="majorHAnsi"/>
          <w:color w:val="000000" w:themeColor="text1"/>
          <w:sz w:val="22"/>
          <w:szCs w:val="18"/>
        </w:rPr>
        <w:t>-</w:t>
      </w:r>
      <w:r w:rsidR="00B36DC3" w:rsidRPr="00B36DC3">
        <w:rPr>
          <w:rFonts w:ascii="Verdana" w:hAnsi="Verdana" w:cstheme="majorHAnsi"/>
          <w:color w:val="000000" w:themeColor="text1"/>
          <w:sz w:val="22"/>
          <w:szCs w:val="18"/>
        </w:rPr>
        <w:t>deprived and quite isolated – our catchment includes young people in the most deprived 1½ % in the UK.</w:t>
      </w:r>
    </w:p>
    <w:p w14:paraId="329C9F8C" w14:textId="77777777" w:rsidR="00F91691" w:rsidRPr="00F91691" w:rsidRDefault="00F91691" w:rsidP="00F91691">
      <w:pPr>
        <w:rPr>
          <w:rFonts w:ascii="Verdana" w:hAnsi="Verdana" w:cs="Verdana"/>
          <w:sz w:val="22"/>
          <w:szCs w:val="22"/>
        </w:rPr>
      </w:pPr>
    </w:p>
    <w:p w14:paraId="6EBD3F4C" w14:textId="72302A6A" w:rsidR="008D38AA" w:rsidRPr="00F91691" w:rsidRDefault="000A3E97" w:rsidP="00676601">
      <w:pPr>
        <w:pStyle w:val="Heading1"/>
      </w:pPr>
      <w:r w:rsidRPr="00F91691">
        <w:t>Background and Context</w:t>
      </w:r>
    </w:p>
    <w:p w14:paraId="6D322A56" w14:textId="6C326257" w:rsidR="002C6BD0" w:rsidRPr="00F91691" w:rsidRDefault="002C6BD0" w:rsidP="006268C8">
      <w:pPr>
        <w:rPr>
          <w:rFonts w:ascii="Verdana" w:hAnsi="Verdana"/>
          <w:sz w:val="22"/>
          <w:szCs w:val="22"/>
        </w:rPr>
      </w:pPr>
    </w:p>
    <w:p w14:paraId="75016FC5" w14:textId="1B123996" w:rsidR="002D4526" w:rsidRDefault="002D4526" w:rsidP="00FD157A">
      <w:pPr>
        <w:widowControl/>
        <w:autoSpaceDE/>
        <w:autoSpaceDN/>
        <w:adjustRightInd/>
        <w:spacing w:after="200"/>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426D9E56" w14:textId="77A40915" w:rsidR="006871AC" w:rsidRPr="006871AC" w:rsidRDefault="006871AC" w:rsidP="006871AC">
      <w:pPr>
        <w:rPr>
          <w:rFonts w:ascii="Verdana" w:hAnsi="Verdana"/>
          <w:sz w:val="22"/>
          <w:szCs w:val="22"/>
        </w:rPr>
      </w:pPr>
      <w:r w:rsidRPr="006871AC">
        <w:rPr>
          <w:rFonts w:ascii="Verdana" w:hAnsi="Verdana"/>
          <w:sz w:val="22"/>
          <w:szCs w:val="22"/>
        </w:rPr>
        <w:t xml:space="preserve">The charity </w:t>
      </w:r>
      <w:proofErr w:type="gramStart"/>
      <w:r w:rsidRPr="006871AC">
        <w:rPr>
          <w:rFonts w:ascii="Verdana" w:hAnsi="Verdana"/>
          <w:sz w:val="22"/>
          <w:szCs w:val="22"/>
        </w:rPr>
        <w:t>were</w:t>
      </w:r>
      <w:proofErr w:type="gramEnd"/>
      <w:r w:rsidRPr="006871AC">
        <w:rPr>
          <w:rFonts w:ascii="Verdana" w:hAnsi="Verdana"/>
          <w:sz w:val="22"/>
          <w:szCs w:val="22"/>
        </w:rPr>
        <w:t xml:space="preserve"> fortunate to be bequeathed the Grade II listed property at 10 Parade Street. At</w:t>
      </w:r>
      <w:r>
        <w:rPr>
          <w:rFonts w:ascii="Verdana" w:hAnsi="Verdana"/>
          <w:sz w:val="22"/>
          <w:szCs w:val="22"/>
        </w:rPr>
        <w:t xml:space="preserve"> </w:t>
      </w:r>
      <w:r w:rsidRPr="006871AC">
        <w:rPr>
          <w:rFonts w:ascii="Verdana" w:hAnsi="Verdana"/>
          <w:sz w:val="22"/>
          <w:szCs w:val="22"/>
        </w:rPr>
        <w:t>the time it had a number of tenants in-situ</w:t>
      </w:r>
      <w:r w:rsidR="008E1AFC">
        <w:rPr>
          <w:rFonts w:ascii="Verdana" w:hAnsi="Verdana"/>
          <w:sz w:val="22"/>
          <w:szCs w:val="22"/>
        </w:rPr>
        <w:t>,</w:t>
      </w:r>
      <w:r w:rsidRPr="006871AC">
        <w:rPr>
          <w:rFonts w:ascii="Verdana" w:hAnsi="Verdana"/>
          <w:sz w:val="22"/>
          <w:szCs w:val="22"/>
        </w:rPr>
        <w:t xml:space="preserve"> however these have gradually moved on</w:t>
      </w:r>
      <w:r>
        <w:rPr>
          <w:rFonts w:ascii="Verdana" w:hAnsi="Verdana"/>
          <w:sz w:val="22"/>
          <w:szCs w:val="22"/>
        </w:rPr>
        <w:t xml:space="preserve">. </w:t>
      </w:r>
      <w:r w:rsidRPr="006871AC">
        <w:rPr>
          <w:rFonts w:ascii="Verdana" w:hAnsi="Verdana"/>
          <w:sz w:val="22"/>
          <w:szCs w:val="22"/>
        </w:rPr>
        <w:t>The building is in a general good state of</w:t>
      </w:r>
      <w:r>
        <w:rPr>
          <w:rFonts w:ascii="Verdana" w:hAnsi="Verdana"/>
          <w:sz w:val="22"/>
          <w:szCs w:val="22"/>
        </w:rPr>
        <w:t xml:space="preserve"> </w:t>
      </w:r>
      <w:r w:rsidRPr="006871AC">
        <w:rPr>
          <w:rFonts w:ascii="Verdana" w:hAnsi="Verdana"/>
          <w:sz w:val="22"/>
          <w:szCs w:val="22"/>
        </w:rPr>
        <w:t>repair with the exception of the rear extension corridor which has a little damp. The building has limited use at present providing a venue for music therapy sessions and a small amount of private hire. The Foundation want to refurbish the building into a music centre to provide facilities for</w:t>
      </w:r>
      <w:r>
        <w:rPr>
          <w:rFonts w:ascii="Verdana" w:hAnsi="Verdana"/>
          <w:sz w:val="22"/>
          <w:szCs w:val="22"/>
        </w:rPr>
        <w:t xml:space="preserve"> </w:t>
      </w:r>
      <w:r w:rsidRPr="006871AC">
        <w:rPr>
          <w:rFonts w:ascii="Verdana" w:hAnsi="Verdana"/>
          <w:sz w:val="22"/>
          <w:szCs w:val="22"/>
        </w:rPr>
        <w:t>music lessons, rehearsal, performance,</w:t>
      </w:r>
      <w:r>
        <w:rPr>
          <w:rFonts w:ascii="Verdana" w:hAnsi="Verdana"/>
          <w:sz w:val="22"/>
          <w:szCs w:val="22"/>
        </w:rPr>
        <w:t xml:space="preserve"> </w:t>
      </w:r>
      <w:r w:rsidRPr="006871AC">
        <w:rPr>
          <w:rFonts w:ascii="Verdana" w:hAnsi="Verdana"/>
          <w:sz w:val="22"/>
          <w:szCs w:val="22"/>
        </w:rPr>
        <w:t>therapy and community engagement. This application is to</w:t>
      </w:r>
      <w:r>
        <w:rPr>
          <w:rFonts w:ascii="Verdana" w:hAnsi="Verdana"/>
          <w:sz w:val="22"/>
          <w:szCs w:val="22"/>
        </w:rPr>
        <w:t xml:space="preserve"> </w:t>
      </w:r>
      <w:r w:rsidRPr="006871AC">
        <w:rPr>
          <w:rFonts w:ascii="Verdana" w:hAnsi="Verdana"/>
          <w:sz w:val="22"/>
          <w:szCs w:val="22"/>
        </w:rPr>
        <w:t>support Phase One of the project which will see the ground</w:t>
      </w:r>
      <w:r>
        <w:rPr>
          <w:rFonts w:ascii="Verdana" w:hAnsi="Verdana"/>
          <w:sz w:val="22"/>
          <w:szCs w:val="22"/>
        </w:rPr>
        <w:t xml:space="preserve"> </w:t>
      </w:r>
      <w:r w:rsidRPr="006871AC">
        <w:rPr>
          <w:rFonts w:ascii="Verdana" w:hAnsi="Verdana"/>
          <w:sz w:val="22"/>
          <w:szCs w:val="22"/>
        </w:rPr>
        <w:t xml:space="preserve">floor reconfigured and renovated to </w:t>
      </w:r>
    </w:p>
    <w:p w14:paraId="4A1823EC" w14:textId="5AED9865" w:rsidR="006871AC" w:rsidRDefault="006871AC" w:rsidP="00024866">
      <w:pPr>
        <w:rPr>
          <w:rFonts w:ascii="Verdana" w:hAnsi="Verdana"/>
          <w:sz w:val="22"/>
          <w:szCs w:val="22"/>
        </w:rPr>
      </w:pPr>
      <w:r w:rsidRPr="006871AC">
        <w:rPr>
          <w:rFonts w:ascii="Verdana" w:hAnsi="Verdana"/>
          <w:sz w:val="22"/>
          <w:szCs w:val="22"/>
        </w:rPr>
        <w:t xml:space="preserve">improve accessibility and layout to meet the requirements identified through extensive consultation with the community and potential delivery organisations. </w:t>
      </w:r>
    </w:p>
    <w:p w14:paraId="05C9C56E" w14:textId="77777777" w:rsidR="009872AF" w:rsidRDefault="009872AF" w:rsidP="00024866">
      <w:pPr>
        <w:rPr>
          <w:rFonts w:ascii="Verdana" w:hAnsi="Verdana"/>
          <w:sz w:val="22"/>
          <w:szCs w:val="22"/>
        </w:rPr>
      </w:pPr>
    </w:p>
    <w:p w14:paraId="5E170BA8" w14:textId="77777777" w:rsidR="009872AF" w:rsidRDefault="009872AF" w:rsidP="00024866">
      <w:pPr>
        <w:rPr>
          <w:rFonts w:ascii="Verdana" w:hAnsi="Verdana"/>
          <w:sz w:val="22"/>
          <w:szCs w:val="22"/>
        </w:rPr>
      </w:pPr>
      <w:r w:rsidRPr="009872AF">
        <w:rPr>
          <w:rFonts w:ascii="Verdana" w:hAnsi="Verdana"/>
          <w:sz w:val="22"/>
          <w:szCs w:val="22"/>
        </w:rPr>
        <w:t>The refurbishment of the existing buildings includ</w:t>
      </w:r>
      <w:r>
        <w:rPr>
          <w:rFonts w:ascii="Verdana" w:hAnsi="Verdana"/>
          <w:sz w:val="22"/>
          <w:szCs w:val="22"/>
        </w:rPr>
        <w:t>es</w:t>
      </w:r>
      <w:r w:rsidRPr="009872AF">
        <w:rPr>
          <w:rFonts w:ascii="Verdana" w:hAnsi="Verdana"/>
          <w:sz w:val="22"/>
          <w:szCs w:val="22"/>
        </w:rPr>
        <w:t xml:space="preserve"> </w:t>
      </w:r>
    </w:p>
    <w:p w14:paraId="0904873A" w14:textId="1B5BCD1A" w:rsidR="009872AF" w:rsidRPr="0000415D" w:rsidRDefault="0000415D" w:rsidP="0000415D">
      <w:pPr>
        <w:pStyle w:val="ListParagraph"/>
        <w:numPr>
          <w:ilvl w:val="0"/>
          <w:numId w:val="15"/>
        </w:numPr>
        <w:rPr>
          <w:rFonts w:ascii="Verdana" w:hAnsi="Verdana"/>
          <w:sz w:val="22"/>
          <w:szCs w:val="22"/>
        </w:rPr>
      </w:pPr>
      <w:r w:rsidRPr="0000415D">
        <w:rPr>
          <w:rFonts w:ascii="Verdana" w:hAnsi="Verdana"/>
          <w:sz w:val="22"/>
          <w:szCs w:val="22"/>
        </w:rPr>
        <w:t>C</w:t>
      </w:r>
      <w:r w:rsidR="009872AF" w:rsidRPr="0000415D">
        <w:rPr>
          <w:rFonts w:ascii="Verdana" w:hAnsi="Verdana"/>
          <w:sz w:val="22"/>
          <w:szCs w:val="22"/>
        </w:rPr>
        <w:t xml:space="preserve">onstruction of a new entrance access ramp and steps to provide a level access </w:t>
      </w:r>
    </w:p>
    <w:p w14:paraId="54830D64" w14:textId="69CE6983" w:rsidR="009872AF" w:rsidRPr="0000415D" w:rsidRDefault="0000415D" w:rsidP="0000415D">
      <w:pPr>
        <w:pStyle w:val="ListParagraph"/>
        <w:numPr>
          <w:ilvl w:val="0"/>
          <w:numId w:val="15"/>
        </w:numPr>
        <w:rPr>
          <w:rFonts w:ascii="Verdana" w:hAnsi="Verdana"/>
          <w:sz w:val="22"/>
          <w:szCs w:val="22"/>
        </w:rPr>
      </w:pPr>
      <w:r w:rsidRPr="0000415D">
        <w:rPr>
          <w:rFonts w:ascii="Verdana" w:hAnsi="Verdana"/>
          <w:sz w:val="22"/>
          <w:szCs w:val="22"/>
        </w:rPr>
        <w:t>N</w:t>
      </w:r>
      <w:r w:rsidR="009872AF" w:rsidRPr="0000415D">
        <w:rPr>
          <w:rFonts w:ascii="Verdana" w:hAnsi="Verdana"/>
          <w:sz w:val="22"/>
          <w:szCs w:val="22"/>
        </w:rPr>
        <w:t xml:space="preserve">ew toilets to rear entrance area </w:t>
      </w:r>
    </w:p>
    <w:p w14:paraId="7673E58A" w14:textId="6E0D0F3B" w:rsidR="009872AF" w:rsidRPr="0000415D" w:rsidRDefault="0000415D" w:rsidP="0000415D">
      <w:pPr>
        <w:pStyle w:val="ListParagraph"/>
        <w:numPr>
          <w:ilvl w:val="0"/>
          <w:numId w:val="15"/>
        </w:numPr>
        <w:rPr>
          <w:rFonts w:ascii="Verdana" w:hAnsi="Verdana"/>
          <w:sz w:val="22"/>
          <w:szCs w:val="22"/>
        </w:rPr>
      </w:pPr>
      <w:r w:rsidRPr="0000415D">
        <w:rPr>
          <w:rFonts w:ascii="Verdana" w:hAnsi="Verdana"/>
          <w:sz w:val="22"/>
          <w:szCs w:val="22"/>
        </w:rPr>
        <w:t>N</w:t>
      </w:r>
      <w:r w:rsidR="009872AF" w:rsidRPr="0000415D">
        <w:rPr>
          <w:rFonts w:ascii="Verdana" w:hAnsi="Verdana"/>
          <w:sz w:val="22"/>
          <w:szCs w:val="22"/>
        </w:rPr>
        <w:t>ew fire compartmentation works to the protected corridor and between the Basement and the Ground Floor</w:t>
      </w:r>
    </w:p>
    <w:p w14:paraId="1D6939A0" w14:textId="77777777" w:rsidR="009872AF" w:rsidRPr="0000415D" w:rsidRDefault="009872AF" w:rsidP="0000415D">
      <w:pPr>
        <w:pStyle w:val="ListParagraph"/>
        <w:numPr>
          <w:ilvl w:val="0"/>
          <w:numId w:val="15"/>
        </w:numPr>
        <w:rPr>
          <w:rFonts w:ascii="Verdana" w:hAnsi="Verdana"/>
          <w:sz w:val="22"/>
          <w:szCs w:val="22"/>
        </w:rPr>
      </w:pPr>
      <w:r w:rsidRPr="0000415D">
        <w:rPr>
          <w:rFonts w:ascii="Verdana" w:hAnsi="Verdana"/>
          <w:sz w:val="22"/>
          <w:szCs w:val="22"/>
        </w:rPr>
        <w:t>refurbished and new doors to upgrade fire and sound insulation</w:t>
      </w:r>
    </w:p>
    <w:p w14:paraId="18FCEC7B" w14:textId="77777777" w:rsidR="009872AF" w:rsidRPr="0000415D" w:rsidRDefault="009872AF" w:rsidP="0000415D">
      <w:pPr>
        <w:pStyle w:val="ListParagraph"/>
        <w:numPr>
          <w:ilvl w:val="0"/>
          <w:numId w:val="15"/>
        </w:numPr>
        <w:rPr>
          <w:rFonts w:ascii="Verdana" w:hAnsi="Verdana"/>
          <w:sz w:val="22"/>
          <w:szCs w:val="22"/>
        </w:rPr>
      </w:pPr>
      <w:r w:rsidRPr="0000415D">
        <w:rPr>
          <w:rFonts w:ascii="Verdana" w:hAnsi="Verdana"/>
          <w:sz w:val="22"/>
          <w:szCs w:val="22"/>
        </w:rPr>
        <w:t>New mechanical ventilation system to the principal ground floor rooms and basement</w:t>
      </w:r>
    </w:p>
    <w:p w14:paraId="687B0894" w14:textId="77777777" w:rsidR="009872AF" w:rsidRPr="0000415D" w:rsidRDefault="009872AF" w:rsidP="0000415D">
      <w:pPr>
        <w:pStyle w:val="ListParagraph"/>
        <w:numPr>
          <w:ilvl w:val="0"/>
          <w:numId w:val="15"/>
        </w:numPr>
        <w:rPr>
          <w:rFonts w:ascii="Verdana" w:hAnsi="Verdana"/>
          <w:sz w:val="22"/>
          <w:szCs w:val="22"/>
        </w:rPr>
      </w:pPr>
      <w:r w:rsidRPr="0000415D">
        <w:rPr>
          <w:rFonts w:ascii="Verdana" w:hAnsi="Verdana"/>
          <w:sz w:val="22"/>
          <w:szCs w:val="22"/>
        </w:rPr>
        <w:t>New suspended ceilings and ceiling linings</w:t>
      </w:r>
    </w:p>
    <w:p w14:paraId="48ECDF12" w14:textId="5775C22E" w:rsidR="009872AF" w:rsidRPr="0000415D" w:rsidRDefault="009872AF" w:rsidP="0000415D">
      <w:pPr>
        <w:pStyle w:val="ListParagraph"/>
        <w:numPr>
          <w:ilvl w:val="0"/>
          <w:numId w:val="15"/>
        </w:numPr>
        <w:rPr>
          <w:rFonts w:ascii="Verdana" w:hAnsi="Verdana"/>
          <w:sz w:val="22"/>
          <w:szCs w:val="22"/>
        </w:rPr>
      </w:pPr>
      <w:r w:rsidRPr="0000415D">
        <w:rPr>
          <w:rFonts w:ascii="Verdana" w:hAnsi="Verdana"/>
          <w:sz w:val="22"/>
          <w:szCs w:val="22"/>
        </w:rPr>
        <w:t>Refurbished windows and new s</w:t>
      </w:r>
      <w:r w:rsidR="0000415D" w:rsidRPr="0000415D">
        <w:rPr>
          <w:rFonts w:ascii="Verdana" w:hAnsi="Verdana"/>
          <w:sz w:val="22"/>
          <w:szCs w:val="22"/>
        </w:rPr>
        <w:t>econdary glazing</w:t>
      </w:r>
    </w:p>
    <w:p w14:paraId="3879532C" w14:textId="78753CA4" w:rsidR="0000415D" w:rsidRPr="0000415D" w:rsidRDefault="0000415D" w:rsidP="0000415D">
      <w:pPr>
        <w:pStyle w:val="ListParagraph"/>
        <w:numPr>
          <w:ilvl w:val="0"/>
          <w:numId w:val="15"/>
        </w:numPr>
        <w:rPr>
          <w:rFonts w:ascii="Verdana" w:hAnsi="Verdana"/>
          <w:sz w:val="22"/>
          <w:szCs w:val="22"/>
        </w:rPr>
      </w:pPr>
      <w:r w:rsidRPr="0000415D">
        <w:rPr>
          <w:rFonts w:ascii="Verdana" w:hAnsi="Verdana"/>
          <w:sz w:val="22"/>
          <w:szCs w:val="22"/>
        </w:rPr>
        <w:t>New decorations and finishes</w:t>
      </w:r>
    </w:p>
    <w:p w14:paraId="14859B52" w14:textId="77777777" w:rsidR="008E1AFC" w:rsidRDefault="008E1AFC" w:rsidP="00024866">
      <w:pPr>
        <w:rPr>
          <w:rFonts w:ascii="Verdana" w:hAnsi="Verdana"/>
          <w:sz w:val="22"/>
          <w:szCs w:val="22"/>
        </w:rPr>
      </w:pPr>
    </w:p>
    <w:p w14:paraId="681A1628" w14:textId="77777777" w:rsidR="0000415D" w:rsidRDefault="0000415D" w:rsidP="00024866">
      <w:pPr>
        <w:rPr>
          <w:rFonts w:ascii="Verdana" w:hAnsi="Verdana"/>
          <w:sz w:val="22"/>
          <w:szCs w:val="22"/>
        </w:rPr>
      </w:pPr>
    </w:p>
    <w:p w14:paraId="5061A809" w14:textId="77777777" w:rsidR="00231E45" w:rsidRDefault="00231E45" w:rsidP="00024866">
      <w:pPr>
        <w:rPr>
          <w:rFonts w:ascii="Verdana" w:hAnsi="Verdana"/>
          <w:sz w:val="22"/>
          <w:szCs w:val="22"/>
        </w:rPr>
      </w:pPr>
    </w:p>
    <w:p w14:paraId="1B6051BD" w14:textId="77777777" w:rsidR="00231E45" w:rsidRDefault="00231E45" w:rsidP="00024866">
      <w:pPr>
        <w:rPr>
          <w:rFonts w:ascii="Verdana" w:hAnsi="Verdana"/>
          <w:sz w:val="22"/>
          <w:szCs w:val="22"/>
        </w:rPr>
      </w:pPr>
    </w:p>
    <w:p w14:paraId="27EA7319" w14:textId="77777777" w:rsidR="0000415D" w:rsidRPr="00024866" w:rsidRDefault="0000415D" w:rsidP="00531F16">
      <w:pPr>
        <w:tabs>
          <w:tab w:val="left" w:pos="1134"/>
        </w:tabs>
        <w:rPr>
          <w:rFonts w:ascii="Verdana" w:hAnsi="Verdana"/>
          <w:sz w:val="22"/>
          <w:szCs w:val="22"/>
        </w:rPr>
      </w:pPr>
    </w:p>
    <w:p w14:paraId="515771A5" w14:textId="190A762B" w:rsidR="000F0421" w:rsidRPr="004A562D" w:rsidRDefault="000F0421" w:rsidP="00676601">
      <w:pPr>
        <w:pStyle w:val="Heading1"/>
      </w:pPr>
      <w:r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1E7CDA82" w14:textId="77777777" w:rsidR="00976C7D" w:rsidRDefault="00976C7D" w:rsidP="00976C7D">
      <w:pPr>
        <w:pStyle w:val="BodyText"/>
        <w:kinsoku w:val="0"/>
        <w:overflowPunct w:val="0"/>
        <w:ind w:left="0" w:firstLine="0"/>
        <w:rPr>
          <w:spacing w:val="-1"/>
          <w:sz w:val="24"/>
          <w:szCs w:val="24"/>
        </w:rPr>
      </w:pPr>
      <w:r w:rsidRPr="0082440D">
        <w:rPr>
          <w:spacing w:val="-1"/>
          <w:sz w:val="24"/>
          <w:szCs w:val="24"/>
        </w:rPr>
        <w:t>The successful tenderer will be expected to undertake the following activities</w:t>
      </w:r>
      <w:r>
        <w:rPr>
          <w:spacing w:val="-1"/>
          <w:sz w:val="24"/>
          <w:szCs w:val="24"/>
        </w:rPr>
        <w:t xml:space="preserve"> as set out in the Schedule of Works and the following set of supporting documents which will form Enclosure 1:</w:t>
      </w:r>
    </w:p>
    <w:p w14:paraId="49F32578" w14:textId="3BFD0B7B" w:rsidR="006255A8" w:rsidRDefault="003B19A0" w:rsidP="007B27FE">
      <w:pPr>
        <w:pStyle w:val="Neading3"/>
        <w:rPr>
          <w:rFonts w:cs="Arial"/>
          <w:b/>
          <w:bCs/>
        </w:rPr>
      </w:pPr>
      <w:r>
        <w:rPr>
          <w:rFonts w:cs="Arial"/>
          <w:b/>
          <w:bCs/>
          <w:noProof/>
        </w:rPr>
        <w:drawing>
          <wp:inline distT="0" distB="0" distL="0" distR="0" wp14:anchorId="16CBB3C3" wp14:editId="582C7122">
            <wp:extent cx="3808800" cy="653040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800" cy="6530400"/>
                    </a:xfrm>
                    <a:prstGeom prst="rect">
                      <a:avLst/>
                    </a:prstGeom>
                    <a:noFill/>
                  </pic:spPr>
                </pic:pic>
              </a:graphicData>
            </a:graphic>
          </wp:inline>
        </w:drawing>
      </w:r>
    </w:p>
    <w:p w14:paraId="1B92F6B0" w14:textId="355A28C3" w:rsidR="007B44AD" w:rsidRDefault="003B19A0" w:rsidP="00F138F1">
      <w:pPr>
        <w:widowControl/>
        <w:kinsoku w:val="0"/>
        <w:overflowPunct w:val="0"/>
        <w:autoSpaceDE/>
        <w:autoSpaceDN/>
        <w:adjustRightInd/>
        <w:textAlignment w:val="baseline"/>
        <w:rPr>
          <w:rStyle w:val="Heading1Char"/>
        </w:rPr>
      </w:pPr>
      <w:r>
        <w:rPr>
          <w:rStyle w:val="Heading1Char"/>
          <w:noProof/>
        </w:rPr>
        <w:lastRenderedPageBreak/>
        <w:drawing>
          <wp:inline distT="0" distB="0" distL="0" distR="0" wp14:anchorId="654124F6" wp14:editId="5EDA9A4D">
            <wp:extent cx="2656800" cy="3355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800" cy="3355200"/>
                    </a:xfrm>
                    <a:prstGeom prst="rect">
                      <a:avLst/>
                    </a:prstGeom>
                    <a:noFill/>
                  </pic:spPr>
                </pic:pic>
              </a:graphicData>
            </a:graphic>
          </wp:inline>
        </w:drawing>
      </w:r>
    </w:p>
    <w:p w14:paraId="381F04AF" w14:textId="654B79F7" w:rsidR="00291422" w:rsidRPr="00043839" w:rsidRDefault="00C21622" w:rsidP="00676601">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42E676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w:t>
      </w:r>
      <w:r w:rsidRPr="00512D08">
        <w:rPr>
          <w:rFonts w:ascii="Verdana" w:hAnsi="Verdana"/>
          <w:color w:val="000000" w:themeColor="text1"/>
          <w:sz w:val="22"/>
          <w:szCs w:val="22"/>
        </w:rPr>
        <w:t xml:space="preserve">is </w:t>
      </w:r>
      <w:r w:rsidR="00381600" w:rsidRPr="00512D08">
        <w:rPr>
          <w:rFonts w:ascii="Verdana" w:hAnsi="Verdana"/>
          <w:color w:val="000000" w:themeColor="text1"/>
          <w:sz w:val="22"/>
          <w:szCs w:val="22"/>
        </w:rPr>
        <w:t>£</w:t>
      </w:r>
      <w:r w:rsidR="00512D08" w:rsidRPr="00512D08">
        <w:rPr>
          <w:rFonts w:ascii="Verdana" w:hAnsi="Verdana"/>
          <w:color w:val="000000" w:themeColor="text1"/>
          <w:sz w:val="22"/>
          <w:szCs w:val="22"/>
        </w:rPr>
        <w:t>75</w:t>
      </w:r>
      <w:r w:rsidR="00C20407" w:rsidRPr="00512D08">
        <w:rPr>
          <w:rFonts w:ascii="Verdana" w:hAnsi="Verdana"/>
          <w:color w:val="000000" w:themeColor="text1"/>
          <w:sz w:val="22"/>
          <w:szCs w:val="22"/>
        </w:rPr>
        <w:t xml:space="preserve">,000 </w:t>
      </w:r>
      <w:r w:rsidR="00381600" w:rsidRPr="00512D08">
        <w:rPr>
          <w:rFonts w:ascii="Verdana" w:hAnsi="Verdana"/>
          <w:color w:val="000000" w:themeColor="text1"/>
          <w:sz w:val="22"/>
          <w:szCs w:val="22"/>
        </w:rPr>
        <w:t>(</w:t>
      </w:r>
      <w:proofErr w:type="spellStart"/>
      <w:r w:rsidR="00381600" w:rsidRPr="00512D08">
        <w:rPr>
          <w:rFonts w:ascii="Verdana" w:hAnsi="Verdana"/>
          <w:color w:val="000000" w:themeColor="text1"/>
          <w:sz w:val="22"/>
          <w:szCs w:val="22"/>
        </w:rPr>
        <w:t>exc</w:t>
      </w:r>
      <w:proofErr w:type="spellEnd"/>
      <w:r w:rsidR="00381600" w:rsidRPr="00512D08">
        <w:rPr>
          <w:rFonts w:ascii="Verdana" w:hAnsi="Verdana"/>
          <w:color w:val="000000" w:themeColor="text1"/>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474894FC" w:rsidR="00BB1F13" w:rsidRPr="00043839" w:rsidRDefault="00531F16" w:rsidP="00676601">
      <w:pPr>
        <w:pStyle w:val="Heading1"/>
        <w:numPr>
          <w:ilvl w:val="0"/>
          <w:numId w:val="0"/>
        </w:numPr>
        <w:ind w:left="1134" w:hanging="1134"/>
      </w:pPr>
      <w:r>
        <w:t xml:space="preserve">5.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02E6D0F6" w14:textId="362841C0" w:rsidR="00EF1706" w:rsidRDefault="00BB1F13" w:rsidP="00CE78BC">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t>
      </w:r>
      <w:r w:rsidR="0030497B" w:rsidRPr="00512D08">
        <w:rPr>
          <w:rFonts w:ascii="Verdana" w:hAnsi="Verdana"/>
          <w:color w:val="000000" w:themeColor="text1"/>
          <w:sz w:val="22"/>
          <w:szCs w:val="22"/>
        </w:rPr>
        <w:t xml:space="preserve">with </w:t>
      </w:r>
      <w:proofErr w:type="gramStart"/>
      <w:r w:rsidR="00676601">
        <w:rPr>
          <w:rFonts w:ascii="Verdana" w:hAnsi="Verdana"/>
          <w:color w:val="000000" w:themeColor="text1"/>
          <w:sz w:val="22"/>
          <w:szCs w:val="22"/>
        </w:rPr>
        <w:t>either a</w:t>
      </w:r>
      <w:proofErr w:type="gramEnd"/>
      <w:r w:rsidR="00676601">
        <w:rPr>
          <w:rFonts w:ascii="Verdana" w:hAnsi="Verdana"/>
          <w:color w:val="000000" w:themeColor="text1"/>
          <w:sz w:val="22"/>
          <w:szCs w:val="22"/>
        </w:rPr>
        <w:t xml:space="preserve"> </w:t>
      </w:r>
      <w:r w:rsidR="006255A8" w:rsidRPr="00512D08">
        <w:rPr>
          <w:rFonts w:ascii="Verdana" w:hAnsi="Verdana"/>
          <w:color w:val="000000" w:themeColor="text1"/>
          <w:sz w:val="22"/>
          <w:szCs w:val="22"/>
        </w:rPr>
        <w:t>NEC Short Form/RIBA/</w:t>
      </w:r>
      <w:r w:rsidR="00AB7130" w:rsidRPr="00512D08">
        <w:rPr>
          <w:rFonts w:ascii="Verdana" w:eastAsia="Times New Roman" w:hAnsi="Verdana" w:cs="Arial Narrow"/>
          <w:color w:val="000000" w:themeColor="text1"/>
          <w:sz w:val="22"/>
          <w:szCs w:val="22"/>
        </w:rPr>
        <w:t xml:space="preserve">JCT Minor Works </w:t>
      </w:r>
      <w:r w:rsidR="006255A8" w:rsidRPr="00512D08">
        <w:rPr>
          <w:rFonts w:ascii="Verdana" w:eastAsia="Times New Roman" w:hAnsi="Verdana" w:cs="Arial Narrow"/>
          <w:color w:val="000000" w:themeColor="text1"/>
          <w:sz w:val="22"/>
          <w:szCs w:val="22"/>
        </w:rPr>
        <w:t>(</w:t>
      </w:r>
      <w:r w:rsidR="00AB7130" w:rsidRPr="00512D08">
        <w:rPr>
          <w:rFonts w:ascii="Verdana" w:eastAsia="Times New Roman" w:hAnsi="Verdana" w:cs="Arial Narrow"/>
          <w:color w:val="000000" w:themeColor="text1"/>
          <w:sz w:val="22"/>
          <w:szCs w:val="22"/>
        </w:rPr>
        <w:t>with Contractors Design to M&amp;E portion)</w:t>
      </w:r>
      <w:r w:rsidR="00676601">
        <w:rPr>
          <w:rFonts w:ascii="Verdana" w:eastAsia="Times New Roman" w:hAnsi="Verdana" w:cs="Arial Narrow"/>
          <w:color w:val="000000" w:themeColor="text1"/>
          <w:sz w:val="22"/>
          <w:szCs w:val="22"/>
        </w:rPr>
        <w:t xml:space="preserve"> (to be agreed)</w:t>
      </w:r>
      <w:r w:rsidR="00AB7130" w:rsidRPr="00512D08">
        <w:rPr>
          <w:rFonts w:ascii="Verdana" w:eastAsia="Times New Roman" w:hAnsi="Verdana" w:cs="Arial Narrow"/>
          <w:color w:val="000000" w:themeColor="text1"/>
          <w:sz w:val="22"/>
          <w:szCs w:val="22"/>
        </w:rPr>
        <w:t xml:space="preserve"> </w:t>
      </w:r>
      <w:r w:rsidR="0030497B">
        <w:rPr>
          <w:rFonts w:ascii="Verdana" w:hAnsi="Verdana"/>
          <w:sz w:val="22"/>
          <w:szCs w:val="22"/>
        </w:rPr>
        <w:t xml:space="preserve">form of contract but must complete no later </w:t>
      </w:r>
      <w:r w:rsidR="0030497B" w:rsidRPr="00CE78BC">
        <w:rPr>
          <w:rFonts w:ascii="Verdana" w:hAnsi="Verdana"/>
          <w:color w:val="000000" w:themeColor="text1"/>
          <w:sz w:val="22"/>
          <w:szCs w:val="22"/>
        </w:rPr>
        <w:t xml:space="preserve">than </w:t>
      </w:r>
      <w:r w:rsidR="00512D08" w:rsidRPr="00CE78BC">
        <w:rPr>
          <w:rFonts w:ascii="Verdana" w:hAnsi="Verdana"/>
          <w:color w:val="000000" w:themeColor="text1"/>
          <w:sz w:val="22"/>
          <w:szCs w:val="22"/>
        </w:rPr>
        <w:t>31</w:t>
      </w:r>
      <w:r w:rsidR="00512D08" w:rsidRPr="00CE78BC">
        <w:rPr>
          <w:rFonts w:ascii="Verdana" w:hAnsi="Verdana"/>
          <w:color w:val="000000" w:themeColor="text1"/>
          <w:sz w:val="22"/>
          <w:szCs w:val="22"/>
          <w:vertAlign w:val="superscript"/>
        </w:rPr>
        <w:t>st</w:t>
      </w:r>
      <w:r w:rsidR="00512D08" w:rsidRPr="00CE78BC">
        <w:rPr>
          <w:rFonts w:ascii="Verdana" w:hAnsi="Verdana"/>
          <w:color w:val="000000" w:themeColor="text1"/>
          <w:sz w:val="22"/>
          <w:szCs w:val="22"/>
        </w:rPr>
        <w:t xml:space="preserve"> October 2025</w:t>
      </w:r>
      <w:r w:rsidRPr="00CE78BC">
        <w:rPr>
          <w:rFonts w:ascii="Verdana" w:hAnsi="Verdana"/>
          <w:color w:val="000000" w:themeColor="text1"/>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676601">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76601">
        <w:trPr>
          <w:trHeight w:hRule="exact" w:val="436"/>
        </w:trPr>
        <w:tc>
          <w:tcPr>
            <w:tcW w:w="5415"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090" w:type="dxa"/>
            <w:shd w:val="clear" w:color="auto" w:fill="auto"/>
          </w:tcPr>
          <w:p w14:paraId="35F0009A" w14:textId="31E4C2C5" w:rsidR="004A562D" w:rsidRPr="00231011" w:rsidRDefault="00EF1706" w:rsidP="004A562D">
            <w:pPr>
              <w:pStyle w:val="TableParagraph"/>
              <w:kinsoku w:val="0"/>
              <w:overflowPunct w:val="0"/>
              <w:rPr>
                <w:rFonts w:ascii="Verdana" w:hAnsi="Verdana"/>
                <w:sz w:val="22"/>
                <w:szCs w:val="22"/>
              </w:rPr>
            </w:pPr>
            <w:proofErr w:type="gramStart"/>
            <w:r>
              <w:rPr>
                <w:rFonts w:ascii="Verdana" w:hAnsi="Verdana"/>
                <w:sz w:val="22"/>
                <w:szCs w:val="22"/>
              </w:rPr>
              <w:t>2</w:t>
            </w:r>
            <w:r w:rsidR="00676601">
              <w:rPr>
                <w:rFonts w:ascii="Verdana" w:hAnsi="Verdana"/>
                <w:sz w:val="22"/>
                <w:szCs w:val="22"/>
              </w:rPr>
              <w:t>2</w:t>
            </w:r>
            <w:r w:rsidRPr="00EF1706">
              <w:rPr>
                <w:rFonts w:ascii="Verdana" w:hAnsi="Verdana"/>
                <w:sz w:val="22"/>
                <w:szCs w:val="22"/>
                <w:vertAlign w:val="superscript"/>
              </w:rPr>
              <w:t>th</w:t>
            </w:r>
            <w:proofErr w:type="gramEnd"/>
            <w:r>
              <w:rPr>
                <w:rFonts w:ascii="Verdana" w:hAnsi="Verdana"/>
                <w:sz w:val="22"/>
                <w:szCs w:val="22"/>
              </w:rPr>
              <w:t xml:space="preserve"> January 2025</w:t>
            </w:r>
          </w:p>
        </w:tc>
      </w:tr>
      <w:tr w:rsidR="00AB7130" w:rsidRPr="00043839" w14:paraId="76DF3964" w14:textId="77777777" w:rsidTr="00676601">
        <w:trPr>
          <w:trHeight w:hRule="exact" w:val="578"/>
        </w:trPr>
        <w:tc>
          <w:tcPr>
            <w:tcW w:w="5415"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013386D3" w:rsidR="00AE742E" w:rsidRPr="00231011" w:rsidRDefault="00EF1706" w:rsidP="004A562D">
            <w:pPr>
              <w:pStyle w:val="TableParagraph"/>
              <w:kinsoku w:val="0"/>
              <w:overflowPunct w:val="0"/>
              <w:ind w:left="102"/>
              <w:rPr>
                <w:rFonts w:ascii="Verdana" w:hAnsi="Verdana"/>
                <w:sz w:val="22"/>
                <w:szCs w:val="22"/>
              </w:rPr>
            </w:pPr>
            <w:r w:rsidRPr="00EF1706">
              <w:rPr>
                <w:rFonts w:ascii="Verdana" w:hAnsi="Verdana"/>
                <w:sz w:val="22"/>
                <w:szCs w:val="22"/>
              </w:rPr>
              <w:t>Tim Boulton, hello@musicabilityfoundation.uk</w:t>
            </w:r>
          </w:p>
        </w:tc>
        <w:tc>
          <w:tcPr>
            <w:tcW w:w="3090" w:type="dxa"/>
            <w:shd w:val="clear" w:color="auto" w:fill="auto"/>
          </w:tcPr>
          <w:p w14:paraId="44FB46FD" w14:textId="1D99A190" w:rsidR="00AB7130" w:rsidRPr="00231011" w:rsidRDefault="00676601" w:rsidP="004A562D">
            <w:pPr>
              <w:pStyle w:val="TableParagraph"/>
              <w:kinsoku w:val="0"/>
              <w:overflowPunct w:val="0"/>
              <w:rPr>
                <w:rFonts w:ascii="Verdana" w:hAnsi="Verdana"/>
                <w:sz w:val="22"/>
                <w:szCs w:val="22"/>
              </w:rPr>
            </w:pPr>
            <w:r>
              <w:rPr>
                <w:rFonts w:ascii="Verdana" w:hAnsi="Verdana"/>
                <w:sz w:val="22"/>
                <w:szCs w:val="22"/>
              </w:rPr>
              <w:t>23 January 2025 -</w:t>
            </w:r>
            <w:r w:rsidR="00EF1706">
              <w:rPr>
                <w:rFonts w:ascii="Verdana" w:hAnsi="Verdana"/>
                <w:sz w:val="22"/>
                <w:szCs w:val="22"/>
              </w:rPr>
              <w:t xml:space="preserve"> </w:t>
            </w:r>
            <w:r w:rsidR="003B19A0">
              <w:rPr>
                <w:rFonts w:ascii="Verdana" w:hAnsi="Verdana"/>
                <w:sz w:val="22"/>
                <w:szCs w:val="22"/>
              </w:rPr>
              <w:t>12</w:t>
            </w:r>
            <w:r w:rsidR="00EF1706">
              <w:rPr>
                <w:rFonts w:ascii="Verdana" w:hAnsi="Verdana"/>
                <w:sz w:val="22"/>
                <w:szCs w:val="22"/>
              </w:rPr>
              <w:t xml:space="preserve"> February 2025</w:t>
            </w:r>
          </w:p>
        </w:tc>
      </w:tr>
      <w:tr w:rsidR="004A562D" w:rsidRPr="00043839" w14:paraId="6C13F099" w14:textId="77777777" w:rsidTr="00676601">
        <w:trPr>
          <w:trHeight w:hRule="exact" w:val="651"/>
        </w:trPr>
        <w:tc>
          <w:tcPr>
            <w:tcW w:w="5415" w:type="dxa"/>
            <w:shd w:val="clear" w:color="auto" w:fill="auto"/>
          </w:tcPr>
          <w:p w14:paraId="5482D8F3" w14:textId="51BB7C90"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3090" w:type="dxa"/>
            <w:shd w:val="clear" w:color="auto" w:fill="auto"/>
          </w:tcPr>
          <w:p w14:paraId="3AC9D598" w14:textId="4C6B65CE" w:rsidR="004A562D" w:rsidRPr="00231011" w:rsidRDefault="00676601" w:rsidP="004A562D">
            <w:pPr>
              <w:pStyle w:val="TableParagraph"/>
              <w:kinsoku w:val="0"/>
              <w:overflowPunct w:val="0"/>
              <w:rPr>
                <w:rFonts w:ascii="Verdana" w:hAnsi="Verdana"/>
                <w:sz w:val="22"/>
                <w:szCs w:val="22"/>
              </w:rPr>
            </w:pPr>
            <w:r>
              <w:rPr>
                <w:rFonts w:ascii="Verdana" w:hAnsi="Verdana"/>
                <w:sz w:val="22"/>
                <w:szCs w:val="22"/>
              </w:rPr>
              <w:t>1700:13</w:t>
            </w:r>
            <w:r w:rsidR="00EF1706">
              <w:rPr>
                <w:rFonts w:ascii="Verdana" w:hAnsi="Verdana"/>
                <w:sz w:val="22"/>
                <w:szCs w:val="22"/>
              </w:rPr>
              <w:t xml:space="preserve"> February 2025</w:t>
            </w:r>
          </w:p>
        </w:tc>
      </w:tr>
      <w:tr w:rsidR="004A562D" w:rsidRPr="00043839" w14:paraId="7A17DE84" w14:textId="77777777" w:rsidTr="00676601">
        <w:trPr>
          <w:trHeight w:hRule="exact" w:val="421"/>
        </w:trPr>
        <w:tc>
          <w:tcPr>
            <w:tcW w:w="5415"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090" w:type="dxa"/>
            <w:shd w:val="clear" w:color="auto" w:fill="auto"/>
          </w:tcPr>
          <w:p w14:paraId="6D29DD33" w14:textId="79181838" w:rsidR="004A562D" w:rsidRPr="00231011" w:rsidRDefault="00676601" w:rsidP="004A562D">
            <w:pPr>
              <w:pStyle w:val="TableParagraph"/>
              <w:kinsoku w:val="0"/>
              <w:overflowPunct w:val="0"/>
              <w:rPr>
                <w:rFonts w:ascii="Verdana" w:hAnsi="Verdana"/>
                <w:sz w:val="22"/>
                <w:szCs w:val="22"/>
              </w:rPr>
            </w:pPr>
            <w:r>
              <w:rPr>
                <w:rFonts w:ascii="Verdana" w:hAnsi="Verdana"/>
                <w:sz w:val="22"/>
                <w:szCs w:val="22"/>
              </w:rPr>
              <w:t>1700: 14</w:t>
            </w:r>
            <w:r w:rsidR="00EF1706">
              <w:rPr>
                <w:rFonts w:ascii="Verdana" w:hAnsi="Verdana"/>
                <w:sz w:val="22"/>
                <w:szCs w:val="22"/>
              </w:rPr>
              <w:t xml:space="preserve"> February 2025</w:t>
            </w:r>
          </w:p>
        </w:tc>
      </w:tr>
      <w:tr w:rsidR="004A562D" w:rsidRPr="00043839" w14:paraId="01FF3EF8" w14:textId="77777777" w:rsidTr="00676601">
        <w:trPr>
          <w:trHeight w:hRule="exact" w:val="569"/>
        </w:trPr>
        <w:tc>
          <w:tcPr>
            <w:tcW w:w="5415"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090" w:type="dxa"/>
            <w:shd w:val="clear" w:color="auto" w:fill="auto"/>
          </w:tcPr>
          <w:p w14:paraId="70D04BF7" w14:textId="10830129" w:rsidR="004A562D" w:rsidRPr="00231011" w:rsidRDefault="00EF1706" w:rsidP="004A562D">
            <w:pPr>
              <w:pStyle w:val="TableParagraph"/>
              <w:kinsoku w:val="0"/>
              <w:overflowPunct w:val="0"/>
              <w:rPr>
                <w:rFonts w:ascii="Verdana" w:hAnsi="Verdana"/>
                <w:b/>
                <w:sz w:val="22"/>
                <w:szCs w:val="22"/>
              </w:rPr>
            </w:pPr>
            <w:r w:rsidRPr="00EF1706">
              <w:rPr>
                <w:rFonts w:ascii="Verdana" w:eastAsia="Times New Roman" w:hAnsi="Verdana" w:cs="Arial Narrow"/>
                <w:sz w:val="22"/>
                <w:szCs w:val="22"/>
              </w:rPr>
              <w:t>1700:</w:t>
            </w:r>
            <w:r w:rsidR="00676601">
              <w:rPr>
                <w:rFonts w:ascii="Verdana" w:eastAsia="Times New Roman" w:hAnsi="Verdana" w:cs="Arial Narrow"/>
                <w:sz w:val="22"/>
                <w:szCs w:val="22"/>
              </w:rPr>
              <w:t>2 March 2025</w:t>
            </w:r>
            <w:r w:rsidRPr="00EF1706">
              <w:rPr>
                <w:rFonts w:ascii="Verdana" w:eastAsia="Times New Roman" w:hAnsi="Verdana" w:cs="Arial Narrow"/>
                <w:sz w:val="22"/>
                <w:szCs w:val="22"/>
              </w:rPr>
              <w:t xml:space="preserve"> 5</w:t>
            </w:r>
          </w:p>
        </w:tc>
      </w:tr>
      <w:tr w:rsidR="004A562D" w:rsidRPr="00043839" w14:paraId="530071B0" w14:textId="77777777" w:rsidTr="00676601">
        <w:trPr>
          <w:trHeight w:hRule="exact" w:val="436"/>
        </w:trPr>
        <w:tc>
          <w:tcPr>
            <w:tcW w:w="5415"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090" w:type="dxa"/>
            <w:shd w:val="clear" w:color="auto" w:fill="auto"/>
          </w:tcPr>
          <w:p w14:paraId="24224D69" w14:textId="0A43CA99" w:rsidR="004A562D" w:rsidRPr="00231011" w:rsidRDefault="00676601" w:rsidP="004A562D">
            <w:pPr>
              <w:pStyle w:val="TableParagraph"/>
              <w:kinsoku w:val="0"/>
              <w:overflowPunct w:val="0"/>
              <w:rPr>
                <w:rFonts w:ascii="Verdana" w:hAnsi="Verdana"/>
                <w:sz w:val="22"/>
                <w:szCs w:val="22"/>
              </w:rPr>
            </w:pPr>
            <w:r>
              <w:rPr>
                <w:rFonts w:ascii="Verdana" w:hAnsi="Verdana"/>
                <w:sz w:val="22"/>
                <w:szCs w:val="22"/>
              </w:rPr>
              <w:t>3-6 March 2025</w:t>
            </w:r>
          </w:p>
        </w:tc>
      </w:tr>
      <w:tr w:rsidR="00231011" w:rsidRPr="00043839" w14:paraId="050A673F" w14:textId="77777777" w:rsidTr="00676601">
        <w:trPr>
          <w:trHeight w:hRule="exact" w:val="411"/>
        </w:trPr>
        <w:tc>
          <w:tcPr>
            <w:tcW w:w="5415"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3090" w:type="dxa"/>
            <w:shd w:val="clear" w:color="auto" w:fill="auto"/>
          </w:tcPr>
          <w:p w14:paraId="174D217D" w14:textId="7728F3A6" w:rsidR="00676601" w:rsidRPr="00231011" w:rsidRDefault="00676601" w:rsidP="00231011">
            <w:pPr>
              <w:pStyle w:val="TableParagraph"/>
              <w:kinsoku w:val="0"/>
              <w:overflowPunct w:val="0"/>
              <w:rPr>
                <w:rFonts w:ascii="Verdana" w:hAnsi="Verdana"/>
                <w:sz w:val="22"/>
                <w:szCs w:val="22"/>
              </w:rPr>
            </w:pPr>
            <w:r>
              <w:rPr>
                <w:rFonts w:ascii="Verdana" w:hAnsi="Verdana"/>
                <w:sz w:val="22"/>
                <w:szCs w:val="22"/>
              </w:rPr>
              <w:t>10 March 2025</w:t>
            </w:r>
          </w:p>
        </w:tc>
      </w:tr>
      <w:tr w:rsidR="00231011" w:rsidRPr="00043839" w14:paraId="57484289" w14:textId="77777777" w:rsidTr="00676601">
        <w:trPr>
          <w:trHeight w:hRule="exact" w:val="1428"/>
        </w:trPr>
        <w:tc>
          <w:tcPr>
            <w:tcW w:w="5415"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lastRenderedPageBreak/>
              <w:t>Start of work</w:t>
            </w:r>
          </w:p>
        </w:tc>
        <w:tc>
          <w:tcPr>
            <w:tcW w:w="3090" w:type="dxa"/>
          </w:tcPr>
          <w:p w14:paraId="34F933E2" w14:textId="45D67590" w:rsidR="00231011" w:rsidRPr="00043839" w:rsidRDefault="00EF1706" w:rsidP="00231011">
            <w:pPr>
              <w:pStyle w:val="TableParagraph"/>
              <w:kinsoku w:val="0"/>
              <w:overflowPunct w:val="0"/>
              <w:rPr>
                <w:rFonts w:ascii="Verdana" w:hAnsi="Verdana"/>
                <w:sz w:val="22"/>
                <w:szCs w:val="22"/>
              </w:rPr>
            </w:pPr>
            <w:r>
              <w:rPr>
                <w:rFonts w:ascii="Verdana" w:hAnsi="Verdana"/>
                <w:sz w:val="22"/>
                <w:szCs w:val="22"/>
              </w:rPr>
              <w:t>24</w:t>
            </w:r>
            <w:r w:rsidRPr="00EF1706">
              <w:rPr>
                <w:rFonts w:ascii="Verdana" w:hAnsi="Verdana"/>
                <w:sz w:val="22"/>
                <w:szCs w:val="22"/>
                <w:vertAlign w:val="superscript"/>
              </w:rPr>
              <w:t>th</w:t>
            </w:r>
            <w:r>
              <w:rPr>
                <w:rFonts w:ascii="Verdana" w:hAnsi="Verdana"/>
                <w:sz w:val="22"/>
                <w:szCs w:val="22"/>
              </w:rPr>
              <w:t xml:space="preserve"> March 2025 (subject to availability and relevant permissions being in place)</w:t>
            </w:r>
          </w:p>
        </w:tc>
      </w:tr>
      <w:tr w:rsidR="00231011" w:rsidRPr="00043839" w14:paraId="46B4C80A" w14:textId="77777777" w:rsidTr="00676601">
        <w:trPr>
          <w:trHeight w:hRule="exact" w:val="1428"/>
        </w:trPr>
        <w:tc>
          <w:tcPr>
            <w:tcW w:w="5415"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3090" w:type="dxa"/>
          </w:tcPr>
          <w:p w14:paraId="0C08BFDA" w14:textId="2F0E45FD" w:rsidR="00231011" w:rsidRPr="00043839" w:rsidRDefault="00EF1706" w:rsidP="00231011">
            <w:pPr>
              <w:pStyle w:val="TableParagraph"/>
              <w:kinsoku w:val="0"/>
              <w:overflowPunct w:val="0"/>
              <w:rPr>
                <w:rFonts w:ascii="Verdana" w:hAnsi="Verdana"/>
                <w:sz w:val="22"/>
                <w:szCs w:val="22"/>
              </w:rPr>
            </w:pPr>
            <w:r>
              <w:rPr>
                <w:rFonts w:ascii="Verdana" w:hAnsi="Verdana"/>
                <w:sz w:val="22"/>
                <w:szCs w:val="22"/>
              </w:rPr>
              <w:t>To be confirmed with client</w:t>
            </w:r>
            <w:r w:rsidR="00E52586">
              <w:rPr>
                <w:rFonts w:ascii="Verdana" w:hAnsi="Verdana"/>
                <w:sz w:val="22"/>
                <w:szCs w:val="22"/>
              </w:rPr>
              <w:t xml:space="preserve"> (maximum programme length 24 weeks)</w:t>
            </w:r>
          </w:p>
        </w:tc>
      </w:tr>
    </w:tbl>
    <w:p w14:paraId="028E9661" w14:textId="77777777" w:rsidR="00621937" w:rsidRDefault="00621937" w:rsidP="00676601">
      <w:pPr>
        <w:pStyle w:val="Heading1"/>
        <w:numPr>
          <w:ilvl w:val="0"/>
          <w:numId w:val="0"/>
        </w:numPr>
        <w:ind w:left="360"/>
      </w:pPr>
    </w:p>
    <w:p w14:paraId="48D4BC89" w14:textId="101FCE16" w:rsidR="00F241D3" w:rsidRPr="00043839" w:rsidRDefault="00C21622" w:rsidP="00676601">
      <w:pPr>
        <w:pStyle w:val="Heading1"/>
        <w:numPr>
          <w:ilvl w:val="0"/>
          <w:numId w:val="0"/>
        </w:numPr>
      </w:pPr>
      <w:r>
        <w:t>6</w:t>
      </w:r>
      <w:r w:rsidR="005B41A4" w:rsidRPr="00043839">
        <w:t xml:space="preserve">. </w:t>
      </w:r>
      <w:r w:rsidR="003D4F03">
        <w:tab/>
      </w:r>
      <w:r w:rsidR="00DB2CFB">
        <w:t>T</w:t>
      </w:r>
      <w:r w:rsidR="00F241D3" w:rsidRPr="00043839">
        <w: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ED346F" w14:textId="77777777" w:rsidR="00EF1706" w:rsidRPr="00EF1706" w:rsidRDefault="00EF1706" w:rsidP="00EF1706">
      <w:pPr>
        <w:pStyle w:val="BodyText"/>
        <w:tabs>
          <w:tab w:val="left" w:pos="1276"/>
        </w:tabs>
        <w:kinsoku w:val="0"/>
        <w:overflowPunct w:val="0"/>
        <w:ind w:right="197"/>
        <w:rPr>
          <w:spacing w:val="-1"/>
        </w:rPr>
      </w:pPr>
    </w:p>
    <w:p w14:paraId="09845086"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2B87493D"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39FB32C3"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7C9C686B"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2AAD217B"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08A5C375" w14:textId="77777777" w:rsidR="00531F16" w:rsidRPr="00531F16" w:rsidRDefault="00531F16" w:rsidP="00531F16">
      <w:pPr>
        <w:pStyle w:val="ListParagraph"/>
        <w:numPr>
          <w:ilvl w:val="0"/>
          <w:numId w:val="14"/>
        </w:numPr>
        <w:tabs>
          <w:tab w:val="left" w:pos="1276"/>
        </w:tabs>
        <w:kinsoku w:val="0"/>
        <w:overflowPunct w:val="0"/>
        <w:ind w:right="197"/>
        <w:rPr>
          <w:rFonts w:ascii="Verdana" w:hAnsi="Verdana" w:cs="Verdana"/>
          <w:b/>
          <w:bCs/>
          <w:vanish/>
          <w:spacing w:val="-1"/>
          <w:sz w:val="22"/>
          <w:szCs w:val="22"/>
        </w:rPr>
      </w:pPr>
    </w:p>
    <w:p w14:paraId="0E65FBBE" w14:textId="4EEA2BF9" w:rsidR="0023521A" w:rsidRDefault="00EF1706" w:rsidP="00676601">
      <w:pPr>
        <w:pStyle w:val="BodyText"/>
        <w:numPr>
          <w:ilvl w:val="1"/>
          <w:numId w:val="14"/>
        </w:numPr>
        <w:tabs>
          <w:tab w:val="left" w:pos="1276"/>
        </w:tabs>
        <w:kinsoku w:val="0"/>
        <w:overflowPunct w:val="0"/>
        <w:ind w:left="1134" w:right="197" w:hanging="1134"/>
        <w:rPr>
          <w:spacing w:val="-1"/>
        </w:rPr>
      </w:pPr>
      <w:r w:rsidRPr="00EF1706">
        <w:rPr>
          <w:b/>
          <w:bCs/>
          <w:spacing w:val="-1"/>
        </w:rPr>
        <w:t>Project Method Statement.</w:t>
      </w:r>
      <w:r w:rsidRPr="00EF1706">
        <w:rPr>
          <w:spacing w:val="-1"/>
        </w:rPr>
        <w:t xml:space="preserve">  </w:t>
      </w:r>
    </w:p>
    <w:p w14:paraId="2E014E2F" w14:textId="52D7A4C5" w:rsidR="00EF1706" w:rsidRPr="00EF1706" w:rsidRDefault="00531F16" w:rsidP="0023521A">
      <w:pPr>
        <w:pStyle w:val="BodyText"/>
        <w:tabs>
          <w:tab w:val="left" w:pos="1276"/>
        </w:tabs>
        <w:kinsoku w:val="0"/>
        <w:overflowPunct w:val="0"/>
        <w:ind w:left="284" w:right="197" w:hanging="164"/>
        <w:rPr>
          <w:spacing w:val="-1"/>
        </w:rPr>
      </w:pPr>
      <w:r>
        <w:rPr>
          <w:spacing w:val="-1"/>
        </w:rPr>
        <w:tab/>
        <w:t xml:space="preserve">          </w:t>
      </w:r>
      <w:r w:rsidR="00676601">
        <w:rPr>
          <w:spacing w:val="-1"/>
        </w:rPr>
        <w:t xml:space="preserve"> </w:t>
      </w:r>
      <w:r w:rsidR="00EF1706" w:rsidRPr="00EF1706">
        <w:rPr>
          <w:spacing w:val="-1"/>
        </w:rPr>
        <w:t>This should include:</w:t>
      </w:r>
    </w:p>
    <w:p w14:paraId="03211BF9" w14:textId="45472DEF" w:rsidR="00EF1706" w:rsidRPr="00EF1706" w:rsidRDefault="00EF1706" w:rsidP="00531F16">
      <w:pPr>
        <w:pStyle w:val="BodyText"/>
        <w:numPr>
          <w:ilvl w:val="0"/>
          <w:numId w:val="16"/>
        </w:numPr>
        <w:tabs>
          <w:tab w:val="left" w:pos="1560"/>
        </w:tabs>
        <w:kinsoku w:val="0"/>
        <w:overflowPunct w:val="0"/>
        <w:ind w:left="1560" w:right="197" w:hanging="426"/>
        <w:rPr>
          <w:spacing w:val="-1"/>
        </w:rPr>
      </w:pPr>
      <w:r w:rsidRPr="00EF1706">
        <w:rPr>
          <w:spacing w:val="-1"/>
        </w:rPr>
        <w:t xml:space="preserve">The management organisation of the company to include who will be responsible for Health and Safety onsite and who will be the Project Manager.  Provide the CVs of both of these members of staff (the CV should be a maximum of 1 page of A4). </w:t>
      </w:r>
    </w:p>
    <w:p w14:paraId="283ACA18" w14:textId="61865FB3" w:rsidR="00EF1706" w:rsidRPr="00EF1706" w:rsidRDefault="00EF1706" w:rsidP="00531F16">
      <w:pPr>
        <w:pStyle w:val="BodyText"/>
        <w:numPr>
          <w:ilvl w:val="0"/>
          <w:numId w:val="16"/>
        </w:numPr>
        <w:tabs>
          <w:tab w:val="left" w:pos="1276"/>
        </w:tabs>
        <w:kinsoku w:val="0"/>
        <w:overflowPunct w:val="0"/>
        <w:ind w:left="1276" w:right="197" w:hanging="142"/>
        <w:rPr>
          <w:spacing w:val="-1"/>
        </w:rPr>
      </w:pPr>
      <w:r w:rsidRPr="00EF1706">
        <w:rPr>
          <w:spacing w:val="-1"/>
        </w:rPr>
        <w:t xml:space="preserve">Programme of work that demonstrates how you will meet the proposed </w:t>
      </w:r>
      <w:r w:rsidR="00631F61">
        <w:rPr>
          <w:spacing w:val="-1"/>
        </w:rPr>
        <w:t xml:space="preserve">  </w:t>
      </w:r>
      <w:r w:rsidRPr="00EF1706">
        <w:rPr>
          <w:spacing w:val="-1"/>
        </w:rPr>
        <w:t>timetable and key milestones.</w:t>
      </w:r>
    </w:p>
    <w:p w14:paraId="7267BBC2" w14:textId="7B1240B9" w:rsidR="00EF1706" w:rsidRPr="00EF1706" w:rsidRDefault="00EF1706" w:rsidP="00531F16">
      <w:pPr>
        <w:pStyle w:val="BodyText"/>
        <w:numPr>
          <w:ilvl w:val="0"/>
          <w:numId w:val="16"/>
        </w:numPr>
        <w:tabs>
          <w:tab w:val="left" w:pos="1276"/>
        </w:tabs>
        <w:kinsoku w:val="0"/>
        <w:overflowPunct w:val="0"/>
        <w:ind w:left="1560" w:right="197" w:hanging="426"/>
        <w:rPr>
          <w:spacing w:val="-1"/>
        </w:rPr>
      </w:pPr>
      <w:r w:rsidRPr="00EF1706">
        <w:rPr>
          <w:spacing w:val="-1"/>
        </w:rPr>
        <w:t>Details of any design proposals</w:t>
      </w:r>
    </w:p>
    <w:p w14:paraId="109AE56F" w14:textId="0649EC3A" w:rsidR="00EF1706" w:rsidRPr="00EF1706" w:rsidRDefault="00EF1706" w:rsidP="00531F16">
      <w:pPr>
        <w:pStyle w:val="BodyText"/>
        <w:numPr>
          <w:ilvl w:val="0"/>
          <w:numId w:val="16"/>
        </w:numPr>
        <w:tabs>
          <w:tab w:val="left" w:pos="1276"/>
        </w:tabs>
        <w:kinsoku w:val="0"/>
        <w:overflowPunct w:val="0"/>
        <w:ind w:left="1560" w:right="197" w:hanging="426"/>
        <w:rPr>
          <w:spacing w:val="-1"/>
        </w:rPr>
      </w:pPr>
      <w:r w:rsidRPr="00EF1706">
        <w:rPr>
          <w:spacing w:val="-1"/>
        </w:rPr>
        <w:t>Monthly valuation forecast</w:t>
      </w:r>
    </w:p>
    <w:p w14:paraId="216092CA" w14:textId="5CF819A7" w:rsidR="00EF1706" w:rsidRPr="00EF1706" w:rsidRDefault="00EF1706" w:rsidP="00531F16">
      <w:pPr>
        <w:pStyle w:val="BodyText"/>
        <w:numPr>
          <w:ilvl w:val="0"/>
          <w:numId w:val="16"/>
        </w:numPr>
        <w:tabs>
          <w:tab w:val="left" w:pos="1276"/>
        </w:tabs>
        <w:kinsoku w:val="0"/>
        <w:overflowPunct w:val="0"/>
        <w:ind w:left="1276" w:right="197" w:hanging="142"/>
        <w:rPr>
          <w:spacing w:val="-1"/>
        </w:rPr>
      </w:pPr>
      <w:r w:rsidRPr="00EF1706">
        <w:rPr>
          <w:spacing w:val="-1"/>
        </w:rPr>
        <w:t>Confirmation that the tenderer holds current valid insurance policies as set out below and, if successful, supporting documentation will be provided as evidence:</w:t>
      </w:r>
    </w:p>
    <w:p w14:paraId="10EC2375" w14:textId="4D1ABA0D" w:rsidR="00EF1706" w:rsidRPr="00EF1706" w:rsidRDefault="00631F61" w:rsidP="00085093">
      <w:pPr>
        <w:pStyle w:val="BodyText"/>
        <w:kinsoku w:val="0"/>
        <w:overflowPunct w:val="0"/>
        <w:ind w:left="1560" w:right="197" w:hanging="426"/>
        <w:rPr>
          <w:spacing w:val="-1"/>
        </w:rPr>
      </w:pPr>
      <w:r>
        <w:rPr>
          <w:spacing w:val="-1"/>
        </w:rPr>
        <w:tab/>
      </w:r>
      <w:r w:rsidR="00EF1706" w:rsidRPr="00EF1706">
        <w:rPr>
          <w:spacing w:val="-1"/>
        </w:rPr>
        <w:t>i. Professional Indemnity Insurance with a limit of indemnity of not less than one million (£1,000,000),</w:t>
      </w:r>
    </w:p>
    <w:p w14:paraId="4E18EB56" w14:textId="15606276" w:rsidR="00EF1706" w:rsidRPr="00EF1706" w:rsidRDefault="00631F61" w:rsidP="00531F16">
      <w:pPr>
        <w:pStyle w:val="BodyText"/>
        <w:tabs>
          <w:tab w:val="left" w:pos="709"/>
        </w:tabs>
        <w:kinsoku w:val="0"/>
        <w:overflowPunct w:val="0"/>
        <w:ind w:left="1560" w:right="197" w:hanging="426"/>
        <w:rPr>
          <w:spacing w:val="-1"/>
        </w:rPr>
      </w:pPr>
      <w:r>
        <w:rPr>
          <w:spacing w:val="-1"/>
        </w:rPr>
        <w:tab/>
      </w:r>
      <w:r w:rsidR="00EF1706" w:rsidRPr="00EF1706">
        <w:rPr>
          <w:spacing w:val="-1"/>
        </w:rPr>
        <w:t>ii. Employers Liability Insurance with a limit of indemnity of not less than five million (£5,000,000)</w:t>
      </w:r>
    </w:p>
    <w:p w14:paraId="2D09260C" w14:textId="68ECCAB0" w:rsidR="00EF1706" w:rsidRPr="00EF1706" w:rsidRDefault="00EF1706" w:rsidP="00085093">
      <w:pPr>
        <w:pStyle w:val="BodyText"/>
        <w:kinsoku w:val="0"/>
        <w:overflowPunct w:val="0"/>
        <w:ind w:left="1560" w:right="197" w:hanging="120"/>
        <w:rPr>
          <w:spacing w:val="-1"/>
        </w:rPr>
      </w:pPr>
      <w:r w:rsidRPr="00EF1706">
        <w:rPr>
          <w:spacing w:val="-1"/>
        </w:rPr>
        <w:t>iii. Public Liability Insurance with a limit of indemnity of not less than five million (£5,000,000).</w:t>
      </w:r>
    </w:p>
    <w:p w14:paraId="53057219" w14:textId="46BF66D3" w:rsidR="00EF1706" w:rsidRPr="00EF1706" w:rsidRDefault="00EF1706" w:rsidP="00531F16">
      <w:pPr>
        <w:pStyle w:val="BodyText"/>
        <w:numPr>
          <w:ilvl w:val="0"/>
          <w:numId w:val="17"/>
        </w:numPr>
        <w:tabs>
          <w:tab w:val="left" w:pos="1276"/>
        </w:tabs>
        <w:kinsoku w:val="0"/>
        <w:overflowPunct w:val="0"/>
        <w:ind w:left="1560" w:right="197" w:hanging="426"/>
        <w:rPr>
          <w:spacing w:val="-1"/>
        </w:rPr>
      </w:pPr>
      <w:r w:rsidRPr="00EF1706">
        <w:rPr>
          <w:spacing w:val="-1"/>
        </w:rPr>
        <w:t>Conflict of interest statement</w:t>
      </w:r>
    </w:p>
    <w:p w14:paraId="12F71DD3" w14:textId="77777777" w:rsidR="00EF1706" w:rsidRPr="00EF1706" w:rsidRDefault="00EF1706" w:rsidP="00EF1706">
      <w:pPr>
        <w:pStyle w:val="BodyText"/>
        <w:tabs>
          <w:tab w:val="left" w:pos="1276"/>
        </w:tabs>
        <w:kinsoku w:val="0"/>
        <w:overflowPunct w:val="0"/>
        <w:ind w:right="197"/>
        <w:rPr>
          <w:spacing w:val="-1"/>
        </w:rPr>
      </w:pPr>
    </w:p>
    <w:p w14:paraId="3C6EFF02" w14:textId="0939B9E9" w:rsidR="005C7A56" w:rsidRDefault="00EF1706" w:rsidP="00676601">
      <w:pPr>
        <w:pStyle w:val="BodyText"/>
        <w:numPr>
          <w:ilvl w:val="1"/>
          <w:numId w:val="14"/>
        </w:numPr>
        <w:tabs>
          <w:tab w:val="left" w:pos="1276"/>
        </w:tabs>
        <w:kinsoku w:val="0"/>
        <w:overflowPunct w:val="0"/>
        <w:ind w:left="1134" w:right="197" w:hanging="1134"/>
        <w:rPr>
          <w:spacing w:val="-1"/>
        </w:rPr>
      </w:pPr>
      <w:r w:rsidRPr="00EF1706">
        <w:rPr>
          <w:b/>
          <w:bCs/>
          <w:spacing w:val="-1"/>
        </w:rPr>
        <w:t>Details of 2 similar projects of value and size.</w:t>
      </w:r>
      <w:r w:rsidRPr="00EF1706">
        <w:rPr>
          <w:spacing w:val="-1"/>
        </w:rPr>
        <w:t xml:space="preserve">  </w:t>
      </w:r>
    </w:p>
    <w:p w14:paraId="2D3FDAFB" w14:textId="0C6C93CE" w:rsidR="00EF1706" w:rsidRPr="00EF1706" w:rsidRDefault="00EF1706" w:rsidP="005C7A56">
      <w:pPr>
        <w:pStyle w:val="BodyText"/>
        <w:tabs>
          <w:tab w:val="left" w:pos="1276"/>
        </w:tabs>
        <w:kinsoku w:val="0"/>
        <w:overflowPunct w:val="0"/>
        <w:ind w:left="1080" w:right="197" w:firstLine="0"/>
        <w:rPr>
          <w:spacing w:val="-1"/>
        </w:rPr>
      </w:pPr>
      <w:r w:rsidRPr="00EF1706">
        <w:rPr>
          <w:spacing w:val="-1"/>
        </w:rPr>
        <w:t xml:space="preserve">Each </w:t>
      </w:r>
      <w:r w:rsidR="00CD5B3F">
        <w:rPr>
          <w:spacing w:val="-1"/>
        </w:rPr>
        <w:t>e</w:t>
      </w:r>
      <w:r w:rsidRPr="00EF1706">
        <w:rPr>
          <w:spacing w:val="-1"/>
        </w:rPr>
        <w:t>xample should be no more than 2 sides of A4 not including any photographs, but these can only have titles and no text. Links to websites will not be viewed.</w:t>
      </w:r>
    </w:p>
    <w:p w14:paraId="05C092EC" w14:textId="77777777" w:rsidR="00EF1706" w:rsidRPr="00EF1706" w:rsidRDefault="00EF1706" w:rsidP="00EF1706">
      <w:pPr>
        <w:pStyle w:val="BodyText"/>
        <w:tabs>
          <w:tab w:val="left" w:pos="1276"/>
        </w:tabs>
        <w:kinsoku w:val="0"/>
        <w:overflowPunct w:val="0"/>
        <w:ind w:right="197"/>
        <w:rPr>
          <w:spacing w:val="-1"/>
        </w:rPr>
      </w:pPr>
    </w:p>
    <w:p w14:paraId="6EB66992" w14:textId="66FCF90D" w:rsidR="005C7A56" w:rsidRDefault="00EF1706" w:rsidP="00676601">
      <w:pPr>
        <w:pStyle w:val="BodyText"/>
        <w:numPr>
          <w:ilvl w:val="1"/>
          <w:numId w:val="14"/>
        </w:numPr>
        <w:tabs>
          <w:tab w:val="left" w:pos="1276"/>
        </w:tabs>
        <w:kinsoku w:val="0"/>
        <w:overflowPunct w:val="0"/>
        <w:ind w:right="197" w:hanging="1080"/>
        <w:rPr>
          <w:spacing w:val="-1"/>
        </w:rPr>
      </w:pPr>
      <w:r w:rsidRPr="00EF1706">
        <w:rPr>
          <w:b/>
          <w:bCs/>
          <w:spacing w:val="-1"/>
        </w:rPr>
        <w:t>Environment and Sustainability.</w:t>
      </w:r>
      <w:r w:rsidRPr="00EF1706">
        <w:rPr>
          <w:spacing w:val="-1"/>
        </w:rPr>
        <w:t xml:space="preserve"> </w:t>
      </w:r>
    </w:p>
    <w:p w14:paraId="47D12301" w14:textId="069DCC61" w:rsidR="00EF1706" w:rsidRPr="00EF1706" w:rsidRDefault="00EF1706" w:rsidP="005C7A56">
      <w:pPr>
        <w:pStyle w:val="BodyText"/>
        <w:tabs>
          <w:tab w:val="left" w:pos="1276"/>
        </w:tabs>
        <w:kinsoku w:val="0"/>
        <w:overflowPunct w:val="0"/>
        <w:ind w:left="1080" w:right="197" w:firstLine="0"/>
        <w:rPr>
          <w:spacing w:val="-1"/>
        </w:rPr>
      </w:pPr>
      <w:r w:rsidRPr="00EF1706">
        <w:rPr>
          <w:spacing w:val="-1"/>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w:t>
      </w:r>
    </w:p>
    <w:p w14:paraId="3D38AAD7" w14:textId="11EB6109"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Attitude to collaborative problem solving within a defined team structure.</w:t>
      </w:r>
    </w:p>
    <w:p w14:paraId="41FECCE7" w14:textId="0DF64CAC"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Anticipate and note the likely challenges and how they would be accommodated</w:t>
      </w:r>
    </w:p>
    <w:p w14:paraId="670788BE" w14:textId="3CE81104"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lastRenderedPageBreak/>
        <w:t>How you will reduce energy and fuel consumption in the provision of the contract</w:t>
      </w:r>
    </w:p>
    <w:p w14:paraId="2715BE29" w14:textId="2DE19893"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 xml:space="preserve">How you will re-use resources </w:t>
      </w:r>
    </w:p>
    <w:p w14:paraId="082CFC45" w14:textId="42A71C3D"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How you will increase recycling levels and reduce the amount of waste</w:t>
      </w:r>
    </w:p>
    <w:p w14:paraId="40D6A095" w14:textId="1FF32C06"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How you will use environmentally friendly and ethically sourced goods</w:t>
      </w:r>
    </w:p>
    <w:p w14:paraId="04DB52D8" w14:textId="4EECB02E"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How you will contribute to reducing the carbon footprint</w:t>
      </w:r>
    </w:p>
    <w:p w14:paraId="6D05CC5B" w14:textId="692FB1EB" w:rsidR="00EF1706" w:rsidRPr="00EF1706" w:rsidRDefault="00EF1706" w:rsidP="005C7A56">
      <w:pPr>
        <w:pStyle w:val="BodyText"/>
        <w:numPr>
          <w:ilvl w:val="0"/>
          <w:numId w:val="18"/>
        </w:numPr>
        <w:tabs>
          <w:tab w:val="left" w:pos="1276"/>
        </w:tabs>
        <w:kinsoku w:val="0"/>
        <w:overflowPunct w:val="0"/>
        <w:ind w:left="1418" w:right="197" w:hanging="284"/>
        <w:rPr>
          <w:spacing w:val="-1"/>
        </w:rPr>
      </w:pPr>
      <w:r w:rsidRPr="00EF1706">
        <w:rPr>
          <w:spacing w:val="-1"/>
        </w:rPr>
        <w:t>How you will contribute to pollution reduction</w:t>
      </w:r>
    </w:p>
    <w:p w14:paraId="127DBF7D" w14:textId="77777777" w:rsidR="00EF1706" w:rsidRPr="00EF1706" w:rsidRDefault="00EF1706" w:rsidP="00EF1706">
      <w:pPr>
        <w:pStyle w:val="BodyText"/>
        <w:tabs>
          <w:tab w:val="left" w:pos="1276"/>
        </w:tabs>
        <w:kinsoku w:val="0"/>
        <w:overflowPunct w:val="0"/>
        <w:ind w:right="197"/>
        <w:rPr>
          <w:spacing w:val="-1"/>
        </w:rPr>
      </w:pPr>
    </w:p>
    <w:p w14:paraId="7C67EF3F" w14:textId="33B224E7" w:rsidR="002E24C0" w:rsidRDefault="00EF1706" w:rsidP="00676601">
      <w:pPr>
        <w:pStyle w:val="BodyText"/>
        <w:tabs>
          <w:tab w:val="left" w:pos="1134"/>
        </w:tabs>
        <w:kinsoku w:val="0"/>
        <w:overflowPunct w:val="0"/>
        <w:ind w:left="0" w:right="197" w:firstLine="0"/>
        <w:rPr>
          <w:spacing w:val="-1"/>
        </w:rPr>
      </w:pPr>
      <w:r w:rsidRPr="00EF1706">
        <w:rPr>
          <w:b/>
          <w:bCs/>
          <w:spacing w:val="-1"/>
        </w:rPr>
        <w:t xml:space="preserve">6.4       </w:t>
      </w:r>
      <w:r w:rsidR="00676601">
        <w:rPr>
          <w:b/>
          <w:bCs/>
          <w:spacing w:val="-1"/>
        </w:rPr>
        <w:tab/>
      </w:r>
      <w:r w:rsidRPr="00EF1706">
        <w:rPr>
          <w:b/>
          <w:bCs/>
          <w:spacing w:val="-1"/>
        </w:rPr>
        <w:t>Budget.</w:t>
      </w:r>
      <w:r w:rsidRPr="00EF1706">
        <w:rPr>
          <w:spacing w:val="-1"/>
        </w:rPr>
        <w:t xml:space="preserve">  Completed </w:t>
      </w:r>
      <w:r w:rsidR="00676601">
        <w:rPr>
          <w:spacing w:val="-1"/>
        </w:rPr>
        <w:t>Form of Tender and costed SOW</w:t>
      </w:r>
      <w:r w:rsidRPr="00EF1706">
        <w:rPr>
          <w:spacing w:val="-1"/>
        </w:rPr>
        <w:t>.</w:t>
      </w:r>
    </w:p>
    <w:p w14:paraId="33CC08BF" w14:textId="77777777" w:rsidR="00EF1706" w:rsidRDefault="00EF1706" w:rsidP="00EF1706">
      <w:pPr>
        <w:pStyle w:val="BodyText"/>
        <w:tabs>
          <w:tab w:val="left" w:pos="1276"/>
        </w:tabs>
        <w:kinsoku w:val="0"/>
        <w:overflowPunct w:val="0"/>
        <w:ind w:left="0" w:right="197" w:firstLine="0"/>
        <w:rPr>
          <w:spacing w:val="-1"/>
        </w:rPr>
      </w:pPr>
    </w:p>
    <w:p w14:paraId="459E5970" w14:textId="77777777" w:rsidR="00EF1706" w:rsidRPr="00043839" w:rsidRDefault="00EF1706" w:rsidP="00EF1706">
      <w:pPr>
        <w:pStyle w:val="BodyText"/>
        <w:tabs>
          <w:tab w:val="left" w:pos="1276"/>
        </w:tabs>
        <w:kinsoku w:val="0"/>
        <w:overflowPunct w:val="0"/>
        <w:ind w:left="0" w:right="197" w:firstLine="0"/>
        <w:rPr>
          <w:spacing w:val="-1"/>
        </w:rPr>
      </w:pPr>
    </w:p>
    <w:p w14:paraId="2A7D9B57" w14:textId="54B670C3" w:rsidR="009E5BAE" w:rsidRPr="00043839" w:rsidRDefault="00E878B2" w:rsidP="00676601">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375A132E"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BA598F">
        <w:rPr>
          <w:rFonts w:ascii="Verdana" w:eastAsia="Times New Roman" w:hAnsi="Verdana" w:cs="Arial Narrow"/>
          <w:sz w:val="22"/>
          <w:szCs w:val="22"/>
        </w:rPr>
        <w:t>MusicAbility Foundation</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76601">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3A0941F"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BA598F">
        <w:rPr>
          <w:rFonts w:ascii="Verdana" w:hAnsi="Verdana" w:cs="Verdana"/>
          <w:spacing w:val="-1"/>
          <w:sz w:val="22"/>
          <w:szCs w:val="22"/>
        </w:rPr>
        <w:t>MusicAbility Foundation</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5531D817"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BA598F">
        <w:rPr>
          <w:rFonts w:ascii="Verdana" w:eastAsia="Times New Roman" w:hAnsi="Verdana" w:cs="Arial Narrow"/>
          <w:sz w:val="22"/>
          <w:szCs w:val="22"/>
        </w:rPr>
        <w:t>MusicAbility Foundation</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676601">
      <w:pPr>
        <w:pStyle w:val="Heading1"/>
        <w:numPr>
          <w:ilvl w:val="0"/>
          <w:numId w:val="0"/>
        </w:numPr>
        <w:ind w:left="1134" w:hanging="1134"/>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49A21D4" w14:textId="10ED687F" w:rsidR="00D80C4B" w:rsidRPr="00AE742E" w:rsidRDefault="009777B8" w:rsidP="006268C8">
      <w:pPr>
        <w:pStyle w:val="Default"/>
        <w:spacing w:before="60" w:after="60"/>
        <w:rPr>
          <w:rFonts w:ascii="Verdana" w:hAnsi="Verdana"/>
          <w:sz w:val="22"/>
          <w:szCs w:val="22"/>
        </w:rPr>
      </w:pPr>
      <w:hyperlink r:id="rId13" w:history="1">
        <w:r w:rsidR="00860288">
          <w:rPr>
            <w:rStyle w:val="Hyperlink"/>
            <w:rFonts w:ascii="Verdana" w:hAnsi="Verdana" w:cs="Arial Narrow"/>
            <w:sz w:val="22"/>
            <w:szCs w:val="22"/>
          </w:rPr>
          <w:t>derekjackson@kohaarchitects.com</w:t>
        </w:r>
      </w:hyperlink>
    </w:p>
    <w:p w14:paraId="57414AAA" w14:textId="77777777" w:rsidR="00AE742E" w:rsidRDefault="00AE742E"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660A720"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4" w:name="_Hlk128568722"/>
      <w:r w:rsidR="00BA598F">
        <w:rPr>
          <w:rFonts w:ascii="Verdana" w:hAnsi="Verdana"/>
          <w:color w:val="auto"/>
          <w:sz w:val="22"/>
          <w:szCs w:val="22"/>
        </w:rPr>
        <w:t>MusicAbility Foundation</w:t>
      </w:r>
      <w:r w:rsidR="004B66F2" w:rsidRPr="00D80C4B">
        <w:rPr>
          <w:rFonts w:ascii="Verdana" w:hAnsi="Verdana"/>
          <w:color w:val="auto"/>
          <w:sz w:val="22"/>
          <w:szCs w:val="22"/>
        </w:rPr>
        <w:t xml:space="preserve"> </w:t>
      </w:r>
      <w:bookmarkEnd w:id="4"/>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170A736C"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w:t>
      </w:r>
      <w:r w:rsidRPr="00D80C4B">
        <w:rPr>
          <w:rFonts w:ascii="Verdana" w:hAnsi="Verdana"/>
          <w:color w:val="auto"/>
          <w:spacing w:val="-1"/>
          <w:sz w:val="22"/>
          <w:szCs w:val="22"/>
        </w:rPr>
        <w:lastRenderedPageBreak/>
        <w:t>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BA598F">
        <w:rPr>
          <w:rFonts w:ascii="Verdana" w:hAnsi="Verdana"/>
          <w:color w:val="auto"/>
          <w:spacing w:val="-1"/>
          <w:sz w:val="22"/>
          <w:szCs w:val="22"/>
        </w:rPr>
        <w:t>MusicAbility Foundation</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676601">
      <w:pPr>
        <w:pStyle w:val="Heading1"/>
        <w:numPr>
          <w:ilvl w:val="0"/>
          <w:numId w:val="0"/>
        </w:numPr>
        <w:ind w:left="1134" w:hanging="1134"/>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Default="008B50E7" w:rsidP="006268C8">
      <w:pPr>
        <w:widowControl/>
        <w:autoSpaceDE/>
        <w:autoSpaceDN/>
        <w:adjustRightInd/>
        <w:spacing w:after="200"/>
        <w:rPr>
          <w:rFonts w:ascii="Verdana" w:eastAsia="Calibri" w:hAnsi="Verdana" w:cs="Calibri"/>
          <w:b/>
          <w:sz w:val="22"/>
          <w:szCs w:val="22"/>
          <w:lang w:eastAsia="en-US"/>
        </w:rPr>
      </w:pPr>
      <w:bookmarkStart w:id="5" w:name="_Toc336433903"/>
      <w:bookmarkStart w:id="6"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p w14:paraId="3141A1C5" w14:textId="77777777" w:rsidR="00631F61" w:rsidRDefault="00631F61" w:rsidP="006268C8">
      <w:pPr>
        <w:widowControl/>
        <w:autoSpaceDE/>
        <w:autoSpaceDN/>
        <w:adjustRightInd/>
        <w:spacing w:after="200"/>
        <w:rPr>
          <w:rFonts w:ascii="Verdana" w:eastAsia="Calibri" w:hAnsi="Verdana" w:cs="Calibri"/>
          <w:b/>
          <w:sz w:val="22"/>
          <w:szCs w:val="22"/>
          <w:lang w:eastAsia="en-US"/>
        </w:rPr>
      </w:pP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631F61" w:rsidRPr="0082440D" w14:paraId="16C06ECF" w14:textId="77777777" w:rsidTr="00631F61">
        <w:tc>
          <w:tcPr>
            <w:tcW w:w="8222" w:type="dxa"/>
            <w:shd w:val="clear" w:color="auto" w:fill="D9D9D9"/>
          </w:tcPr>
          <w:p w14:paraId="45D38B02" w14:textId="4A216BE9"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6.1 </w:t>
            </w:r>
            <w:r w:rsidR="0023521A">
              <w:rPr>
                <w:rFonts w:ascii="Verdana" w:eastAsia="Calibri" w:hAnsi="Verdana"/>
                <w:lang w:eastAsia="en-US"/>
              </w:rPr>
              <w:t>Project Method Statement</w:t>
            </w:r>
          </w:p>
        </w:tc>
        <w:tc>
          <w:tcPr>
            <w:tcW w:w="916" w:type="dxa"/>
            <w:shd w:val="clear" w:color="auto" w:fill="D9D9D9"/>
          </w:tcPr>
          <w:p w14:paraId="5F889B73" w14:textId="007B3D8B" w:rsidR="00631F61" w:rsidRPr="0082440D" w:rsidRDefault="00665814" w:rsidP="00696E71">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631F61" w:rsidRPr="0082440D" w14:paraId="2D4F3E57" w14:textId="77777777" w:rsidTr="00631F61">
        <w:tc>
          <w:tcPr>
            <w:tcW w:w="8222" w:type="dxa"/>
          </w:tcPr>
          <w:p w14:paraId="6F67C17B" w14:textId="2FC2F9B2"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Acceptable </w:t>
            </w:r>
            <w:r w:rsidR="00CD5B3F">
              <w:rPr>
                <w:rFonts w:ascii="Verdana" w:eastAsia="Calibri" w:hAnsi="Verdana"/>
                <w:lang w:eastAsia="en-US"/>
              </w:rPr>
              <w:t>Project Method Statement</w:t>
            </w:r>
            <w:r w:rsidRPr="009E4737">
              <w:rPr>
                <w:rFonts w:ascii="Verdana" w:eastAsia="Calibri" w:hAnsi="Verdana"/>
                <w:lang w:eastAsia="en-US"/>
              </w:rPr>
              <w:t xml:space="preserve"> including confirmation of the requirements detailed at 6.1</w:t>
            </w:r>
          </w:p>
        </w:tc>
        <w:tc>
          <w:tcPr>
            <w:tcW w:w="916" w:type="dxa"/>
            <w:vAlign w:val="center"/>
          </w:tcPr>
          <w:p w14:paraId="7A76740E" w14:textId="12F4A031" w:rsidR="00631F61" w:rsidRPr="0082440D" w:rsidRDefault="00631F61" w:rsidP="00696E71">
            <w:pPr>
              <w:widowControl/>
              <w:autoSpaceDE/>
              <w:autoSpaceDN/>
              <w:adjustRightInd/>
              <w:spacing w:after="60"/>
              <w:rPr>
                <w:rFonts w:ascii="Verdana" w:eastAsia="Calibri" w:hAnsi="Verdana"/>
                <w:lang w:eastAsia="en-US"/>
              </w:rPr>
            </w:pPr>
          </w:p>
        </w:tc>
      </w:tr>
      <w:tr w:rsidR="00631F61" w:rsidRPr="0082440D" w14:paraId="390C0AC7" w14:textId="77777777" w:rsidTr="00631F61">
        <w:tc>
          <w:tcPr>
            <w:tcW w:w="8222" w:type="dxa"/>
            <w:shd w:val="clear" w:color="auto" w:fill="D9D9D9"/>
          </w:tcPr>
          <w:p w14:paraId="54174FD1" w14:textId="77777777"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Ref 6.2 </w:t>
            </w:r>
          </w:p>
        </w:tc>
        <w:tc>
          <w:tcPr>
            <w:tcW w:w="916" w:type="dxa"/>
            <w:shd w:val="clear" w:color="auto" w:fill="D9D9D9"/>
          </w:tcPr>
          <w:p w14:paraId="1D5DF851" w14:textId="77777777" w:rsidR="00631F61" w:rsidRPr="0082440D" w:rsidRDefault="00631F61" w:rsidP="00696E71">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631F61" w:rsidRPr="0082440D" w14:paraId="4D56E98A" w14:textId="77777777" w:rsidTr="00631F61">
        <w:tc>
          <w:tcPr>
            <w:tcW w:w="8222" w:type="dxa"/>
            <w:shd w:val="clear" w:color="auto" w:fill="auto"/>
          </w:tcPr>
          <w:p w14:paraId="1E06357C" w14:textId="11ED508B" w:rsidR="00631F61" w:rsidRPr="009E4737" w:rsidRDefault="00631F61" w:rsidP="00696E71">
            <w:pPr>
              <w:widowControl/>
              <w:autoSpaceDE/>
              <w:autoSpaceDN/>
              <w:adjustRightInd/>
              <w:contextualSpacing/>
              <w:rPr>
                <w:rFonts w:ascii="Verdana" w:hAnsi="Verdana" w:cstheme="majorHAnsi"/>
              </w:rPr>
            </w:pPr>
            <w:r w:rsidRPr="009E4737">
              <w:rPr>
                <w:rFonts w:ascii="Verdana" w:hAnsi="Verdana" w:cstheme="majorHAnsi"/>
              </w:rPr>
              <w:t xml:space="preserve">Provide two examples of previous projects which you feel demonstrate your ability to deliver this type of project. (maximum </w:t>
            </w:r>
            <w:r w:rsidR="001616DC">
              <w:rPr>
                <w:rFonts w:ascii="Verdana" w:hAnsi="Verdana" w:cstheme="majorHAnsi"/>
              </w:rPr>
              <w:t>2</w:t>
            </w:r>
            <w:r w:rsidRPr="009E4737">
              <w:rPr>
                <w:rFonts w:ascii="Verdana" w:hAnsi="Verdana" w:cstheme="majorHAnsi"/>
              </w:rPr>
              <w:t xml:space="preserve"> page</w:t>
            </w:r>
            <w:r w:rsidR="001616DC">
              <w:rPr>
                <w:rFonts w:ascii="Verdana" w:hAnsi="Verdana" w:cstheme="majorHAnsi"/>
              </w:rPr>
              <w:t>s</w:t>
            </w:r>
            <w:r w:rsidRPr="009E4737">
              <w:rPr>
                <w:rFonts w:ascii="Verdana" w:hAnsi="Verdana" w:cstheme="majorHAnsi"/>
              </w:rPr>
              <w:t xml:space="preserve"> of A4 per example).</w:t>
            </w:r>
          </w:p>
        </w:tc>
        <w:tc>
          <w:tcPr>
            <w:tcW w:w="916" w:type="dxa"/>
          </w:tcPr>
          <w:p w14:paraId="6F3E8A92" w14:textId="77777777" w:rsidR="00631F61" w:rsidRPr="0082440D" w:rsidRDefault="00631F61" w:rsidP="00696E71">
            <w:pPr>
              <w:widowControl/>
              <w:autoSpaceDE/>
              <w:autoSpaceDN/>
              <w:adjustRightInd/>
              <w:contextualSpacing/>
              <w:jc w:val="center"/>
              <w:rPr>
                <w:rFonts w:ascii="Verdana" w:eastAsia="Calibri" w:hAnsi="Verdana"/>
                <w:highlight w:val="yellow"/>
                <w:lang w:eastAsia="en-US"/>
              </w:rPr>
            </w:pPr>
          </w:p>
        </w:tc>
      </w:tr>
      <w:tr w:rsidR="00631F61" w:rsidRPr="0082440D" w14:paraId="7C434642" w14:textId="77777777" w:rsidTr="00631F61">
        <w:trPr>
          <w:trHeight w:val="335"/>
        </w:trPr>
        <w:tc>
          <w:tcPr>
            <w:tcW w:w="8222" w:type="dxa"/>
            <w:shd w:val="clear" w:color="auto" w:fill="D9D9D9"/>
          </w:tcPr>
          <w:p w14:paraId="1A4A3F8F" w14:textId="77777777"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Ref 6.3</w:t>
            </w:r>
          </w:p>
        </w:tc>
        <w:tc>
          <w:tcPr>
            <w:tcW w:w="916" w:type="dxa"/>
            <w:shd w:val="clear" w:color="auto" w:fill="D9D9D9"/>
          </w:tcPr>
          <w:p w14:paraId="2D74FE0F" w14:textId="77777777" w:rsidR="00631F61" w:rsidRPr="0082440D" w:rsidRDefault="00631F61" w:rsidP="00696E71">
            <w:pPr>
              <w:widowControl/>
              <w:autoSpaceDE/>
              <w:autoSpaceDN/>
              <w:adjustRightInd/>
              <w:spacing w:after="60"/>
              <w:jc w:val="center"/>
              <w:rPr>
                <w:rFonts w:ascii="Verdana" w:eastAsia="Calibri" w:hAnsi="Verdana"/>
                <w:lang w:eastAsia="en-US"/>
              </w:rPr>
            </w:pPr>
            <w:r>
              <w:rPr>
                <w:rFonts w:ascii="Verdana" w:eastAsia="Calibri" w:hAnsi="Verdana"/>
                <w:lang w:eastAsia="en-US"/>
              </w:rPr>
              <w:t>20</w:t>
            </w:r>
          </w:p>
        </w:tc>
      </w:tr>
      <w:tr w:rsidR="00631F61" w:rsidRPr="0082440D" w14:paraId="1A5D4453" w14:textId="77777777" w:rsidTr="00631F61">
        <w:tc>
          <w:tcPr>
            <w:tcW w:w="8222" w:type="dxa"/>
          </w:tcPr>
          <w:p w14:paraId="3BEB56C0" w14:textId="0B9570DF" w:rsidR="00631F61" w:rsidRPr="009E4737" w:rsidRDefault="003E6A3B" w:rsidP="00696E71">
            <w:pPr>
              <w:widowControl/>
              <w:autoSpaceDE/>
              <w:autoSpaceDN/>
              <w:adjustRightInd/>
              <w:spacing w:after="60"/>
              <w:rPr>
                <w:rFonts w:ascii="Verdana" w:eastAsia="Calibri" w:hAnsi="Verdana"/>
                <w:lang w:eastAsia="en-US"/>
              </w:rPr>
            </w:pPr>
            <w:r>
              <w:rPr>
                <w:rFonts w:ascii="Verdana" w:eastAsia="Calibri" w:hAnsi="Verdana"/>
                <w:lang w:eastAsia="en-US"/>
              </w:rPr>
              <w:t xml:space="preserve">Details of your proposed </w:t>
            </w:r>
            <w:r w:rsidRPr="003E6A3B">
              <w:rPr>
                <w:rFonts w:ascii="Verdana" w:eastAsia="Calibri" w:hAnsi="Verdana"/>
                <w:lang w:eastAsia="en-US"/>
              </w:rPr>
              <w:t>system to monitor, maintain and deliver to the standard of quality required for the project including sustainability and accessibility.</w:t>
            </w:r>
          </w:p>
        </w:tc>
        <w:tc>
          <w:tcPr>
            <w:tcW w:w="916" w:type="dxa"/>
          </w:tcPr>
          <w:p w14:paraId="4E6BD87E" w14:textId="77777777" w:rsidR="00631F61" w:rsidRPr="0082440D" w:rsidRDefault="00631F61" w:rsidP="00696E71">
            <w:pPr>
              <w:widowControl/>
              <w:autoSpaceDE/>
              <w:autoSpaceDN/>
              <w:adjustRightInd/>
              <w:spacing w:after="60"/>
              <w:jc w:val="center"/>
              <w:rPr>
                <w:rFonts w:ascii="Verdana" w:eastAsia="Calibri" w:hAnsi="Verdana"/>
                <w:lang w:eastAsia="en-US"/>
              </w:rPr>
            </w:pPr>
          </w:p>
        </w:tc>
      </w:tr>
      <w:tr w:rsidR="00631F61" w:rsidRPr="0082440D" w14:paraId="7032C2E1" w14:textId="77777777" w:rsidTr="00631F61">
        <w:tc>
          <w:tcPr>
            <w:tcW w:w="8222" w:type="dxa"/>
            <w:shd w:val="clear" w:color="auto" w:fill="D9D9D9"/>
          </w:tcPr>
          <w:p w14:paraId="0712E2DF" w14:textId="77777777"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Ref 6.4 Budget</w:t>
            </w:r>
          </w:p>
        </w:tc>
        <w:tc>
          <w:tcPr>
            <w:tcW w:w="916" w:type="dxa"/>
            <w:shd w:val="clear" w:color="auto" w:fill="D9D9D9"/>
          </w:tcPr>
          <w:p w14:paraId="7A9639C2" w14:textId="0765473C" w:rsidR="00631F61" w:rsidRPr="0082440D" w:rsidRDefault="00665814" w:rsidP="00696E71">
            <w:pPr>
              <w:widowControl/>
              <w:autoSpaceDE/>
              <w:autoSpaceDN/>
              <w:adjustRightInd/>
              <w:spacing w:after="60"/>
              <w:jc w:val="center"/>
              <w:rPr>
                <w:rFonts w:ascii="Verdana" w:eastAsia="Calibri" w:hAnsi="Verdana"/>
                <w:lang w:eastAsia="en-US"/>
              </w:rPr>
            </w:pPr>
            <w:r>
              <w:rPr>
                <w:rFonts w:ascii="Verdana" w:eastAsia="Calibri" w:hAnsi="Verdana"/>
                <w:lang w:eastAsia="en-US"/>
              </w:rPr>
              <w:t>40</w:t>
            </w:r>
          </w:p>
        </w:tc>
      </w:tr>
      <w:tr w:rsidR="00631F61" w:rsidRPr="0082440D" w14:paraId="5DA306A6" w14:textId="77777777" w:rsidTr="00631F61">
        <w:tc>
          <w:tcPr>
            <w:tcW w:w="8222" w:type="dxa"/>
          </w:tcPr>
          <w:p w14:paraId="666B383C" w14:textId="77777777" w:rsidR="00631F61" w:rsidRPr="009E4737" w:rsidRDefault="00631F61" w:rsidP="00696E71">
            <w:pPr>
              <w:widowControl/>
              <w:autoSpaceDE/>
              <w:autoSpaceDN/>
              <w:adjustRightInd/>
              <w:contextualSpacing/>
              <w:rPr>
                <w:rFonts w:ascii="Verdana" w:hAnsi="Verdana" w:cstheme="majorHAnsi"/>
              </w:rPr>
            </w:pPr>
            <w:r w:rsidRPr="009E4737">
              <w:rPr>
                <w:rFonts w:ascii="Verdana" w:hAnsi="Verdana" w:cstheme="majorHAnsi"/>
              </w:rPr>
              <w:t xml:space="preserve">A </w:t>
            </w:r>
            <w:r w:rsidRPr="009E4737">
              <w:rPr>
                <w:rFonts w:ascii="Verdana" w:hAnsi="Verdana" w:cstheme="majorHAnsi"/>
                <w:b/>
                <w:bCs/>
              </w:rPr>
              <w:t>fixed fee</w:t>
            </w:r>
            <w:r w:rsidRPr="009E4737">
              <w:rPr>
                <w:rFonts w:ascii="Verdana" w:hAnsi="Verdana" w:cstheme="majorHAnsi"/>
              </w:rPr>
              <w:t xml:space="preserve"> for this work (</w:t>
            </w:r>
            <w:proofErr w:type="spellStart"/>
            <w:r w:rsidRPr="009E4737">
              <w:rPr>
                <w:rFonts w:ascii="Verdana" w:hAnsi="Verdana" w:cstheme="majorHAnsi"/>
              </w:rPr>
              <w:t>exc</w:t>
            </w:r>
            <w:proofErr w:type="spellEnd"/>
            <w:r w:rsidRPr="009E4737">
              <w:rPr>
                <w:rFonts w:ascii="Verdana" w:hAnsi="Verdana" w:cstheme="majorHAnsi"/>
              </w:rPr>
              <w:t xml:space="preserve"> VAT) including travel and other expenses</w:t>
            </w:r>
          </w:p>
          <w:p w14:paraId="3A59316F" w14:textId="77777777" w:rsidR="00631F61" w:rsidRPr="009E4737" w:rsidRDefault="00631F61" w:rsidP="00696E71">
            <w:pPr>
              <w:widowControl/>
              <w:autoSpaceDE/>
              <w:autoSpaceDN/>
              <w:adjustRightInd/>
              <w:spacing w:after="60"/>
              <w:rPr>
                <w:rFonts w:ascii="Verdana" w:eastAsia="Calibri" w:hAnsi="Verdana"/>
                <w:lang w:eastAsia="en-US"/>
              </w:rPr>
            </w:pPr>
          </w:p>
          <w:p w14:paraId="0ACA4EC9" w14:textId="1E3D3B8B" w:rsidR="00631F61" w:rsidRPr="009E4737" w:rsidRDefault="00631F61" w:rsidP="00696E71">
            <w:pPr>
              <w:widowControl/>
              <w:autoSpaceDE/>
              <w:autoSpaceDN/>
              <w:adjustRightInd/>
              <w:spacing w:after="60"/>
              <w:rPr>
                <w:rFonts w:ascii="Verdana" w:eastAsia="Calibri" w:hAnsi="Verdana"/>
                <w:lang w:eastAsia="en-US"/>
              </w:rPr>
            </w:pPr>
            <w:r w:rsidRPr="009E4737">
              <w:rPr>
                <w:rFonts w:ascii="Verdana" w:eastAsia="Calibri" w:hAnsi="Verdana"/>
                <w:lang w:eastAsia="en-US"/>
              </w:rPr>
              <w:t xml:space="preserve">The lowest bid will be awarded the full </w:t>
            </w:r>
            <w:r w:rsidR="00665814">
              <w:rPr>
                <w:rFonts w:ascii="Verdana" w:eastAsia="Calibri" w:hAnsi="Verdana"/>
                <w:lang w:eastAsia="en-US"/>
              </w:rPr>
              <w:t xml:space="preserve">40 </w:t>
            </w:r>
            <w:r w:rsidRPr="009E4737">
              <w:rPr>
                <w:rFonts w:ascii="Verdana" w:eastAsia="Calibri" w:hAnsi="Verdana"/>
                <w:lang w:eastAsia="en-US"/>
              </w:rPr>
              <w:t xml:space="preserve">marks. Other bids will be awarded a mark that is proportionate to the level of their bid in comparison to the lowest bid i.e. Marks awarded = </w:t>
            </w:r>
            <w:r w:rsidR="00665814">
              <w:rPr>
                <w:rFonts w:ascii="Verdana" w:eastAsia="Calibri" w:hAnsi="Verdana"/>
                <w:lang w:eastAsia="en-US"/>
              </w:rPr>
              <w:t>4</w:t>
            </w:r>
            <w:r w:rsidRPr="009E4737">
              <w:rPr>
                <w:rFonts w:ascii="Verdana" w:eastAsia="Calibri" w:hAnsi="Verdana"/>
                <w:lang w:eastAsia="en-US"/>
              </w:rPr>
              <w:t>0 x lowest bid / bid</w:t>
            </w:r>
          </w:p>
        </w:tc>
        <w:tc>
          <w:tcPr>
            <w:tcW w:w="916" w:type="dxa"/>
          </w:tcPr>
          <w:p w14:paraId="0E3D383C" w14:textId="77777777" w:rsidR="00631F61" w:rsidRPr="0082440D" w:rsidRDefault="00631F61" w:rsidP="00696E71">
            <w:pPr>
              <w:widowControl/>
              <w:autoSpaceDE/>
              <w:autoSpaceDN/>
              <w:adjustRightInd/>
              <w:spacing w:before="240" w:after="60"/>
              <w:jc w:val="center"/>
              <w:rPr>
                <w:rFonts w:ascii="Verdana" w:eastAsia="Calibri" w:hAnsi="Verdana"/>
                <w:lang w:eastAsia="en-US"/>
              </w:rPr>
            </w:pPr>
          </w:p>
        </w:tc>
      </w:tr>
      <w:bookmarkEnd w:id="5"/>
      <w:bookmarkEnd w:id="6"/>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76601">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591C9EFD"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BA598F">
        <w:rPr>
          <w:rFonts w:ascii="Verdana" w:hAnsi="Verdana"/>
          <w:color w:val="auto"/>
          <w:sz w:val="22"/>
          <w:szCs w:val="22"/>
        </w:rPr>
        <w:t>MusicAbility Foundation</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30425D33" w:rsidR="00944CA5" w:rsidRPr="00D80C4B" w:rsidRDefault="00BA598F" w:rsidP="006268C8">
      <w:pPr>
        <w:pStyle w:val="Default"/>
        <w:spacing w:before="60" w:after="60"/>
        <w:rPr>
          <w:rFonts w:ascii="Verdana" w:hAnsi="Verdana"/>
          <w:color w:val="auto"/>
          <w:sz w:val="22"/>
          <w:szCs w:val="22"/>
        </w:rPr>
      </w:pPr>
      <w:r>
        <w:rPr>
          <w:rFonts w:ascii="Verdana" w:hAnsi="Verdana"/>
          <w:color w:val="auto"/>
          <w:sz w:val="22"/>
          <w:szCs w:val="22"/>
        </w:rPr>
        <w:t>MusicAbility Foundation</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MusicAbility Foundation</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MusicAbility Foundation</w:t>
      </w:r>
      <w:r w:rsidR="00944CA5" w:rsidRPr="00D80C4B">
        <w:rPr>
          <w:rFonts w:ascii="Verdana" w:hAnsi="Verdana"/>
          <w:color w:val="auto"/>
          <w:sz w:val="22"/>
          <w:szCs w:val="22"/>
        </w:rPr>
        <w:t xml:space="preserve">’s internal procedures and </w:t>
      </w:r>
      <w:r>
        <w:rPr>
          <w:rFonts w:ascii="Verdana" w:hAnsi="Verdana"/>
          <w:color w:val="auto"/>
          <w:sz w:val="22"/>
          <w:szCs w:val="22"/>
        </w:rPr>
        <w:t>MusicAbility Foundation</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81DD21D" w:rsidR="009E5BAE" w:rsidRPr="00043839" w:rsidRDefault="00043839" w:rsidP="00676601">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C97A4E">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19AD6BD2" w14:textId="2D62E142" w:rsidR="00F241D3" w:rsidRPr="00043839" w:rsidRDefault="008048C0" w:rsidP="00676601">
      <w:pPr>
        <w:pStyle w:val="Heading1"/>
        <w:numPr>
          <w:ilvl w:val="0"/>
          <w:numId w:val="0"/>
        </w:numPr>
        <w:ind w:left="1134" w:hanging="1134"/>
      </w:pPr>
      <w:r w:rsidRPr="00043839">
        <w:t>1</w:t>
      </w:r>
      <w:r w:rsidR="00C97A4E">
        <w:t>3</w:t>
      </w:r>
      <w:r w:rsidRPr="00043839">
        <w:t xml:space="preserve">. </w:t>
      </w:r>
      <w:r w:rsidR="003D4F03">
        <w:tab/>
      </w:r>
      <w:r w:rsidR="00F241D3" w:rsidRPr="00043839">
        <w:t xml:space="preserve">Tender </w:t>
      </w:r>
      <w:r w:rsidR="009E5BAE" w:rsidRPr="00043839">
        <w:t>returns</w:t>
      </w: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lastRenderedPageBreak/>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388CA86" w14:textId="183E1971" w:rsidR="00D80C4B" w:rsidRDefault="009777B8" w:rsidP="00231011">
      <w:pPr>
        <w:pStyle w:val="BodyText"/>
        <w:kinsoku w:val="0"/>
        <w:overflowPunct w:val="0"/>
        <w:ind w:left="0" w:right="255" w:firstLine="0"/>
        <w:rPr>
          <w:color w:val="FF0000"/>
          <w:spacing w:val="-1"/>
        </w:rPr>
      </w:pPr>
      <w:hyperlink r:id="rId14" w:history="1">
        <w:r w:rsidR="00091A1C">
          <w:rPr>
            <w:rStyle w:val="Hyperlink"/>
            <w:rFonts w:cs="Verdana"/>
            <w:spacing w:val="-1"/>
          </w:rPr>
          <w:t>info@juliakerrison.com</w:t>
        </w:r>
      </w:hyperlink>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320B7B5C" w14:textId="77777777" w:rsidR="00D80C4B" w:rsidRDefault="00D80C4B" w:rsidP="00231011">
      <w:pPr>
        <w:pStyle w:val="BodyText"/>
        <w:kinsoku w:val="0"/>
        <w:overflowPunct w:val="0"/>
        <w:ind w:left="0" w:right="255" w:firstLine="0"/>
        <w:rPr>
          <w:spacing w:val="-1"/>
        </w:rPr>
      </w:pPr>
    </w:p>
    <w:p w14:paraId="3D5E4FBD" w14:textId="66DEF2DE" w:rsidR="00231011" w:rsidRPr="00E220BB" w:rsidRDefault="00091A1C" w:rsidP="00231011">
      <w:pPr>
        <w:pStyle w:val="BodyText"/>
        <w:kinsoku w:val="0"/>
        <w:overflowPunct w:val="0"/>
        <w:ind w:left="0" w:right="255" w:firstLine="0"/>
        <w:rPr>
          <w:spacing w:val="-1"/>
        </w:rPr>
      </w:pPr>
      <w:r>
        <w:rPr>
          <w:spacing w:val="-1"/>
        </w:rPr>
        <w:t>Musi</w:t>
      </w:r>
      <w:r w:rsidR="00F31213">
        <w:rPr>
          <w:spacing w:val="-1"/>
        </w:rPr>
        <w:t>cAbility Centre Phase 1</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1AE97A5" w:rsidR="00F241D3" w:rsidRPr="00043839" w:rsidRDefault="00C97A4E" w:rsidP="00676601">
      <w:pPr>
        <w:pStyle w:val="Heading1"/>
        <w:numPr>
          <w:ilvl w:val="0"/>
          <w:numId w:val="0"/>
        </w:numPr>
        <w:ind w:left="1134" w:hanging="1134"/>
      </w:pPr>
      <w:r>
        <w:t>14</w:t>
      </w:r>
      <w:r w:rsidR="00A27FE4">
        <w:t>.</w:t>
      </w:r>
      <w:r w:rsidR="00457AFE">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313BCDB"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BA598F">
        <w:rPr>
          <w:rFonts w:ascii="Verdana" w:hAnsi="Verdana"/>
          <w:color w:val="auto"/>
          <w:sz w:val="22"/>
          <w:szCs w:val="22"/>
        </w:rPr>
        <w:t>MusicAbility Foundation</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A598F">
        <w:rPr>
          <w:rFonts w:ascii="Verdana" w:hAnsi="Verdana"/>
          <w:color w:val="auto"/>
          <w:sz w:val="22"/>
          <w:szCs w:val="22"/>
        </w:rPr>
        <w:t>MusicAbility Foundation</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BA598F">
        <w:rPr>
          <w:rFonts w:ascii="Verdana" w:hAnsi="Verdana"/>
          <w:color w:val="auto"/>
          <w:sz w:val="22"/>
          <w:szCs w:val="22"/>
        </w:rPr>
        <w:t>MusicAbility Foundation</w:t>
      </w:r>
      <w:r w:rsidRPr="00D80C4B">
        <w:rPr>
          <w:rFonts w:ascii="Verdana" w:hAnsi="Verdana"/>
          <w:color w:val="auto"/>
          <w:sz w:val="22"/>
          <w:szCs w:val="22"/>
        </w:rPr>
        <w:t xml:space="preserve"> and any other party (save for a formal award of contract made in writing by </w:t>
      </w:r>
      <w:r w:rsidR="00BA598F">
        <w:rPr>
          <w:rFonts w:ascii="Verdana" w:hAnsi="Verdana"/>
          <w:color w:val="auto"/>
          <w:sz w:val="22"/>
          <w:szCs w:val="22"/>
        </w:rPr>
        <w:t>MusicAbility Foundation</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BA598F">
        <w:rPr>
          <w:rFonts w:ascii="Verdana" w:hAnsi="Verdana"/>
          <w:color w:val="auto"/>
          <w:sz w:val="22"/>
          <w:szCs w:val="22"/>
        </w:rPr>
        <w:t>MusicAbility Foundation</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A71B098"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BA598F">
        <w:rPr>
          <w:rFonts w:ascii="Verdana" w:hAnsi="Verdana"/>
          <w:color w:val="auto"/>
          <w:sz w:val="22"/>
          <w:szCs w:val="22"/>
        </w:rPr>
        <w:t xml:space="preserve">MusicAbility </w:t>
      </w:r>
      <w:proofErr w:type="gramStart"/>
      <w:r w:rsidR="00BA598F">
        <w:rPr>
          <w:rFonts w:ascii="Verdana" w:hAnsi="Verdana"/>
          <w:color w:val="auto"/>
          <w:sz w:val="22"/>
          <w:szCs w:val="22"/>
        </w:rPr>
        <w:t>Foundation</w:t>
      </w:r>
      <w:proofErr w:type="gramEnd"/>
      <w:r w:rsidRPr="00D80C4B">
        <w:rPr>
          <w:rFonts w:ascii="Verdana" w:hAnsi="Verdana"/>
          <w:color w:val="auto"/>
          <w:sz w:val="22"/>
          <w:szCs w:val="22"/>
        </w:rPr>
        <w:t xml:space="preserve"> or any information contained in </w:t>
      </w:r>
      <w:r w:rsidR="00BA598F">
        <w:rPr>
          <w:rFonts w:ascii="Verdana" w:hAnsi="Verdana"/>
          <w:color w:val="auto"/>
          <w:sz w:val="22"/>
          <w:szCs w:val="22"/>
        </w:rPr>
        <w:t>MusicAbility Foundation</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A598F">
        <w:rPr>
          <w:rFonts w:ascii="Verdana" w:hAnsi="Verdana"/>
          <w:color w:val="auto"/>
          <w:sz w:val="22"/>
          <w:szCs w:val="22"/>
        </w:rPr>
        <w:t>MusicAbility Foundation</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41F1AB71" w:rsidR="00F241D3" w:rsidRPr="00D80C4B" w:rsidRDefault="00BA598F" w:rsidP="006268C8">
      <w:pPr>
        <w:pStyle w:val="Default"/>
        <w:spacing w:before="60" w:after="60"/>
        <w:rPr>
          <w:rFonts w:ascii="Verdana" w:hAnsi="Verdana"/>
          <w:color w:val="auto"/>
          <w:sz w:val="22"/>
          <w:szCs w:val="22"/>
        </w:rPr>
      </w:pPr>
      <w:r>
        <w:rPr>
          <w:rFonts w:ascii="Verdana" w:hAnsi="Verdana"/>
          <w:color w:val="auto"/>
          <w:sz w:val="22"/>
          <w:szCs w:val="22"/>
        </w:rPr>
        <w:t>MusicAbility Foundation</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27FC8403"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BA598F">
        <w:rPr>
          <w:rFonts w:ascii="Verdana" w:hAnsi="Verdana"/>
          <w:color w:val="auto"/>
          <w:sz w:val="22"/>
          <w:szCs w:val="22"/>
        </w:rPr>
        <w:t>MusicAbility Foundation</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0C8AD35E" w:rsidR="00F241D3" w:rsidRPr="00043839" w:rsidRDefault="00043839" w:rsidP="00676601">
      <w:pPr>
        <w:pStyle w:val="Heading1"/>
        <w:numPr>
          <w:ilvl w:val="0"/>
          <w:numId w:val="0"/>
        </w:numPr>
        <w:ind w:left="1134" w:hanging="1134"/>
      </w:pPr>
      <w:r w:rsidRPr="00043839">
        <w:t>1</w:t>
      </w:r>
      <w:r w:rsidR="009D52E1">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1F2E9F02" w14:textId="274952C6" w:rsidR="00843C15" w:rsidRPr="00843C15" w:rsidRDefault="00676601" w:rsidP="006255A8">
      <w:pPr>
        <w:tabs>
          <w:tab w:val="left" w:pos="851"/>
        </w:tabs>
        <w:rPr>
          <w:rFonts w:ascii="Verdana" w:hAnsi="Verdana"/>
          <w:sz w:val="22"/>
          <w:szCs w:val="22"/>
        </w:rPr>
      </w:pPr>
      <w:r>
        <w:rPr>
          <w:rFonts w:ascii="Verdana" w:hAnsi="Verdana"/>
          <w:sz w:val="22"/>
          <w:szCs w:val="22"/>
        </w:rPr>
        <w:t>Drawing Set</w:t>
      </w:r>
      <w:r w:rsidR="00843C15">
        <w:rPr>
          <w:rFonts w:ascii="Verdana" w:hAnsi="Verdana"/>
          <w:sz w:val="22"/>
          <w:szCs w:val="22"/>
        </w:rPr>
        <w:tab/>
      </w:r>
    </w:p>
    <w:p w14:paraId="5A96C287" w14:textId="1E77D434" w:rsidR="006255A8" w:rsidRDefault="00843C15" w:rsidP="006255A8">
      <w:pPr>
        <w:tabs>
          <w:tab w:val="left" w:pos="851"/>
        </w:tabs>
        <w:rPr>
          <w:rFonts w:ascii="Verdana" w:hAnsi="Verdana"/>
          <w:sz w:val="22"/>
          <w:szCs w:val="22"/>
        </w:rPr>
      </w:pPr>
      <w:r>
        <w:rPr>
          <w:rFonts w:ascii="Verdana" w:hAnsi="Verdana"/>
          <w:sz w:val="22"/>
          <w:szCs w:val="22"/>
        </w:rPr>
        <w:tab/>
      </w:r>
    </w:p>
    <w:p w14:paraId="4498FF41" w14:textId="0D6B62F3" w:rsidR="00843C15" w:rsidRDefault="00843C15" w:rsidP="00843C15">
      <w:pPr>
        <w:tabs>
          <w:tab w:val="left" w:pos="851"/>
        </w:tabs>
        <w:rPr>
          <w:rFonts w:ascii="Verdana" w:hAnsi="Verdana"/>
          <w:sz w:val="22"/>
          <w:szCs w:val="22"/>
        </w:rPr>
      </w:pPr>
    </w:p>
    <w:p w14:paraId="73C9B4BE" w14:textId="0601B182" w:rsidR="00843C15" w:rsidRPr="00843C15" w:rsidRDefault="00843C15" w:rsidP="00843C15">
      <w:pPr>
        <w:tabs>
          <w:tab w:val="left" w:pos="851"/>
        </w:tabs>
        <w:rPr>
          <w:rFonts w:ascii="Verdana" w:hAnsi="Verdana"/>
          <w:sz w:val="22"/>
          <w:szCs w:val="22"/>
        </w:rPr>
      </w:pPr>
    </w:p>
    <w:sectPr w:rsidR="00843C15" w:rsidRPr="00843C15" w:rsidSect="00231E45">
      <w:headerReference w:type="even" r:id="rId15"/>
      <w:headerReference w:type="default" r:id="rId16"/>
      <w:footerReference w:type="default" r:id="rId17"/>
      <w:headerReference w:type="first" r:id="rId18"/>
      <w:footerReference w:type="first" r:id="rId19"/>
      <w:pgSz w:w="11910" w:h="16840" w:code="9"/>
      <w:pgMar w:top="851" w:right="1440" w:bottom="709"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F0EAF1B"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F0EAF1B"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77B51A7"/>
    <w:multiLevelType w:val="hybridMultilevel"/>
    <w:tmpl w:val="6F84A54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91CD2"/>
    <w:multiLevelType w:val="hybridMultilevel"/>
    <w:tmpl w:val="9E7448BA"/>
    <w:lvl w:ilvl="0" w:tplc="686C8DF6">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B950921"/>
    <w:multiLevelType w:val="hybridMultilevel"/>
    <w:tmpl w:val="E5523D06"/>
    <w:lvl w:ilvl="0" w:tplc="F252F512">
      <w:start w:val="1"/>
      <w:numFmt w:val="lowerLetter"/>
      <w:lvlText w:val="%1."/>
      <w:lvlJc w:val="left"/>
      <w:pPr>
        <w:ind w:left="840" w:hanging="360"/>
      </w:pPr>
      <w:rPr>
        <w:rFonts w:ascii="Verdana" w:eastAsia="Times New Roman" w:hAnsi="Verdana" w:cs="Arial Narrow"/>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3C095527"/>
    <w:multiLevelType w:val="hybridMultilevel"/>
    <w:tmpl w:val="EF5E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417E0"/>
    <w:multiLevelType w:val="hybridMultilevel"/>
    <w:tmpl w:val="B1C8B224"/>
    <w:lvl w:ilvl="0" w:tplc="AE72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75E65"/>
    <w:multiLevelType w:val="hybridMultilevel"/>
    <w:tmpl w:val="097E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A5787"/>
    <w:multiLevelType w:val="multilevel"/>
    <w:tmpl w:val="A4F83D70"/>
    <w:lvl w:ilvl="0">
      <w:start w:val="1"/>
      <w:numFmt w:val="decimal"/>
      <w:lvlText w:val="%1."/>
      <w:lvlJc w:val="left"/>
      <w:pPr>
        <w:ind w:left="1215" w:hanging="855"/>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0" w15:restartNumberingAfterBreak="0">
    <w:nsid w:val="7ACB14B9"/>
    <w:multiLevelType w:val="hybridMultilevel"/>
    <w:tmpl w:val="D9506BCE"/>
    <w:lvl w:ilvl="0" w:tplc="36CEED9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11"/>
  </w:num>
  <w:num w:numId="3" w16cid:durableId="1324317903">
    <w:abstractNumId w:val="3"/>
  </w:num>
  <w:num w:numId="4" w16cid:durableId="2004121565">
    <w:abstractNumId w:val="5"/>
  </w:num>
  <w:num w:numId="5" w16cid:durableId="2138571794">
    <w:abstractNumId w:val="16"/>
  </w:num>
  <w:num w:numId="6" w16cid:durableId="911238045">
    <w:abstractNumId w:val="14"/>
  </w:num>
  <w:num w:numId="7" w16cid:durableId="985352430">
    <w:abstractNumId w:val="15"/>
  </w:num>
  <w:num w:numId="8" w16cid:durableId="1709642318">
    <w:abstractNumId w:val="4"/>
  </w:num>
  <w:num w:numId="9" w16cid:durableId="588542931">
    <w:abstractNumId w:val="8"/>
  </w:num>
  <w:num w:numId="10" w16cid:durableId="231816938">
    <w:abstractNumId w:val="2"/>
  </w:num>
  <w:num w:numId="11" w16cid:durableId="659892664">
    <w:abstractNumId w:val="0"/>
  </w:num>
  <w:num w:numId="12" w16cid:durableId="1547793867">
    <w:abstractNumId w:val="10"/>
  </w:num>
  <w:num w:numId="13" w16cid:durableId="1989700528">
    <w:abstractNumId w:val="7"/>
  </w:num>
  <w:num w:numId="14" w16cid:durableId="382826107">
    <w:abstractNumId w:val="19"/>
  </w:num>
  <w:num w:numId="15" w16cid:durableId="604535401">
    <w:abstractNumId w:val="18"/>
  </w:num>
  <w:num w:numId="16" w16cid:durableId="484707513">
    <w:abstractNumId w:val="13"/>
  </w:num>
  <w:num w:numId="17" w16cid:durableId="1825777850">
    <w:abstractNumId w:val="6"/>
  </w:num>
  <w:num w:numId="18" w16cid:durableId="35737199">
    <w:abstractNumId w:val="12"/>
  </w:num>
  <w:num w:numId="19" w16cid:durableId="205096">
    <w:abstractNumId w:val="9"/>
  </w:num>
  <w:num w:numId="20" w16cid:durableId="1989557531">
    <w:abstractNumId w:val="19"/>
    <w:lvlOverride w:ilvl="0"/>
    <w:lvlOverride w:ilvl="1"/>
    <w:lvlOverride w:ilvl="2"/>
    <w:lvlOverride w:ilvl="3"/>
    <w:lvlOverride w:ilvl="4"/>
    <w:lvlOverride w:ilvl="5"/>
    <w:lvlOverride w:ilvl="6"/>
    <w:lvlOverride w:ilvl="7"/>
    <w:lvlOverride w:ilvl="8"/>
  </w:num>
  <w:num w:numId="21" w16cid:durableId="105874386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50966">
    <w:abstractNumId w:val="17"/>
  </w:num>
  <w:num w:numId="23" w16cid:durableId="141986120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15D"/>
    <w:rsid w:val="00006BC7"/>
    <w:rsid w:val="00010702"/>
    <w:rsid w:val="000115A5"/>
    <w:rsid w:val="00017DB4"/>
    <w:rsid w:val="0002259F"/>
    <w:rsid w:val="000229F1"/>
    <w:rsid w:val="00024866"/>
    <w:rsid w:val="00025BD1"/>
    <w:rsid w:val="00032F34"/>
    <w:rsid w:val="00037988"/>
    <w:rsid w:val="000401C6"/>
    <w:rsid w:val="00043839"/>
    <w:rsid w:val="00050B96"/>
    <w:rsid w:val="00054F35"/>
    <w:rsid w:val="00071D9D"/>
    <w:rsid w:val="00075056"/>
    <w:rsid w:val="0007548F"/>
    <w:rsid w:val="000825E2"/>
    <w:rsid w:val="00083F80"/>
    <w:rsid w:val="00085093"/>
    <w:rsid w:val="000854E3"/>
    <w:rsid w:val="00086E9B"/>
    <w:rsid w:val="00087549"/>
    <w:rsid w:val="00087C4B"/>
    <w:rsid w:val="00091A1C"/>
    <w:rsid w:val="000A0B78"/>
    <w:rsid w:val="000A11CD"/>
    <w:rsid w:val="000A12A1"/>
    <w:rsid w:val="000A2338"/>
    <w:rsid w:val="000A3B4C"/>
    <w:rsid w:val="000A3E97"/>
    <w:rsid w:val="000A3FB7"/>
    <w:rsid w:val="000B3212"/>
    <w:rsid w:val="000B50AD"/>
    <w:rsid w:val="000B51D0"/>
    <w:rsid w:val="000C3FF2"/>
    <w:rsid w:val="000C55C4"/>
    <w:rsid w:val="000C7AA7"/>
    <w:rsid w:val="000E0EE7"/>
    <w:rsid w:val="000E1CC1"/>
    <w:rsid w:val="000E29B0"/>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6DC"/>
    <w:rsid w:val="001618E4"/>
    <w:rsid w:val="001738EC"/>
    <w:rsid w:val="001748DA"/>
    <w:rsid w:val="00177291"/>
    <w:rsid w:val="00180B40"/>
    <w:rsid w:val="00183661"/>
    <w:rsid w:val="00192124"/>
    <w:rsid w:val="001A049B"/>
    <w:rsid w:val="001A247D"/>
    <w:rsid w:val="001B10A6"/>
    <w:rsid w:val="001B46C8"/>
    <w:rsid w:val="001C161F"/>
    <w:rsid w:val="001C39B5"/>
    <w:rsid w:val="001C4D88"/>
    <w:rsid w:val="001D157B"/>
    <w:rsid w:val="001E6A66"/>
    <w:rsid w:val="001F725E"/>
    <w:rsid w:val="002047C7"/>
    <w:rsid w:val="0020644B"/>
    <w:rsid w:val="00211A64"/>
    <w:rsid w:val="002166ED"/>
    <w:rsid w:val="00224C4C"/>
    <w:rsid w:val="002255AD"/>
    <w:rsid w:val="00231011"/>
    <w:rsid w:val="00231E45"/>
    <w:rsid w:val="0023341B"/>
    <w:rsid w:val="0023521A"/>
    <w:rsid w:val="00245E3C"/>
    <w:rsid w:val="00247672"/>
    <w:rsid w:val="00254332"/>
    <w:rsid w:val="002602E0"/>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23F9"/>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19A0"/>
    <w:rsid w:val="003B42CB"/>
    <w:rsid w:val="003C2553"/>
    <w:rsid w:val="003C65FC"/>
    <w:rsid w:val="003C661B"/>
    <w:rsid w:val="003D4F03"/>
    <w:rsid w:val="003D78DA"/>
    <w:rsid w:val="003E6A3B"/>
    <w:rsid w:val="003E6BA4"/>
    <w:rsid w:val="003F289E"/>
    <w:rsid w:val="003F3ECD"/>
    <w:rsid w:val="003F5D57"/>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1061"/>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C5C90"/>
    <w:rsid w:val="004D04DE"/>
    <w:rsid w:val="004D55CF"/>
    <w:rsid w:val="004D743A"/>
    <w:rsid w:val="004E02A6"/>
    <w:rsid w:val="004E4A58"/>
    <w:rsid w:val="004E51A3"/>
    <w:rsid w:val="004F2E6B"/>
    <w:rsid w:val="00501FAE"/>
    <w:rsid w:val="005079FC"/>
    <w:rsid w:val="00507A62"/>
    <w:rsid w:val="00512D08"/>
    <w:rsid w:val="00517C3B"/>
    <w:rsid w:val="0052395E"/>
    <w:rsid w:val="00527B57"/>
    <w:rsid w:val="0053109F"/>
    <w:rsid w:val="00531F16"/>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C7A56"/>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1F61"/>
    <w:rsid w:val="00637E40"/>
    <w:rsid w:val="00643C1E"/>
    <w:rsid w:val="006445E2"/>
    <w:rsid w:val="00645530"/>
    <w:rsid w:val="0064563D"/>
    <w:rsid w:val="0066537B"/>
    <w:rsid w:val="00665814"/>
    <w:rsid w:val="00665FF9"/>
    <w:rsid w:val="006664FE"/>
    <w:rsid w:val="006671D0"/>
    <w:rsid w:val="00672083"/>
    <w:rsid w:val="00676601"/>
    <w:rsid w:val="00684C1C"/>
    <w:rsid w:val="00685412"/>
    <w:rsid w:val="006871AC"/>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45DF"/>
    <w:rsid w:val="0075598D"/>
    <w:rsid w:val="007572E4"/>
    <w:rsid w:val="00760410"/>
    <w:rsid w:val="00760D82"/>
    <w:rsid w:val="0076168A"/>
    <w:rsid w:val="007658A3"/>
    <w:rsid w:val="00766204"/>
    <w:rsid w:val="00766801"/>
    <w:rsid w:val="00766A57"/>
    <w:rsid w:val="00773ACB"/>
    <w:rsid w:val="007853FD"/>
    <w:rsid w:val="00785A4B"/>
    <w:rsid w:val="0078790B"/>
    <w:rsid w:val="00791D70"/>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230C"/>
    <w:rsid w:val="008331AF"/>
    <w:rsid w:val="00837579"/>
    <w:rsid w:val="00843C15"/>
    <w:rsid w:val="008501D2"/>
    <w:rsid w:val="00852919"/>
    <w:rsid w:val="0085707F"/>
    <w:rsid w:val="00857694"/>
    <w:rsid w:val="00860288"/>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1AFC"/>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76C7D"/>
    <w:rsid w:val="009777B8"/>
    <w:rsid w:val="009802C9"/>
    <w:rsid w:val="009811B1"/>
    <w:rsid w:val="00982D8F"/>
    <w:rsid w:val="00985D62"/>
    <w:rsid w:val="009872AF"/>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D52E1"/>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56BA7"/>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2551"/>
    <w:rsid w:val="00AE3E93"/>
    <w:rsid w:val="00AE742E"/>
    <w:rsid w:val="00AF0F64"/>
    <w:rsid w:val="00AF284C"/>
    <w:rsid w:val="00AF5A5E"/>
    <w:rsid w:val="00B02843"/>
    <w:rsid w:val="00B0369A"/>
    <w:rsid w:val="00B07CE8"/>
    <w:rsid w:val="00B13DCC"/>
    <w:rsid w:val="00B17D8B"/>
    <w:rsid w:val="00B24D94"/>
    <w:rsid w:val="00B338C9"/>
    <w:rsid w:val="00B36B5F"/>
    <w:rsid w:val="00B36DC3"/>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98F"/>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9577C"/>
    <w:rsid w:val="00C97A4E"/>
    <w:rsid w:val="00CA2C63"/>
    <w:rsid w:val="00CB06AD"/>
    <w:rsid w:val="00CB0724"/>
    <w:rsid w:val="00CB56A4"/>
    <w:rsid w:val="00CB5CE6"/>
    <w:rsid w:val="00CC0D05"/>
    <w:rsid w:val="00CC4189"/>
    <w:rsid w:val="00CC614C"/>
    <w:rsid w:val="00CC627B"/>
    <w:rsid w:val="00CD45D8"/>
    <w:rsid w:val="00CD5B3F"/>
    <w:rsid w:val="00CE78BC"/>
    <w:rsid w:val="00CF01F6"/>
    <w:rsid w:val="00CF0DA8"/>
    <w:rsid w:val="00CF4C27"/>
    <w:rsid w:val="00CF7180"/>
    <w:rsid w:val="00D01466"/>
    <w:rsid w:val="00D052AE"/>
    <w:rsid w:val="00D14557"/>
    <w:rsid w:val="00D1587D"/>
    <w:rsid w:val="00D22976"/>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B2CFB"/>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2586"/>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1706"/>
    <w:rsid w:val="00EF2A3E"/>
    <w:rsid w:val="00EF2B25"/>
    <w:rsid w:val="00EF5734"/>
    <w:rsid w:val="00F0573E"/>
    <w:rsid w:val="00F131E4"/>
    <w:rsid w:val="00F138F1"/>
    <w:rsid w:val="00F14C5E"/>
    <w:rsid w:val="00F21877"/>
    <w:rsid w:val="00F22D9C"/>
    <w:rsid w:val="00F241D3"/>
    <w:rsid w:val="00F3121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157A"/>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676601"/>
    <w:pPr>
      <w:numPr>
        <w:numId w:val="23"/>
      </w:numPr>
      <w:tabs>
        <w:tab w:val="left" w:pos="1134"/>
      </w:tabs>
      <w:ind w:left="1134" w:hanging="1134"/>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7660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21365467">
      <w:bodyDiv w:val="1"/>
      <w:marLeft w:val="0"/>
      <w:marRight w:val="0"/>
      <w:marTop w:val="0"/>
      <w:marBottom w:val="0"/>
      <w:divBdr>
        <w:top w:val="none" w:sz="0" w:space="0" w:color="auto"/>
        <w:left w:val="none" w:sz="0" w:space="0" w:color="auto"/>
        <w:bottom w:val="none" w:sz="0" w:space="0" w:color="auto"/>
        <w:right w:val="none" w:sz="0" w:space="0" w:color="auto"/>
      </w:divBdr>
      <w:divsChild>
        <w:div w:id="1144391073">
          <w:marLeft w:val="102"/>
          <w:marRight w:val="0"/>
          <w:marTop w:val="0"/>
          <w:marBottom w:val="0"/>
          <w:divBdr>
            <w:top w:val="none" w:sz="0" w:space="0" w:color="auto"/>
            <w:left w:val="none" w:sz="0" w:space="0" w:color="auto"/>
            <w:bottom w:val="none" w:sz="0" w:space="0" w:color="auto"/>
            <w:right w:val="none" w:sz="0" w:space="0" w:color="auto"/>
          </w:divBdr>
        </w:div>
        <w:div w:id="1776288671">
          <w:marLeft w:val="102"/>
          <w:marRight w:val="0"/>
          <w:marTop w:val="0"/>
          <w:marBottom w:val="0"/>
          <w:divBdr>
            <w:top w:val="none" w:sz="0" w:space="0" w:color="auto"/>
            <w:left w:val="none" w:sz="0" w:space="0" w:color="auto"/>
            <w:bottom w:val="none" w:sz="0" w:space="0" w:color="auto"/>
            <w:right w:val="none" w:sz="0" w:space="0" w:color="auto"/>
          </w:divBdr>
        </w:div>
        <w:div w:id="1818230938">
          <w:marLeft w:val="102"/>
          <w:marRight w:val="0"/>
          <w:marTop w:val="0"/>
          <w:marBottom w:val="0"/>
          <w:divBdr>
            <w:top w:val="none" w:sz="0" w:space="0" w:color="auto"/>
            <w:left w:val="none" w:sz="0" w:space="0" w:color="auto"/>
            <w:bottom w:val="none" w:sz="0" w:space="0" w:color="auto"/>
            <w:right w:val="none" w:sz="0" w:space="0" w:color="auto"/>
          </w:divBdr>
        </w:div>
        <w:div w:id="379525369">
          <w:marLeft w:val="0"/>
          <w:marRight w:val="0"/>
          <w:marTop w:val="0"/>
          <w:marBottom w:val="0"/>
          <w:divBdr>
            <w:top w:val="none" w:sz="0" w:space="0" w:color="auto"/>
            <w:left w:val="none" w:sz="0" w:space="0" w:color="auto"/>
            <w:bottom w:val="none" w:sz="0" w:space="0" w:color="auto"/>
            <w:right w:val="none" w:sz="0" w:space="0" w:color="auto"/>
          </w:divBdr>
        </w:div>
        <w:div w:id="490685052">
          <w:marLeft w:val="102"/>
          <w:marRight w:val="0"/>
          <w:marTop w:val="0"/>
          <w:marBottom w:val="0"/>
          <w:divBdr>
            <w:top w:val="none" w:sz="0" w:space="0" w:color="auto"/>
            <w:left w:val="none" w:sz="0" w:space="0" w:color="auto"/>
            <w:bottom w:val="none" w:sz="0" w:space="0" w:color="auto"/>
            <w:right w:val="none" w:sz="0" w:space="0" w:color="auto"/>
          </w:divBdr>
        </w:div>
        <w:div w:id="961500955">
          <w:marLeft w:val="0"/>
          <w:marRight w:val="0"/>
          <w:marTop w:val="0"/>
          <w:marBottom w:val="0"/>
          <w:divBdr>
            <w:top w:val="none" w:sz="0" w:space="0" w:color="auto"/>
            <w:left w:val="none" w:sz="0" w:space="0" w:color="auto"/>
            <w:bottom w:val="none" w:sz="0" w:space="0" w:color="auto"/>
            <w:right w:val="none" w:sz="0" w:space="0" w:color="auto"/>
          </w:divBdr>
        </w:div>
        <w:div w:id="927425721">
          <w:marLeft w:val="102"/>
          <w:marRight w:val="0"/>
          <w:marTop w:val="0"/>
          <w:marBottom w:val="0"/>
          <w:divBdr>
            <w:top w:val="none" w:sz="0" w:space="0" w:color="auto"/>
            <w:left w:val="none" w:sz="0" w:space="0" w:color="auto"/>
            <w:bottom w:val="none" w:sz="0" w:space="0" w:color="auto"/>
            <w:right w:val="none" w:sz="0" w:space="0" w:color="auto"/>
          </w:divBdr>
        </w:div>
        <w:div w:id="1096903616">
          <w:marLeft w:val="0"/>
          <w:marRight w:val="0"/>
          <w:marTop w:val="0"/>
          <w:marBottom w:val="0"/>
          <w:divBdr>
            <w:top w:val="none" w:sz="0" w:space="0" w:color="auto"/>
            <w:left w:val="none" w:sz="0" w:space="0" w:color="auto"/>
            <w:bottom w:val="none" w:sz="0" w:space="0" w:color="auto"/>
            <w:right w:val="none" w:sz="0" w:space="0" w:color="auto"/>
          </w:divBdr>
        </w:div>
        <w:div w:id="1602298514">
          <w:marLeft w:val="102"/>
          <w:marRight w:val="0"/>
          <w:marTop w:val="0"/>
          <w:marBottom w:val="0"/>
          <w:divBdr>
            <w:top w:val="none" w:sz="0" w:space="0" w:color="auto"/>
            <w:left w:val="none" w:sz="0" w:space="0" w:color="auto"/>
            <w:bottom w:val="none" w:sz="0" w:space="0" w:color="auto"/>
            <w:right w:val="none" w:sz="0" w:space="0" w:color="auto"/>
          </w:divBdr>
        </w:div>
        <w:div w:id="1470711990">
          <w:marLeft w:val="0"/>
          <w:marRight w:val="0"/>
          <w:marTop w:val="0"/>
          <w:marBottom w:val="0"/>
          <w:divBdr>
            <w:top w:val="none" w:sz="0" w:space="0" w:color="auto"/>
            <w:left w:val="none" w:sz="0" w:space="0" w:color="auto"/>
            <w:bottom w:val="none" w:sz="0" w:space="0" w:color="auto"/>
            <w:right w:val="none" w:sz="0" w:space="0" w:color="auto"/>
          </w:divBdr>
        </w:div>
        <w:div w:id="19554351">
          <w:marLeft w:val="102"/>
          <w:marRight w:val="0"/>
          <w:marTop w:val="0"/>
          <w:marBottom w:val="0"/>
          <w:divBdr>
            <w:top w:val="none" w:sz="0" w:space="0" w:color="auto"/>
            <w:left w:val="none" w:sz="0" w:space="0" w:color="auto"/>
            <w:bottom w:val="none" w:sz="0" w:space="0" w:color="auto"/>
            <w:right w:val="none" w:sz="0" w:space="0" w:color="auto"/>
          </w:divBdr>
        </w:div>
        <w:div w:id="426509117">
          <w:marLeft w:val="0"/>
          <w:marRight w:val="0"/>
          <w:marTop w:val="0"/>
          <w:marBottom w:val="0"/>
          <w:divBdr>
            <w:top w:val="none" w:sz="0" w:space="0" w:color="auto"/>
            <w:left w:val="none" w:sz="0" w:space="0" w:color="auto"/>
            <w:bottom w:val="none" w:sz="0" w:space="0" w:color="auto"/>
            <w:right w:val="none" w:sz="0" w:space="0" w:color="auto"/>
          </w:divBdr>
        </w:div>
        <w:div w:id="1445224910">
          <w:marLeft w:val="102"/>
          <w:marRight w:val="0"/>
          <w:marTop w:val="0"/>
          <w:marBottom w:val="0"/>
          <w:divBdr>
            <w:top w:val="none" w:sz="0" w:space="0" w:color="auto"/>
            <w:left w:val="none" w:sz="0" w:space="0" w:color="auto"/>
            <w:bottom w:val="none" w:sz="0" w:space="0" w:color="auto"/>
            <w:right w:val="none" w:sz="0" w:space="0" w:color="auto"/>
          </w:divBdr>
        </w:div>
        <w:div w:id="1291283810">
          <w:marLeft w:val="0"/>
          <w:marRight w:val="0"/>
          <w:marTop w:val="0"/>
          <w:marBottom w:val="0"/>
          <w:divBdr>
            <w:top w:val="none" w:sz="0" w:space="0" w:color="auto"/>
            <w:left w:val="none" w:sz="0" w:space="0" w:color="auto"/>
            <w:bottom w:val="none" w:sz="0" w:space="0" w:color="auto"/>
            <w:right w:val="none" w:sz="0" w:space="0" w:color="auto"/>
          </w:divBdr>
        </w:div>
        <w:div w:id="1598324569">
          <w:marLeft w:val="102"/>
          <w:marRight w:val="0"/>
          <w:marTop w:val="0"/>
          <w:marBottom w:val="0"/>
          <w:divBdr>
            <w:top w:val="none" w:sz="0" w:space="0" w:color="auto"/>
            <w:left w:val="none" w:sz="0" w:space="0" w:color="auto"/>
            <w:bottom w:val="none" w:sz="0" w:space="0" w:color="auto"/>
            <w:right w:val="none" w:sz="0" w:space="0" w:color="auto"/>
          </w:divBdr>
        </w:div>
        <w:div w:id="563881037">
          <w:marLeft w:val="0"/>
          <w:marRight w:val="0"/>
          <w:marTop w:val="0"/>
          <w:marBottom w:val="0"/>
          <w:divBdr>
            <w:top w:val="none" w:sz="0" w:space="0" w:color="auto"/>
            <w:left w:val="none" w:sz="0" w:space="0" w:color="auto"/>
            <w:bottom w:val="none" w:sz="0" w:space="0" w:color="auto"/>
            <w:right w:val="none" w:sz="0" w:space="0" w:color="auto"/>
          </w:divBdr>
        </w:div>
        <w:div w:id="672033053">
          <w:marLeft w:val="102"/>
          <w:marRight w:val="0"/>
          <w:marTop w:val="0"/>
          <w:marBottom w:val="0"/>
          <w:divBdr>
            <w:top w:val="none" w:sz="0" w:space="0" w:color="auto"/>
            <w:left w:val="none" w:sz="0" w:space="0" w:color="auto"/>
            <w:bottom w:val="none" w:sz="0" w:space="0" w:color="auto"/>
            <w:right w:val="none" w:sz="0" w:space="0" w:color="auto"/>
          </w:divBdr>
        </w:div>
        <w:div w:id="372578332">
          <w:marLeft w:val="0"/>
          <w:marRight w:val="0"/>
          <w:marTop w:val="0"/>
          <w:marBottom w:val="0"/>
          <w:divBdr>
            <w:top w:val="none" w:sz="0" w:space="0" w:color="auto"/>
            <w:left w:val="none" w:sz="0" w:space="0" w:color="auto"/>
            <w:bottom w:val="none" w:sz="0" w:space="0" w:color="auto"/>
            <w:right w:val="none" w:sz="0" w:space="0" w:color="auto"/>
          </w:divBdr>
        </w:div>
      </w:divsChild>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868443377">
      <w:bodyDiv w:val="1"/>
      <w:marLeft w:val="0"/>
      <w:marRight w:val="0"/>
      <w:marTop w:val="0"/>
      <w:marBottom w:val="0"/>
      <w:divBdr>
        <w:top w:val="none" w:sz="0" w:space="0" w:color="auto"/>
        <w:left w:val="none" w:sz="0" w:space="0" w:color="auto"/>
        <w:bottom w:val="none" w:sz="0" w:space="0" w:color="auto"/>
        <w:right w:val="none" w:sz="0" w:space="0" w:color="auto"/>
      </w:divBdr>
      <w:divsChild>
        <w:div w:id="1474062230">
          <w:marLeft w:val="102"/>
          <w:marRight w:val="0"/>
          <w:marTop w:val="0"/>
          <w:marBottom w:val="0"/>
          <w:divBdr>
            <w:top w:val="none" w:sz="0" w:space="0" w:color="auto"/>
            <w:left w:val="none" w:sz="0" w:space="0" w:color="auto"/>
            <w:bottom w:val="none" w:sz="0" w:space="0" w:color="auto"/>
            <w:right w:val="none" w:sz="0" w:space="0" w:color="auto"/>
          </w:divBdr>
        </w:div>
        <w:div w:id="442001079">
          <w:marLeft w:val="102"/>
          <w:marRight w:val="0"/>
          <w:marTop w:val="0"/>
          <w:marBottom w:val="0"/>
          <w:divBdr>
            <w:top w:val="none" w:sz="0" w:space="0" w:color="auto"/>
            <w:left w:val="none" w:sz="0" w:space="0" w:color="auto"/>
            <w:bottom w:val="none" w:sz="0" w:space="0" w:color="auto"/>
            <w:right w:val="none" w:sz="0" w:space="0" w:color="auto"/>
          </w:divBdr>
        </w:div>
        <w:div w:id="385641442">
          <w:marLeft w:val="102"/>
          <w:marRight w:val="0"/>
          <w:marTop w:val="0"/>
          <w:marBottom w:val="0"/>
          <w:divBdr>
            <w:top w:val="none" w:sz="0" w:space="0" w:color="auto"/>
            <w:left w:val="none" w:sz="0" w:space="0" w:color="auto"/>
            <w:bottom w:val="none" w:sz="0" w:space="0" w:color="auto"/>
            <w:right w:val="none" w:sz="0" w:space="0" w:color="auto"/>
          </w:divBdr>
        </w:div>
        <w:div w:id="1546410006">
          <w:marLeft w:val="0"/>
          <w:marRight w:val="0"/>
          <w:marTop w:val="0"/>
          <w:marBottom w:val="0"/>
          <w:divBdr>
            <w:top w:val="none" w:sz="0" w:space="0" w:color="auto"/>
            <w:left w:val="none" w:sz="0" w:space="0" w:color="auto"/>
            <w:bottom w:val="none" w:sz="0" w:space="0" w:color="auto"/>
            <w:right w:val="none" w:sz="0" w:space="0" w:color="auto"/>
          </w:divBdr>
        </w:div>
        <w:div w:id="1592735373">
          <w:marLeft w:val="102"/>
          <w:marRight w:val="0"/>
          <w:marTop w:val="0"/>
          <w:marBottom w:val="0"/>
          <w:divBdr>
            <w:top w:val="none" w:sz="0" w:space="0" w:color="auto"/>
            <w:left w:val="none" w:sz="0" w:space="0" w:color="auto"/>
            <w:bottom w:val="none" w:sz="0" w:space="0" w:color="auto"/>
            <w:right w:val="none" w:sz="0" w:space="0" w:color="auto"/>
          </w:divBdr>
        </w:div>
        <w:div w:id="1781954760">
          <w:marLeft w:val="0"/>
          <w:marRight w:val="0"/>
          <w:marTop w:val="0"/>
          <w:marBottom w:val="0"/>
          <w:divBdr>
            <w:top w:val="none" w:sz="0" w:space="0" w:color="auto"/>
            <w:left w:val="none" w:sz="0" w:space="0" w:color="auto"/>
            <w:bottom w:val="none" w:sz="0" w:space="0" w:color="auto"/>
            <w:right w:val="none" w:sz="0" w:space="0" w:color="auto"/>
          </w:divBdr>
        </w:div>
        <w:div w:id="966545326">
          <w:marLeft w:val="102"/>
          <w:marRight w:val="0"/>
          <w:marTop w:val="0"/>
          <w:marBottom w:val="0"/>
          <w:divBdr>
            <w:top w:val="none" w:sz="0" w:space="0" w:color="auto"/>
            <w:left w:val="none" w:sz="0" w:space="0" w:color="auto"/>
            <w:bottom w:val="none" w:sz="0" w:space="0" w:color="auto"/>
            <w:right w:val="none" w:sz="0" w:space="0" w:color="auto"/>
          </w:divBdr>
        </w:div>
        <w:div w:id="1649942662">
          <w:marLeft w:val="0"/>
          <w:marRight w:val="0"/>
          <w:marTop w:val="0"/>
          <w:marBottom w:val="0"/>
          <w:divBdr>
            <w:top w:val="none" w:sz="0" w:space="0" w:color="auto"/>
            <w:left w:val="none" w:sz="0" w:space="0" w:color="auto"/>
            <w:bottom w:val="none" w:sz="0" w:space="0" w:color="auto"/>
            <w:right w:val="none" w:sz="0" w:space="0" w:color="auto"/>
          </w:divBdr>
        </w:div>
        <w:div w:id="1311903652">
          <w:marLeft w:val="102"/>
          <w:marRight w:val="0"/>
          <w:marTop w:val="0"/>
          <w:marBottom w:val="0"/>
          <w:divBdr>
            <w:top w:val="none" w:sz="0" w:space="0" w:color="auto"/>
            <w:left w:val="none" w:sz="0" w:space="0" w:color="auto"/>
            <w:bottom w:val="none" w:sz="0" w:space="0" w:color="auto"/>
            <w:right w:val="none" w:sz="0" w:space="0" w:color="auto"/>
          </w:divBdr>
        </w:div>
        <w:div w:id="142814836">
          <w:marLeft w:val="0"/>
          <w:marRight w:val="0"/>
          <w:marTop w:val="0"/>
          <w:marBottom w:val="0"/>
          <w:divBdr>
            <w:top w:val="none" w:sz="0" w:space="0" w:color="auto"/>
            <w:left w:val="none" w:sz="0" w:space="0" w:color="auto"/>
            <w:bottom w:val="none" w:sz="0" w:space="0" w:color="auto"/>
            <w:right w:val="none" w:sz="0" w:space="0" w:color="auto"/>
          </w:divBdr>
        </w:div>
        <w:div w:id="824276740">
          <w:marLeft w:val="102"/>
          <w:marRight w:val="0"/>
          <w:marTop w:val="0"/>
          <w:marBottom w:val="0"/>
          <w:divBdr>
            <w:top w:val="none" w:sz="0" w:space="0" w:color="auto"/>
            <w:left w:val="none" w:sz="0" w:space="0" w:color="auto"/>
            <w:bottom w:val="none" w:sz="0" w:space="0" w:color="auto"/>
            <w:right w:val="none" w:sz="0" w:space="0" w:color="auto"/>
          </w:divBdr>
        </w:div>
        <w:div w:id="1876891867">
          <w:marLeft w:val="0"/>
          <w:marRight w:val="0"/>
          <w:marTop w:val="0"/>
          <w:marBottom w:val="0"/>
          <w:divBdr>
            <w:top w:val="none" w:sz="0" w:space="0" w:color="auto"/>
            <w:left w:val="none" w:sz="0" w:space="0" w:color="auto"/>
            <w:bottom w:val="none" w:sz="0" w:space="0" w:color="auto"/>
            <w:right w:val="none" w:sz="0" w:space="0" w:color="auto"/>
          </w:divBdr>
        </w:div>
        <w:div w:id="372735638">
          <w:marLeft w:val="102"/>
          <w:marRight w:val="0"/>
          <w:marTop w:val="0"/>
          <w:marBottom w:val="0"/>
          <w:divBdr>
            <w:top w:val="none" w:sz="0" w:space="0" w:color="auto"/>
            <w:left w:val="none" w:sz="0" w:space="0" w:color="auto"/>
            <w:bottom w:val="none" w:sz="0" w:space="0" w:color="auto"/>
            <w:right w:val="none" w:sz="0" w:space="0" w:color="auto"/>
          </w:divBdr>
        </w:div>
        <w:div w:id="1938633324">
          <w:marLeft w:val="0"/>
          <w:marRight w:val="0"/>
          <w:marTop w:val="0"/>
          <w:marBottom w:val="0"/>
          <w:divBdr>
            <w:top w:val="none" w:sz="0" w:space="0" w:color="auto"/>
            <w:left w:val="none" w:sz="0" w:space="0" w:color="auto"/>
            <w:bottom w:val="none" w:sz="0" w:space="0" w:color="auto"/>
            <w:right w:val="none" w:sz="0" w:space="0" w:color="auto"/>
          </w:divBdr>
        </w:div>
        <w:div w:id="1805923213">
          <w:marLeft w:val="102"/>
          <w:marRight w:val="0"/>
          <w:marTop w:val="0"/>
          <w:marBottom w:val="0"/>
          <w:divBdr>
            <w:top w:val="none" w:sz="0" w:space="0" w:color="auto"/>
            <w:left w:val="none" w:sz="0" w:space="0" w:color="auto"/>
            <w:bottom w:val="none" w:sz="0" w:space="0" w:color="auto"/>
            <w:right w:val="none" w:sz="0" w:space="0" w:color="auto"/>
          </w:divBdr>
        </w:div>
        <w:div w:id="989867131">
          <w:marLeft w:val="0"/>
          <w:marRight w:val="0"/>
          <w:marTop w:val="0"/>
          <w:marBottom w:val="0"/>
          <w:divBdr>
            <w:top w:val="none" w:sz="0" w:space="0" w:color="auto"/>
            <w:left w:val="none" w:sz="0" w:space="0" w:color="auto"/>
            <w:bottom w:val="none" w:sz="0" w:space="0" w:color="auto"/>
            <w:right w:val="none" w:sz="0" w:space="0" w:color="auto"/>
          </w:divBdr>
        </w:div>
        <w:div w:id="2064676025">
          <w:marLeft w:val="102"/>
          <w:marRight w:val="0"/>
          <w:marTop w:val="0"/>
          <w:marBottom w:val="0"/>
          <w:divBdr>
            <w:top w:val="none" w:sz="0" w:space="0" w:color="auto"/>
            <w:left w:val="none" w:sz="0" w:space="0" w:color="auto"/>
            <w:bottom w:val="none" w:sz="0" w:space="0" w:color="auto"/>
            <w:right w:val="none" w:sz="0" w:space="0" w:color="auto"/>
          </w:divBdr>
        </w:div>
        <w:div w:id="31025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afinab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renhwhall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2214</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2025-01-21T18:10:00Z</dcterms:created>
  <dcterms:modified xsi:type="dcterms:W3CDTF">2025-01-21T18:30:00Z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