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04" w:rsidRPr="002C7325" w:rsidRDefault="00A96604" w:rsidP="00A96604">
      <w:pPr>
        <w:pStyle w:val="B1"/>
        <w:numPr>
          <w:ilvl w:val="0"/>
          <w:numId w:val="0"/>
        </w:numPr>
        <w:ind w:left="576" w:hanging="576"/>
        <w:rPr>
          <w:rFonts w:ascii="Calibri" w:hAnsi="Calibri" w:cs="Calibri"/>
          <w:smallCaps w:val="0"/>
          <w:sz w:val="28"/>
          <w:szCs w:val="22"/>
        </w:rPr>
      </w:pPr>
      <w:bookmarkStart w:id="0" w:name="_Toc8637327"/>
      <w:r w:rsidRPr="002C7325">
        <w:rPr>
          <w:rFonts w:ascii="Calibri" w:hAnsi="Calibri" w:cs="Calibri"/>
          <w:smallCaps w:val="0"/>
          <w:sz w:val="28"/>
          <w:szCs w:val="22"/>
        </w:rPr>
        <w:t>Schedule 1</w:t>
      </w:r>
      <w:r w:rsidRPr="002C7325">
        <w:rPr>
          <w:rFonts w:ascii="Calibri" w:hAnsi="Calibri" w:cs="Calibri"/>
          <w:smallCaps w:val="0"/>
          <w:sz w:val="28"/>
          <w:szCs w:val="22"/>
        </w:rPr>
        <w:tab/>
      </w:r>
      <w:r w:rsidRPr="002C7325">
        <w:rPr>
          <w:rFonts w:ascii="Calibri" w:hAnsi="Calibri" w:cs="Calibri"/>
          <w:smallCaps w:val="0"/>
          <w:sz w:val="28"/>
          <w:szCs w:val="22"/>
        </w:rPr>
        <w:tab/>
        <w:t>Services Specification</w:t>
      </w:r>
      <w:bookmarkEnd w:id="0"/>
    </w:p>
    <w:p w:rsidR="00A96604" w:rsidRDefault="00A96604" w:rsidP="00A96604">
      <w:pPr>
        <w:pStyle w:val="B1"/>
        <w:numPr>
          <w:ilvl w:val="0"/>
          <w:numId w:val="0"/>
        </w:numPr>
        <w:ind w:left="576" w:hanging="576"/>
        <w:rPr>
          <w:rFonts w:ascii="Calibri" w:hAnsi="Calibri" w:cs="Calibri"/>
          <w:smallCaps w:val="0"/>
          <w:szCs w:val="22"/>
        </w:rPr>
      </w:pPr>
      <w:bookmarkStart w:id="1" w:name="_Toc8637328"/>
      <w:r w:rsidRPr="00E10AEB">
        <w:rPr>
          <w:rFonts w:ascii="Calibri" w:hAnsi="Calibri" w:cs="Calibri"/>
          <w:smallCaps w:val="0"/>
          <w:szCs w:val="22"/>
        </w:rPr>
        <w:t>The TRAINING Course</w:t>
      </w:r>
    </w:p>
    <w:p w:rsidR="00A96604" w:rsidRPr="00E10AEB" w:rsidRDefault="00A96604" w:rsidP="00A96604">
      <w:pPr>
        <w:pStyle w:val="B1"/>
        <w:numPr>
          <w:ilvl w:val="0"/>
          <w:numId w:val="0"/>
        </w:numPr>
        <w:ind w:left="576" w:hanging="576"/>
        <w:rPr>
          <w:rFonts w:ascii="Calibri" w:hAnsi="Calibri" w:cs="Calibri"/>
          <w:smallCaps w:val="0"/>
          <w:szCs w:val="22"/>
        </w:rPr>
      </w:pPr>
      <w:r>
        <w:rPr>
          <w:rFonts w:ascii="Calibri" w:hAnsi="Calibri" w:cs="Calibri"/>
          <w:smallCaps w:val="0"/>
          <w:szCs w:val="22"/>
        </w:rPr>
        <w:t>Basic Repairs Training for Housing Communal Areas</w:t>
      </w:r>
      <w:bookmarkEnd w:id="1"/>
    </w:p>
    <w:p w:rsidR="00A96604" w:rsidRPr="00CF1762" w:rsidRDefault="00A96604" w:rsidP="00A96604">
      <w:pPr>
        <w:spacing w:line="360" w:lineRule="auto"/>
        <w:ind w:left="1418" w:hanging="1418"/>
        <w:rPr>
          <w:rFonts w:asciiTheme="minorHAnsi" w:hAnsiTheme="minorHAnsi" w:cs="Arial"/>
          <w:b/>
          <w:szCs w:val="22"/>
          <w:u w:val="single"/>
        </w:rPr>
      </w:pPr>
      <w:r w:rsidRPr="00CF1762">
        <w:rPr>
          <w:rFonts w:asciiTheme="minorHAnsi" w:hAnsiTheme="minorHAnsi" w:cs="Arial"/>
          <w:b/>
          <w:szCs w:val="22"/>
          <w:u w:val="single"/>
        </w:rPr>
        <w:t>General</w:t>
      </w:r>
    </w:p>
    <w:p w:rsidR="00A96604" w:rsidRDefault="00A96604" w:rsidP="00A96604">
      <w:pPr>
        <w:rPr>
          <w:rFonts w:asciiTheme="minorHAnsi" w:hAnsiTheme="minorHAnsi" w:cstheme="minorHAnsi"/>
        </w:rPr>
      </w:pPr>
      <w:r w:rsidRPr="007823D4">
        <w:rPr>
          <w:rFonts w:asciiTheme="minorHAnsi" w:hAnsiTheme="minorHAnsi" w:cstheme="minorHAnsi"/>
        </w:rPr>
        <w:t>The council is upskilling E</w:t>
      </w:r>
      <w:r>
        <w:rPr>
          <w:rFonts w:asciiTheme="minorHAnsi" w:hAnsiTheme="minorHAnsi" w:cstheme="minorHAnsi"/>
        </w:rPr>
        <w:t>state Services Assistants (E</w:t>
      </w:r>
      <w:r w:rsidRPr="007823D4">
        <w:rPr>
          <w:rFonts w:asciiTheme="minorHAnsi" w:hAnsiTheme="minorHAnsi" w:cstheme="minorHAnsi"/>
        </w:rPr>
        <w:t>SAs</w:t>
      </w:r>
      <w:r>
        <w:rPr>
          <w:rFonts w:asciiTheme="minorHAnsi" w:hAnsiTheme="minorHAnsi" w:cstheme="minorHAnsi"/>
        </w:rPr>
        <w:t>)</w:t>
      </w:r>
      <w:r w:rsidRPr="007823D4">
        <w:rPr>
          <w:rFonts w:asciiTheme="minorHAnsi" w:hAnsiTheme="minorHAnsi" w:cstheme="minorHAnsi"/>
        </w:rPr>
        <w:t xml:space="preserve"> to enable them to be confident and competent to carry out basic </w:t>
      </w:r>
      <w:r>
        <w:rPr>
          <w:rFonts w:asciiTheme="minorHAnsi" w:hAnsiTheme="minorHAnsi" w:cstheme="minorHAnsi"/>
        </w:rPr>
        <w:t xml:space="preserve">repairs for </w:t>
      </w:r>
      <w:r w:rsidRPr="007823D4">
        <w:rPr>
          <w:rFonts w:asciiTheme="minorHAnsi" w:hAnsiTheme="minorHAnsi" w:cstheme="minorHAnsi"/>
        </w:rPr>
        <w:t>communal areas in a timely manner.</w:t>
      </w:r>
      <w:r>
        <w:rPr>
          <w:rFonts w:asciiTheme="minorHAnsi" w:hAnsiTheme="minorHAnsi" w:cstheme="minorHAnsi"/>
        </w:rPr>
        <w:t xml:space="preserve"> The definition of communal areas is an area used by residents that is outside of their home.</w:t>
      </w:r>
    </w:p>
    <w:p w:rsidR="00A96604" w:rsidRDefault="00A96604" w:rsidP="00A96604">
      <w:pPr>
        <w:rPr>
          <w:rFonts w:asciiTheme="minorHAnsi" w:hAnsiTheme="minorHAnsi" w:cstheme="minorHAnsi"/>
        </w:rPr>
      </w:pPr>
    </w:p>
    <w:p w:rsidR="00A96604" w:rsidRDefault="00A96604" w:rsidP="00A966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expectation is for ESAs to be competent in selecting the correct approach, tools and materials to carry out repairs.</w:t>
      </w:r>
    </w:p>
    <w:p w:rsidR="00A96604" w:rsidRDefault="00A96604" w:rsidP="00A96604">
      <w:pPr>
        <w:spacing w:line="360" w:lineRule="auto"/>
        <w:rPr>
          <w:rFonts w:asciiTheme="minorHAnsi" w:hAnsiTheme="minorHAnsi" w:cs="Arial"/>
          <w:szCs w:val="22"/>
        </w:rPr>
      </w:pPr>
    </w:p>
    <w:p w:rsidR="00A96604" w:rsidRPr="00CF1762" w:rsidRDefault="00A96604" w:rsidP="00A96604">
      <w:pPr>
        <w:spacing w:line="360" w:lineRule="auto"/>
        <w:rPr>
          <w:rFonts w:asciiTheme="minorHAnsi" w:hAnsiTheme="minorHAnsi" w:cs="Arial"/>
          <w:szCs w:val="22"/>
        </w:rPr>
      </w:pPr>
      <w:r w:rsidRPr="00CF1762">
        <w:rPr>
          <w:rFonts w:asciiTheme="minorHAnsi" w:hAnsiTheme="minorHAnsi" w:cs="Arial"/>
          <w:szCs w:val="22"/>
        </w:rPr>
        <w:t xml:space="preserve">In delivering </w:t>
      </w:r>
      <w:r>
        <w:rPr>
          <w:rFonts w:asciiTheme="minorHAnsi" w:hAnsiTheme="minorHAnsi" w:cs="Arial"/>
          <w:szCs w:val="22"/>
        </w:rPr>
        <w:t>the Training Course, the Contractor</w:t>
      </w:r>
      <w:r w:rsidRPr="00CF1762">
        <w:rPr>
          <w:rFonts w:asciiTheme="minorHAnsi" w:hAnsiTheme="minorHAnsi" w:cs="Arial"/>
          <w:szCs w:val="22"/>
        </w:rPr>
        <w:t xml:space="preserve"> shall:</w:t>
      </w:r>
    </w:p>
    <w:p w:rsidR="00A96604" w:rsidRDefault="00A96604" w:rsidP="00A9660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360" w:lineRule="auto"/>
        <w:ind w:left="284" w:hanging="284"/>
        <w:textAlignment w:val="baseline"/>
        <w:rPr>
          <w:rFonts w:asciiTheme="minorHAnsi" w:hAnsiTheme="minorHAnsi" w:cs="Arial"/>
          <w:szCs w:val="22"/>
        </w:rPr>
      </w:pPr>
      <w:r w:rsidRPr="00CF1762">
        <w:rPr>
          <w:rFonts w:asciiTheme="minorHAnsi" w:hAnsiTheme="minorHAnsi" w:cs="Arial"/>
          <w:szCs w:val="22"/>
        </w:rPr>
        <w:t>deliver the Training Course with all the skill and care and diligence to be expected of a competent provider of training courses like</w:t>
      </w:r>
      <w:r>
        <w:rPr>
          <w:rFonts w:asciiTheme="minorHAnsi" w:hAnsiTheme="minorHAnsi" w:cs="Arial"/>
          <w:szCs w:val="22"/>
        </w:rPr>
        <w:t xml:space="preserve"> the Training Course concerned.</w:t>
      </w:r>
    </w:p>
    <w:p w:rsidR="00A96604" w:rsidRPr="00CF1762" w:rsidRDefault="00A96604" w:rsidP="00A96604">
      <w:pPr>
        <w:tabs>
          <w:tab w:val="num" w:pos="851"/>
        </w:tabs>
        <w:overflowPunct w:val="0"/>
        <w:autoSpaceDE w:val="0"/>
        <w:autoSpaceDN w:val="0"/>
        <w:adjustRightInd w:val="0"/>
        <w:spacing w:before="0" w:after="0" w:line="360" w:lineRule="auto"/>
        <w:ind w:left="284" w:hanging="284"/>
        <w:textAlignment w:val="baseline"/>
        <w:rPr>
          <w:rFonts w:asciiTheme="minorHAnsi" w:hAnsiTheme="minorHAnsi" w:cs="Arial"/>
          <w:szCs w:val="22"/>
        </w:rPr>
      </w:pPr>
    </w:p>
    <w:p w:rsidR="00A96604" w:rsidRDefault="00A96604" w:rsidP="00A9660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360" w:lineRule="auto"/>
        <w:ind w:left="284" w:hanging="284"/>
        <w:textAlignment w:val="baseline"/>
        <w:rPr>
          <w:rFonts w:asciiTheme="minorHAnsi" w:hAnsiTheme="minorHAnsi" w:cs="Arial"/>
          <w:szCs w:val="22"/>
        </w:rPr>
      </w:pPr>
      <w:r w:rsidRPr="00CF1762">
        <w:rPr>
          <w:rFonts w:asciiTheme="minorHAnsi" w:hAnsiTheme="minorHAnsi" w:cs="Arial"/>
          <w:szCs w:val="22"/>
        </w:rPr>
        <w:t xml:space="preserve">provide the </w:t>
      </w:r>
      <w:r>
        <w:rPr>
          <w:rFonts w:asciiTheme="minorHAnsi" w:hAnsiTheme="minorHAnsi" w:cs="Arial"/>
          <w:szCs w:val="22"/>
        </w:rPr>
        <w:t>Authority</w:t>
      </w:r>
      <w:r w:rsidRPr="00CF1762">
        <w:rPr>
          <w:rFonts w:asciiTheme="minorHAnsi" w:hAnsiTheme="minorHAnsi" w:cs="Arial"/>
          <w:szCs w:val="22"/>
        </w:rPr>
        <w:t xml:space="preserve"> with a training plan and training materials at lea</w:t>
      </w:r>
      <w:r>
        <w:rPr>
          <w:rFonts w:asciiTheme="minorHAnsi" w:hAnsiTheme="minorHAnsi" w:cs="Arial"/>
          <w:szCs w:val="22"/>
        </w:rPr>
        <w:t>st six weeks in advance of the Proposed Start Date</w:t>
      </w:r>
      <w:r w:rsidRPr="00CF1762">
        <w:rPr>
          <w:rFonts w:asciiTheme="minorHAnsi" w:hAnsiTheme="minorHAnsi" w:cs="Arial"/>
          <w:szCs w:val="22"/>
        </w:rPr>
        <w:t>.  The training plan will outline and give details of the objectives of the Training Course, the target audience, the topics to be covered and the style of delivery.</w:t>
      </w:r>
    </w:p>
    <w:p w:rsidR="00A96604" w:rsidRDefault="00A96604" w:rsidP="00A96604">
      <w:pPr>
        <w:pStyle w:val="ListParagraph"/>
        <w:rPr>
          <w:rFonts w:asciiTheme="minorHAnsi" w:hAnsiTheme="minorHAnsi" w:cs="Arial"/>
          <w:szCs w:val="22"/>
        </w:rPr>
      </w:pPr>
    </w:p>
    <w:p w:rsidR="00A96604" w:rsidRDefault="00A96604" w:rsidP="00A9660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360" w:lineRule="auto"/>
        <w:ind w:left="284" w:hanging="284"/>
        <w:textAlignment w:val="baseline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Provide the Authority with the training plan for completing all trade areas for 16 ESAs by the </w:t>
      </w:r>
      <w:r w:rsidRPr="007A4AFA">
        <w:rPr>
          <w:rFonts w:asciiTheme="minorHAnsi" w:hAnsiTheme="minorHAnsi" w:cs="Arial"/>
          <w:b/>
          <w:szCs w:val="22"/>
        </w:rPr>
        <w:t>1 September 2019</w:t>
      </w:r>
      <w:r>
        <w:rPr>
          <w:rFonts w:asciiTheme="minorHAnsi" w:hAnsiTheme="minorHAnsi" w:cs="Arial"/>
          <w:szCs w:val="22"/>
        </w:rPr>
        <w:t>. ESAs to be split into two groups of 8 and rotated weekly; e.g. Group A-Week 1, Group B-Week 2, Group A-Week 3, Group B-Week 4. Please note, Mondays and weekend sessions are not feasible.</w:t>
      </w:r>
    </w:p>
    <w:p w:rsidR="00A96604" w:rsidRDefault="00A96604" w:rsidP="00A96604">
      <w:pPr>
        <w:overflowPunct w:val="0"/>
        <w:autoSpaceDE w:val="0"/>
        <w:autoSpaceDN w:val="0"/>
        <w:adjustRightInd w:val="0"/>
        <w:spacing w:before="0" w:after="0" w:line="360" w:lineRule="auto"/>
        <w:ind w:left="284" w:hanging="284"/>
        <w:textAlignment w:val="baseline"/>
        <w:rPr>
          <w:rFonts w:asciiTheme="minorHAnsi" w:hAnsiTheme="minorHAnsi" w:cs="Arial"/>
          <w:szCs w:val="22"/>
        </w:rPr>
      </w:pPr>
    </w:p>
    <w:p w:rsidR="00A96604" w:rsidRPr="00B63B05" w:rsidRDefault="00A96604" w:rsidP="00A9660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360" w:lineRule="auto"/>
        <w:ind w:left="284" w:hanging="284"/>
        <w:textAlignment w:val="baseline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provide the Authority with the provisions made for those with limited literacy or other disabilities e.g. mobility, visual, auditory on their premises.</w:t>
      </w:r>
    </w:p>
    <w:p w:rsidR="00A96604" w:rsidRDefault="00A96604" w:rsidP="00A96604">
      <w:pPr>
        <w:overflowPunct w:val="0"/>
        <w:autoSpaceDE w:val="0"/>
        <w:autoSpaceDN w:val="0"/>
        <w:adjustRightInd w:val="0"/>
        <w:spacing w:before="0" w:after="0" w:line="360" w:lineRule="auto"/>
        <w:ind w:left="284" w:hanging="284"/>
        <w:textAlignment w:val="baseline"/>
        <w:rPr>
          <w:rFonts w:asciiTheme="minorHAnsi" w:hAnsiTheme="minorHAnsi" w:cs="Arial"/>
          <w:szCs w:val="22"/>
        </w:rPr>
      </w:pPr>
    </w:p>
    <w:p w:rsidR="00A96604" w:rsidRDefault="00A96604" w:rsidP="00A9660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360" w:lineRule="auto"/>
        <w:ind w:left="284" w:hanging="284"/>
        <w:textAlignment w:val="baseline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The methods used to confirm competency in carrying out works in each of the Trade area below.</w:t>
      </w:r>
    </w:p>
    <w:p w:rsidR="00A96604" w:rsidRDefault="00A96604" w:rsidP="00A96604">
      <w:pPr>
        <w:spacing w:before="0" w:after="0"/>
        <w:jc w:val="left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br w:type="page"/>
      </w:r>
    </w:p>
    <w:p w:rsidR="00A96604" w:rsidRDefault="00A96604" w:rsidP="00A96604">
      <w:pPr>
        <w:overflowPunct w:val="0"/>
        <w:autoSpaceDE w:val="0"/>
        <w:autoSpaceDN w:val="0"/>
        <w:adjustRightInd w:val="0"/>
        <w:spacing w:before="0" w:after="0" w:line="360" w:lineRule="auto"/>
        <w:ind w:right="95"/>
        <w:textAlignment w:val="baseline"/>
        <w:rPr>
          <w:rFonts w:asciiTheme="minorHAnsi" w:hAnsiTheme="minorHAnsi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A96604" w:rsidRPr="00D931A5" w:rsidTr="000E6FE8">
        <w:tc>
          <w:tcPr>
            <w:tcW w:w="1980" w:type="dxa"/>
            <w:shd w:val="clear" w:color="auto" w:fill="D9D9D9" w:themeFill="background1" w:themeFillShade="D9"/>
          </w:tcPr>
          <w:p w:rsidR="00A96604" w:rsidRPr="00D931A5" w:rsidRDefault="00A96604" w:rsidP="000E6FE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D931A5">
              <w:rPr>
                <w:rFonts w:asciiTheme="minorHAnsi" w:hAnsiTheme="minorHAnsi" w:cstheme="minorHAnsi"/>
                <w:b/>
                <w:szCs w:val="22"/>
              </w:rPr>
              <w:t>Trade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:rsidR="00A96604" w:rsidRPr="00D931A5" w:rsidRDefault="00A96604" w:rsidP="000E6FE8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D931A5">
              <w:rPr>
                <w:rFonts w:asciiTheme="minorHAnsi" w:hAnsiTheme="minorHAnsi" w:cstheme="minorHAnsi"/>
                <w:b/>
                <w:szCs w:val="22"/>
              </w:rPr>
              <w:t>Works</w:t>
            </w:r>
          </w:p>
        </w:tc>
      </w:tr>
      <w:tr w:rsidR="00A96604" w:rsidRPr="00D931A5" w:rsidTr="000E6FE8">
        <w:tc>
          <w:tcPr>
            <w:tcW w:w="1980" w:type="dxa"/>
          </w:tcPr>
          <w:p w:rsidR="00A96604" w:rsidRPr="00D931A5" w:rsidRDefault="00A96604" w:rsidP="000E6FE8"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D931A5">
              <w:rPr>
                <w:rFonts w:asciiTheme="minorHAnsi" w:hAnsiTheme="minorHAnsi" w:cstheme="minorHAnsi"/>
                <w:b/>
                <w:szCs w:val="22"/>
              </w:rPr>
              <w:t>Carpentry</w:t>
            </w:r>
          </w:p>
        </w:tc>
        <w:tc>
          <w:tcPr>
            <w:tcW w:w="7036" w:type="dxa"/>
          </w:tcPr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Replace door handles</w:t>
            </w:r>
          </w:p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Secure door handles</w:t>
            </w:r>
          </w:p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Ease and adjust doors</w:t>
            </w:r>
          </w:p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Board up damaged windows</w:t>
            </w:r>
          </w:p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Minor DIY – removal/fitting notice boards, shelving, cupboard doors, fitting key boxes, signage</w:t>
            </w:r>
          </w:p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Fixing letter plates common doors only</w:t>
            </w:r>
          </w:p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Replace hinges</w:t>
            </w:r>
          </w:p>
        </w:tc>
      </w:tr>
      <w:tr w:rsidR="00A96604" w:rsidRPr="00D931A5" w:rsidTr="000E6FE8">
        <w:tc>
          <w:tcPr>
            <w:tcW w:w="1980" w:type="dxa"/>
            <w:shd w:val="clear" w:color="auto" w:fill="D9D9D9" w:themeFill="background1" w:themeFillShade="D9"/>
          </w:tcPr>
          <w:p w:rsidR="00A96604" w:rsidRPr="00D931A5" w:rsidRDefault="00A96604" w:rsidP="000E6FE8"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D931A5">
              <w:rPr>
                <w:rFonts w:asciiTheme="minorHAnsi" w:hAnsiTheme="minorHAnsi" w:cstheme="minorHAnsi"/>
                <w:b/>
                <w:szCs w:val="22"/>
              </w:rPr>
              <w:t>Electrical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Replace light bulbs</w:t>
            </w:r>
          </w:p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Reset timers</w:t>
            </w:r>
          </w:p>
        </w:tc>
      </w:tr>
      <w:tr w:rsidR="00A96604" w:rsidRPr="00D931A5" w:rsidTr="000E6FE8">
        <w:tc>
          <w:tcPr>
            <w:tcW w:w="1980" w:type="dxa"/>
          </w:tcPr>
          <w:p w:rsidR="00A96604" w:rsidRPr="00D931A5" w:rsidRDefault="00A96604" w:rsidP="000E6FE8"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D931A5">
              <w:rPr>
                <w:rFonts w:asciiTheme="minorHAnsi" w:hAnsiTheme="minorHAnsi" w:cstheme="minorHAnsi"/>
                <w:b/>
                <w:szCs w:val="22"/>
              </w:rPr>
              <w:t>Painting</w:t>
            </w:r>
          </w:p>
        </w:tc>
        <w:tc>
          <w:tcPr>
            <w:tcW w:w="7036" w:type="dxa"/>
          </w:tcPr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Touch up areas</w:t>
            </w:r>
          </w:p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Paint small communal wall</w:t>
            </w:r>
          </w:p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Paint metal railings</w:t>
            </w:r>
          </w:p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Repaint and fill in holes</w:t>
            </w:r>
          </w:p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Paint doors</w:t>
            </w:r>
          </w:p>
        </w:tc>
      </w:tr>
      <w:tr w:rsidR="00A96604" w:rsidRPr="00D931A5" w:rsidTr="000E6FE8">
        <w:tc>
          <w:tcPr>
            <w:tcW w:w="1980" w:type="dxa"/>
            <w:shd w:val="clear" w:color="auto" w:fill="D9D9D9" w:themeFill="background1" w:themeFillShade="D9"/>
          </w:tcPr>
          <w:p w:rsidR="00A96604" w:rsidRPr="00D931A5" w:rsidRDefault="00A96604" w:rsidP="000E6FE8"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D931A5">
              <w:rPr>
                <w:rFonts w:asciiTheme="minorHAnsi" w:hAnsiTheme="minorHAnsi" w:cstheme="minorHAnsi"/>
                <w:b/>
                <w:szCs w:val="22"/>
              </w:rPr>
              <w:t>Plumbing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Clear blocked gutters/drains</w:t>
            </w:r>
          </w:p>
        </w:tc>
      </w:tr>
      <w:tr w:rsidR="00A96604" w:rsidRPr="00D931A5" w:rsidTr="000E6FE8">
        <w:tc>
          <w:tcPr>
            <w:tcW w:w="1980" w:type="dxa"/>
          </w:tcPr>
          <w:p w:rsidR="00A96604" w:rsidRPr="00D931A5" w:rsidRDefault="00A96604" w:rsidP="000E6FE8"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D931A5">
              <w:rPr>
                <w:rFonts w:asciiTheme="minorHAnsi" w:hAnsiTheme="minorHAnsi" w:cstheme="minorHAnsi"/>
                <w:b/>
                <w:szCs w:val="22"/>
              </w:rPr>
              <w:t>Plastering</w:t>
            </w:r>
          </w:p>
        </w:tc>
        <w:tc>
          <w:tcPr>
            <w:tcW w:w="7036" w:type="dxa"/>
          </w:tcPr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Plaster gaps between ceiling and wall</w:t>
            </w:r>
          </w:p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Make good holes</w:t>
            </w:r>
          </w:p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Make good holes following leaks</w:t>
            </w:r>
          </w:p>
        </w:tc>
      </w:tr>
      <w:tr w:rsidR="00A96604" w:rsidRPr="00D931A5" w:rsidTr="000E6FE8">
        <w:tc>
          <w:tcPr>
            <w:tcW w:w="1980" w:type="dxa"/>
            <w:shd w:val="clear" w:color="auto" w:fill="D9D9D9" w:themeFill="background1" w:themeFillShade="D9"/>
          </w:tcPr>
          <w:p w:rsidR="00A96604" w:rsidRPr="00D931A5" w:rsidRDefault="00A96604" w:rsidP="000E6FE8">
            <w:pPr>
              <w:pStyle w:val="ListParagraph"/>
              <w:numPr>
                <w:ilvl w:val="0"/>
                <w:numId w:val="4"/>
              </w:numPr>
              <w:spacing w:before="0" w:after="0"/>
              <w:contextualSpacing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D931A5">
              <w:rPr>
                <w:rFonts w:asciiTheme="minorHAnsi" w:hAnsiTheme="minorHAnsi" w:cstheme="minorHAnsi"/>
                <w:b/>
                <w:szCs w:val="22"/>
              </w:rPr>
              <w:t>Tiling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Replace 6 broken tiles</w:t>
            </w:r>
          </w:p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Take up and replace broken tile</w:t>
            </w:r>
          </w:p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Re-grout broken tiles</w:t>
            </w:r>
          </w:p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Replace missing wall tiles</w:t>
            </w:r>
          </w:p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Glue anti slip guard</w:t>
            </w:r>
          </w:p>
          <w:p w:rsidR="00A96604" w:rsidRPr="00D931A5" w:rsidRDefault="00A96604" w:rsidP="000E6FE8">
            <w:pPr>
              <w:pStyle w:val="ListParagraph"/>
              <w:numPr>
                <w:ilvl w:val="0"/>
                <w:numId w:val="3"/>
              </w:numPr>
              <w:spacing w:before="0" w:after="0"/>
              <w:ind w:left="343" w:hanging="284"/>
              <w:contextualSpacing/>
              <w:jc w:val="left"/>
              <w:rPr>
                <w:rFonts w:asciiTheme="minorHAnsi" w:hAnsiTheme="minorHAnsi" w:cstheme="minorHAnsi"/>
                <w:szCs w:val="22"/>
              </w:rPr>
            </w:pPr>
            <w:r w:rsidRPr="00D931A5">
              <w:rPr>
                <w:rFonts w:asciiTheme="minorHAnsi" w:hAnsiTheme="minorHAnsi" w:cstheme="minorHAnsi"/>
                <w:szCs w:val="22"/>
              </w:rPr>
              <w:t>Make safe damaged tiling, walls/floors</w:t>
            </w:r>
          </w:p>
        </w:tc>
      </w:tr>
    </w:tbl>
    <w:p w:rsidR="00A96604" w:rsidRPr="00CF1762" w:rsidRDefault="00A96604" w:rsidP="00A96604">
      <w:pPr>
        <w:overflowPunct w:val="0"/>
        <w:autoSpaceDE w:val="0"/>
        <w:autoSpaceDN w:val="0"/>
        <w:adjustRightInd w:val="0"/>
        <w:spacing w:before="0" w:after="0" w:line="360" w:lineRule="auto"/>
        <w:ind w:right="95"/>
        <w:textAlignment w:val="baseline"/>
        <w:rPr>
          <w:rFonts w:asciiTheme="minorHAnsi" w:hAnsiTheme="minorHAnsi" w:cs="Arial"/>
          <w:szCs w:val="22"/>
        </w:rPr>
      </w:pPr>
    </w:p>
    <w:p w:rsidR="00A96604" w:rsidRDefault="00A96604" w:rsidP="00A9660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360" w:lineRule="auto"/>
        <w:ind w:left="360"/>
        <w:textAlignment w:val="baseline"/>
        <w:rPr>
          <w:rFonts w:asciiTheme="minorHAnsi" w:hAnsiTheme="minorHAnsi" w:cs="Arial"/>
          <w:szCs w:val="22"/>
        </w:rPr>
      </w:pPr>
      <w:r w:rsidRPr="00CF1762">
        <w:rPr>
          <w:rFonts w:asciiTheme="minorHAnsi" w:hAnsiTheme="minorHAnsi" w:cs="Arial"/>
          <w:szCs w:val="22"/>
        </w:rPr>
        <w:t>provide all materials, including handouts, for the Training Course prior to the Training Course being delivered.</w:t>
      </w:r>
    </w:p>
    <w:p w:rsidR="00A96604" w:rsidRPr="00CF1762" w:rsidRDefault="00A96604" w:rsidP="00A96604">
      <w:pPr>
        <w:overflowPunct w:val="0"/>
        <w:autoSpaceDE w:val="0"/>
        <w:autoSpaceDN w:val="0"/>
        <w:adjustRightInd w:val="0"/>
        <w:spacing w:before="0" w:after="0" w:line="360" w:lineRule="auto"/>
        <w:ind w:left="1058"/>
        <w:textAlignment w:val="baseline"/>
        <w:rPr>
          <w:rFonts w:asciiTheme="minorHAnsi" w:hAnsiTheme="minorHAnsi" w:cs="Arial"/>
          <w:szCs w:val="22"/>
        </w:rPr>
      </w:pPr>
    </w:p>
    <w:p w:rsidR="00A96604" w:rsidRPr="00CF1762" w:rsidRDefault="00A96604" w:rsidP="00A9660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0" w:after="0" w:line="360" w:lineRule="auto"/>
        <w:ind w:left="360"/>
        <w:textAlignment w:val="baseline"/>
        <w:rPr>
          <w:rFonts w:asciiTheme="minorHAnsi" w:hAnsiTheme="minorHAnsi" w:cs="Arial"/>
          <w:szCs w:val="22"/>
        </w:rPr>
      </w:pPr>
      <w:r w:rsidRPr="00CF1762">
        <w:rPr>
          <w:rFonts w:asciiTheme="minorHAnsi" w:hAnsiTheme="minorHAnsi" w:cs="Arial"/>
          <w:szCs w:val="22"/>
        </w:rPr>
        <w:t xml:space="preserve">provide the </w:t>
      </w:r>
      <w:r>
        <w:rPr>
          <w:rFonts w:asciiTheme="minorHAnsi" w:hAnsiTheme="minorHAnsi" w:cs="Arial"/>
          <w:szCs w:val="22"/>
        </w:rPr>
        <w:t>Authority</w:t>
      </w:r>
      <w:r w:rsidRPr="00CF1762">
        <w:rPr>
          <w:rFonts w:asciiTheme="minorHAnsi" w:hAnsiTheme="minorHAnsi" w:cs="Arial"/>
          <w:szCs w:val="22"/>
        </w:rPr>
        <w:t xml:space="preserve"> with feedback, following each </w:t>
      </w:r>
      <w:r>
        <w:rPr>
          <w:rFonts w:asciiTheme="minorHAnsi" w:hAnsiTheme="minorHAnsi" w:cs="Arial"/>
          <w:szCs w:val="22"/>
        </w:rPr>
        <w:t>session</w:t>
      </w:r>
      <w:r w:rsidRPr="00CF1762">
        <w:rPr>
          <w:rFonts w:asciiTheme="minorHAnsi" w:hAnsiTheme="minorHAnsi" w:cs="Arial"/>
          <w:szCs w:val="22"/>
        </w:rPr>
        <w:t xml:space="preserve"> of the Training Course (if more than one) on how the </w:t>
      </w:r>
      <w:r>
        <w:rPr>
          <w:rFonts w:asciiTheme="minorHAnsi" w:hAnsiTheme="minorHAnsi" w:cs="Arial"/>
          <w:szCs w:val="22"/>
        </w:rPr>
        <w:t>session</w:t>
      </w:r>
      <w:r w:rsidRPr="00CF1762">
        <w:rPr>
          <w:rFonts w:asciiTheme="minorHAnsi" w:hAnsiTheme="minorHAnsi" w:cs="Arial"/>
          <w:szCs w:val="22"/>
        </w:rPr>
        <w:t xml:space="preserve"> went and of any organisational issues that affected the delive</w:t>
      </w:r>
      <w:r>
        <w:rPr>
          <w:rFonts w:asciiTheme="minorHAnsi" w:hAnsiTheme="minorHAnsi" w:cs="Arial"/>
          <w:szCs w:val="22"/>
        </w:rPr>
        <w:t xml:space="preserve">ry of the session </w:t>
      </w:r>
      <w:r w:rsidRPr="00CF1762">
        <w:rPr>
          <w:rFonts w:asciiTheme="minorHAnsi" w:hAnsiTheme="minorHAnsi" w:cs="Arial"/>
          <w:szCs w:val="22"/>
        </w:rPr>
        <w:t>within 2 weeks of course completion.</w:t>
      </w:r>
    </w:p>
    <w:p w:rsidR="00A96604" w:rsidRPr="00CF1762" w:rsidRDefault="00A96604" w:rsidP="00A96604">
      <w:pPr>
        <w:tabs>
          <w:tab w:val="num" w:pos="1418"/>
        </w:tabs>
        <w:spacing w:line="360" w:lineRule="auto"/>
        <w:ind w:left="1058" w:hanging="709"/>
        <w:rPr>
          <w:rFonts w:asciiTheme="minorHAnsi" w:hAnsiTheme="minorHAnsi" w:cs="Arial"/>
          <w:szCs w:val="22"/>
        </w:rPr>
      </w:pPr>
    </w:p>
    <w:p w:rsidR="00A96604" w:rsidRPr="00CF1762" w:rsidRDefault="00A96604" w:rsidP="00A96604">
      <w:pPr>
        <w:pStyle w:val="BodyTextInden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CF1762">
        <w:rPr>
          <w:rFonts w:asciiTheme="minorHAnsi" w:hAnsiTheme="minorHAnsi" w:cs="Arial"/>
          <w:sz w:val="22"/>
          <w:szCs w:val="22"/>
        </w:rPr>
        <w:t>encourage and supe</w:t>
      </w:r>
      <w:r>
        <w:rPr>
          <w:rFonts w:asciiTheme="minorHAnsi" w:hAnsiTheme="minorHAnsi" w:cs="Arial"/>
          <w:sz w:val="22"/>
          <w:szCs w:val="22"/>
        </w:rPr>
        <w:t>rvise compliance with the Authority</w:t>
      </w:r>
      <w:r w:rsidRPr="00CF1762">
        <w:rPr>
          <w:rFonts w:asciiTheme="minorHAnsi" w:hAnsiTheme="minorHAnsi" w:cs="Arial"/>
          <w:sz w:val="22"/>
          <w:szCs w:val="22"/>
        </w:rPr>
        <w:t xml:space="preserve">’s expectation that all participants attend for the whole of each </w:t>
      </w:r>
      <w:r>
        <w:rPr>
          <w:rFonts w:asciiTheme="minorHAnsi" w:hAnsiTheme="minorHAnsi" w:cs="Arial"/>
          <w:sz w:val="22"/>
          <w:szCs w:val="22"/>
        </w:rPr>
        <w:t>session</w:t>
      </w:r>
      <w:r w:rsidRPr="00CF1762">
        <w:rPr>
          <w:rFonts w:asciiTheme="minorHAnsi" w:hAnsiTheme="minorHAnsi" w:cs="Arial"/>
          <w:sz w:val="22"/>
          <w:szCs w:val="22"/>
        </w:rPr>
        <w:t xml:space="preserve"> and/or the Training Course, except in emergency situations.</w:t>
      </w:r>
    </w:p>
    <w:p w:rsidR="00A96604" w:rsidRPr="00CF1762" w:rsidRDefault="00A96604" w:rsidP="00A96604">
      <w:pPr>
        <w:tabs>
          <w:tab w:val="num" w:pos="1418"/>
        </w:tabs>
        <w:spacing w:line="360" w:lineRule="auto"/>
        <w:ind w:left="1058" w:hanging="709"/>
        <w:rPr>
          <w:rFonts w:asciiTheme="minorHAnsi" w:hAnsiTheme="minorHAnsi" w:cs="Arial"/>
          <w:szCs w:val="22"/>
        </w:rPr>
      </w:pPr>
    </w:p>
    <w:p w:rsidR="00A96604" w:rsidRPr="00CF1762" w:rsidRDefault="00A96604" w:rsidP="00A96604">
      <w:pPr>
        <w:pStyle w:val="BodyTextInden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Theme="minorHAnsi" w:hAnsiTheme="minorHAnsi" w:cs="Arial"/>
          <w:sz w:val="22"/>
          <w:szCs w:val="22"/>
        </w:rPr>
      </w:pPr>
      <w:r w:rsidRPr="00CF1762">
        <w:rPr>
          <w:rFonts w:asciiTheme="minorHAnsi" w:hAnsiTheme="minorHAnsi" w:cs="Arial"/>
          <w:sz w:val="22"/>
          <w:szCs w:val="22"/>
        </w:rPr>
        <w:t xml:space="preserve">if unable to deliver the training course on the proposed date, notify </w:t>
      </w:r>
      <w:r>
        <w:rPr>
          <w:rFonts w:asciiTheme="minorHAnsi" w:hAnsiTheme="minorHAnsi" w:cs="Arial"/>
          <w:sz w:val="22"/>
          <w:szCs w:val="22"/>
        </w:rPr>
        <w:t xml:space="preserve">the RBKC </w:t>
      </w:r>
      <w:r w:rsidRPr="00CF1762">
        <w:rPr>
          <w:rFonts w:asciiTheme="minorHAnsi" w:hAnsiTheme="minorHAnsi" w:cs="Arial"/>
          <w:sz w:val="22"/>
          <w:szCs w:val="22"/>
        </w:rPr>
        <w:t xml:space="preserve">Learning &amp; Development </w:t>
      </w:r>
      <w:r>
        <w:rPr>
          <w:rFonts w:asciiTheme="minorHAnsi" w:hAnsiTheme="minorHAnsi" w:cs="Arial"/>
          <w:sz w:val="22"/>
          <w:szCs w:val="22"/>
        </w:rPr>
        <w:t xml:space="preserve">Team </w:t>
      </w:r>
      <w:r w:rsidRPr="00CF1762">
        <w:rPr>
          <w:rFonts w:asciiTheme="minorHAnsi" w:hAnsiTheme="minorHAnsi" w:cs="Arial"/>
          <w:sz w:val="22"/>
          <w:szCs w:val="22"/>
        </w:rPr>
        <w:t>as soon as possible and either arrange for a replacement trainer or reschedule the seminar to a date within eight weeks of the original proposed date.</w:t>
      </w:r>
    </w:p>
    <w:p w:rsidR="00A96604" w:rsidRPr="00CF1762" w:rsidRDefault="00A96604" w:rsidP="00A96604">
      <w:pPr>
        <w:pStyle w:val="BodyTextIndent"/>
        <w:tabs>
          <w:tab w:val="num" w:pos="1418"/>
        </w:tabs>
        <w:spacing w:line="360" w:lineRule="auto"/>
        <w:ind w:left="1058" w:hanging="709"/>
        <w:jc w:val="both"/>
        <w:rPr>
          <w:rFonts w:asciiTheme="minorHAnsi" w:hAnsiTheme="minorHAnsi" w:cs="Arial"/>
          <w:sz w:val="22"/>
          <w:szCs w:val="22"/>
        </w:rPr>
      </w:pPr>
    </w:p>
    <w:p w:rsidR="00A96604" w:rsidRPr="00CF1762" w:rsidRDefault="00A96604" w:rsidP="00A96604">
      <w:pPr>
        <w:pStyle w:val="BodyTextInden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Theme="minorHAnsi" w:hAnsiTheme="minorHAnsi" w:cs="Arial"/>
          <w:b/>
          <w:bCs/>
          <w:sz w:val="22"/>
          <w:szCs w:val="22"/>
        </w:rPr>
      </w:pPr>
      <w:r w:rsidRPr="00CF1762">
        <w:rPr>
          <w:rFonts w:asciiTheme="minorHAnsi" w:hAnsiTheme="minorHAnsi" w:cs="Arial"/>
          <w:sz w:val="22"/>
          <w:szCs w:val="22"/>
        </w:rPr>
        <w:t xml:space="preserve">co-operate with the </w:t>
      </w:r>
      <w:r>
        <w:rPr>
          <w:rFonts w:asciiTheme="minorHAnsi" w:hAnsiTheme="minorHAnsi" w:cs="Arial"/>
          <w:sz w:val="22"/>
          <w:szCs w:val="22"/>
        </w:rPr>
        <w:t xml:space="preserve">Authority, all officers, </w:t>
      </w:r>
      <w:r w:rsidRPr="00CF1762">
        <w:rPr>
          <w:rFonts w:asciiTheme="minorHAnsi" w:hAnsiTheme="minorHAnsi" w:cs="Arial"/>
          <w:sz w:val="22"/>
          <w:szCs w:val="22"/>
        </w:rPr>
        <w:t>auditors and</w:t>
      </w:r>
      <w:r>
        <w:rPr>
          <w:rFonts w:asciiTheme="minorHAnsi" w:hAnsiTheme="minorHAnsi" w:cs="Arial"/>
          <w:sz w:val="22"/>
          <w:szCs w:val="22"/>
        </w:rPr>
        <w:t xml:space="preserve"> other contractors of the Authority</w:t>
      </w:r>
      <w:r w:rsidRPr="00CF1762">
        <w:rPr>
          <w:rFonts w:asciiTheme="minorHAnsi" w:hAnsiTheme="minorHAnsi" w:cs="Arial"/>
          <w:sz w:val="22"/>
          <w:szCs w:val="22"/>
        </w:rPr>
        <w:t>.</w:t>
      </w:r>
    </w:p>
    <w:p w:rsidR="005828A8" w:rsidRDefault="00A96604">
      <w:bookmarkStart w:id="2" w:name="_GoBack"/>
      <w:bookmarkEnd w:id="2"/>
    </w:p>
    <w:sectPr w:rsidR="00582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00F9B"/>
    <w:multiLevelType w:val="hybridMultilevel"/>
    <w:tmpl w:val="5C36E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108E"/>
    <w:multiLevelType w:val="multilevel"/>
    <w:tmpl w:val="31D2B206"/>
    <w:lvl w:ilvl="0">
      <w:start w:val="1"/>
      <w:numFmt w:val="decimal"/>
      <w:pStyle w:val="B1"/>
      <w:lvlText w:val="%1."/>
      <w:lvlJc w:val="left"/>
      <w:pPr>
        <w:tabs>
          <w:tab w:val="num" w:pos="576"/>
        </w:tabs>
        <w:ind w:left="576" w:hanging="576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2"/>
      <w:lvlText w:val="%1.%2."/>
      <w:lvlJc w:val="left"/>
      <w:pPr>
        <w:tabs>
          <w:tab w:val="num" w:pos="576"/>
        </w:tabs>
        <w:ind w:left="576" w:hanging="576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3"/>
      <w:lvlText w:val="%1.%2.%3."/>
      <w:lvlJc w:val="left"/>
      <w:pPr>
        <w:tabs>
          <w:tab w:val="num" w:pos="4690"/>
        </w:tabs>
        <w:ind w:left="469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4"/>
      <w:lvlText w:val="%1.%2.%3.%4."/>
      <w:lvlJc w:val="left"/>
      <w:pPr>
        <w:tabs>
          <w:tab w:val="num" w:pos="2424"/>
        </w:tabs>
        <w:ind w:left="2424" w:hanging="86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B5"/>
      <w:lvlText w:val="(%5)"/>
      <w:lvlJc w:val="left"/>
      <w:pPr>
        <w:tabs>
          <w:tab w:val="num" w:pos="2592"/>
        </w:tabs>
        <w:ind w:left="2592" w:hanging="432"/>
      </w:pPr>
      <w:rPr>
        <w:rFonts w:ascii="Palatino Linotype" w:hAnsi="Palatino Linotype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" w15:restartNumberingAfterBreak="0">
    <w:nsid w:val="302C3A5A"/>
    <w:multiLevelType w:val="hybridMultilevel"/>
    <w:tmpl w:val="7D3040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95583C"/>
    <w:multiLevelType w:val="hybridMultilevel"/>
    <w:tmpl w:val="73F86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04"/>
    <w:rsid w:val="0002546D"/>
    <w:rsid w:val="0018080B"/>
    <w:rsid w:val="002F7CE0"/>
    <w:rsid w:val="0057694E"/>
    <w:rsid w:val="008E51F2"/>
    <w:rsid w:val="009259EA"/>
    <w:rsid w:val="009E2B02"/>
    <w:rsid w:val="00A9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345B7-F7B2-49CC-8867-81C1A118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604"/>
    <w:pPr>
      <w:spacing w:before="120" w:after="120" w:line="240" w:lineRule="auto"/>
      <w:jc w:val="both"/>
    </w:pPr>
    <w:rPr>
      <w:rFonts w:ascii="Palatino Linotype" w:eastAsia="Times New Roman" w:hAnsi="Palatino Linotype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Normal"/>
    <w:rsid w:val="00A96604"/>
    <w:pPr>
      <w:keepNext/>
      <w:numPr>
        <w:numId w:val="1"/>
      </w:numPr>
      <w:spacing w:before="360" w:after="240"/>
      <w:outlineLvl w:val="0"/>
    </w:pPr>
    <w:rPr>
      <w:b/>
      <w:smallCaps/>
    </w:rPr>
  </w:style>
  <w:style w:type="paragraph" w:customStyle="1" w:styleId="B2">
    <w:name w:val="B2"/>
    <w:basedOn w:val="B1"/>
    <w:rsid w:val="00A96604"/>
    <w:pPr>
      <w:keepNext w:val="0"/>
      <w:numPr>
        <w:ilvl w:val="1"/>
      </w:numPr>
      <w:spacing w:before="120" w:after="120"/>
      <w:outlineLvl w:val="1"/>
    </w:pPr>
    <w:rPr>
      <w:b w:val="0"/>
      <w:smallCaps w:val="0"/>
    </w:rPr>
  </w:style>
  <w:style w:type="paragraph" w:customStyle="1" w:styleId="B3">
    <w:name w:val="B3"/>
    <w:basedOn w:val="B2"/>
    <w:rsid w:val="00A96604"/>
    <w:pPr>
      <w:numPr>
        <w:ilvl w:val="2"/>
      </w:numPr>
      <w:outlineLvl w:val="2"/>
    </w:pPr>
  </w:style>
  <w:style w:type="paragraph" w:customStyle="1" w:styleId="B4">
    <w:name w:val="B4"/>
    <w:basedOn w:val="B3"/>
    <w:rsid w:val="00A96604"/>
    <w:pPr>
      <w:numPr>
        <w:ilvl w:val="3"/>
      </w:numPr>
      <w:outlineLvl w:val="3"/>
    </w:pPr>
  </w:style>
  <w:style w:type="paragraph" w:customStyle="1" w:styleId="B5">
    <w:name w:val="B5"/>
    <w:basedOn w:val="B4"/>
    <w:rsid w:val="00A96604"/>
    <w:pPr>
      <w:numPr>
        <w:ilvl w:val="4"/>
      </w:numPr>
      <w:outlineLvl w:val="4"/>
    </w:pPr>
  </w:style>
  <w:style w:type="table" w:styleId="TableGrid">
    <w:name w:val="Table Grid"/>
    <w:basedOn w:val="TableNormal"/>
    <w:uiPriority w:val="39"/>
    <w:rsid w:val="00A96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6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A96604"/>
    <w:pPr>
      <w:spacing w:before="0"/>
      <w:ind w:left="283"/>
      <w:jc w:val="left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966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.B.K.C. Corporate">
  <a:themeElements>
    <a:clrScheme name="R.B.K.C. Corporate">
      <a:dk1>
        <a:srgbClr val="000000"/>
      </a:dk1>
      <a:lt1>
        <a:srgbClr val="FFFFFF"/>
      </a:lt1>
      <a:dk2>
        <a:srgbClr val="00209F"/>
      </a:dk2>
      <a:lt2>
        <a:srgbClr val="FFFFFF"/>
      </a:lt2>
      <a:accent1>
        <a:srgbClr val="00209F"/>
      </a:accent1>
      <a:accent2>
        <a:srgbClr val="96004B"/>
      </a:accent2>
      <a:accent3>
        <a:srgbClr val="B2BC00"/>
      </a:accent3>
      <a:accent4>
        <a:srgbClr val="948DD0"/>
      </a:accent4>
      <a:accent5>
        <a:srgbClr val="32D3CB"/>
      </a:accent5>
      <a:accent6>
        <a:srgbClr val="FF7300"/>
      </a:accent6>
      <a:hlink>
        <a:srgbClr val="0000FF"/>
      </a:hlink>
      <a:folHlink>
        <a:srgbClr val="800080"/>
      </a:folHlink>
    </a:clrScheme>
    <a:fontScheme name="R.B.K.C.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Van Goethem, Roger: CP: RBKC</dc:creator>
  <cp:keywords/>
  <dc:description/>
  <cp:lastModifiedBy>Van Goethem, Roger: CP: RBKC</cp:lastModifiedBy>
  <cp:revision>1</cp:revision>
  <dcterms:created xsi:type="dcterms:W3CDTF">2019-05-13T12:11:00Z</dcterms:created>
  <dcterms:modified xsi:type="dcterms:W3CDTF">2019-05-13T12:12:00Z</dcterms:modified>
</cp:coreProperties>
</file>