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2BDA" w14:textId="77777777" w:rsidR="00ED500A" w:rsidRPr="00ED500A" w:rsidRDefault="00ED500A" w:rsidP="00ED500A">
      <w:pPr>
        <w:rPr>
          <w:rFonts w:ascii="Arial" w:hAnsi="Arial" w:cs="Arial"/>
          <w:b/>
          <w:bCs/>
          <w:sz w:val="20"/>
          <w:szCs w:val="20"/>
        </w:rPr>
      </w:pPr>
      <w:r w:rsidRPr="00ED500A">
        <w:rPr>
          <w:rFonts w:ascii="Arial" w:hAnsi="Arial" w:cs="Arial"/>
          <w:b/>
          <w:bCs/>
          <w:sz w:val="20"/>
          <w:szCs w:val="20"/>
        </w:rPr>
        <w:t>1.      LIMITATIONS ON LIABILITY</w:t>
      </w:r>
    </w:p>
    <w:p w14:paraId="05B21F8B" w14:textId="77777777" w:rsidR="00ED500A" w:rsidRPr="00ED500A" w:rsidRDefault="00ED500A" w:rsidP="00ED500A">
      <w:pPr>
        <w:rPr>
          <w:rFonts w:ascii="Arial" w:hAnsi="Arial" w:cs="Arial"/>
          <w:b/>
          <w:bCs/>
          <w:sz w:val="20"/>
          <w:szCs w:val="20"/>
        </w:rPr>
      </w:pPr>
      <w:r w:rsidRPr="00ED500A">
        <w:rPr>
          <w:rFonts w:ascii="Arial" w:hAnsi="Arial" w:cs="Arial"/>
          <w:b/>
          <w:bCs/>
          <w:sz w:val="20"/>
          <w:szCs w:val="20"/>
        </w:rPr>
        <w:t>Definitions</w:t>
      </w:r>
    </w:p>
    <w:p w14:paraId="1D70C6B4" w14:textId="77777777" w:rsidR="00ED500A" w:rsidRPr="00ED500A" w:rsidRDefault="00ED500A" w:rsidP="00ED500A">
      <w:pPr>
        <w:rPr>
          <w:rFonts w:ascii="Arial" w:hAnsi="Arial" w:cs="Arial"/>
          <w:sz w:val="20"/>
          <w:szCs w:val="20"/>
        </w:rPr>
      </w:pPr>
      <w:r w:rsidRPr="00ED500A">
        <w:rPr>
          <w:rFonts w:ascii="Arial" w:hAnsi="Arial" w:cs="Arial"/>
          <w:sz w:val="20"/>
          <w:szCs w:val="20"/>
        </w:rPr>
        <w:t>1.1</w:t>
      </w:r>
      <w:r w:rsidR="00174656">
        <w:t xml:space="preserve">      </w:t>
      </w:r>
      <w:r w:rsidRPr="00ED500A">
        <w:rPr>
          <w:rFonts w:ascii="Arial" w:hAnsi="Arial" w:cs="Arial"/>
          <w:sz w:val="20"/>
          <w:szCs w:val="20"/>
        </w:rPr>
        <w:t>In this Condition [1] the following words and expressions shall have the meanings given to them, except where the context requires a different meaning:</w:t>
      </w:r>
    </w:p>
    <w:p w14:paraId="0A83AB81" w14:textId="77777777" w:rsidR="00ED500A" w:rsidRPr="00ED500A" w:rsidRDefault="00ED500A" w:rsidP="00ED500A">
      <w:pPr>
        <w:rPr>
          <w:rFonts w:ascii="Arial" w:hAnsi="Arial" w:cs="Arial"/>
          <w:sz w:val="20"/>
          <w:szCs w:val="20"/>
        </w:rPr>
      </w:pPr>
      <w:r w:rsidRPr="00ED500A">
        <w:rPr>
          <w:rFonts w:ascii="Arial" w:hAnsi="Arial" w:cs="Arial"/>
          <w:sz w:val="20"/>
          <w:szCs w:val="20"/>
        </w:rPr>
        <w:t>“Charges” means any of the charges for the provision of the Services, Contractor Deliverables and the performance of any of the Contractor’s other obligations under this Contract, as determined in accordance with this Contract;</w:t>
      </w:r>
    </w:p>
    <w:p w14:paraId="78572B9B" w14:textId="77777777" w:rsidR="00ED500A" w:rsidRPr="00ED500A" w:rsidRDefault="00ED500A" w:rsidP="00ED500A">
      <w:pPr>
        <w:rPr>
          <w:rFonts w:ascii="Arial" w:hAnsi="Arial" w:cs="Arial"/>
          <w:sz w:val="20"/>
          <w:szCs w:val="20"/>
        </w:rPr>
      </w:pPr>
      <w:r w:rsidRPr="00ED500A">
        <w:rPr>
          <w:rFonts w:ascii="Arial" w:hAnsi="Arial" w:cs="Arial"/>
          <w:sz w:val="20"/>
          <w:szCs w:val="20"/>
        </w:rPr>
        <w:t xml:space="preserve">“Data Protection Legislation” means all applicable Law in force from time to time in the UK relating to the processing of personal data and privacy, including but not limited to: </w:t>
      </w:r>
    </w:p>
    <w:p w14:paraId="4330DEE8" w14:textId="77777777" w:rsidR="00ED500A" w:rsidRPr="00ED500A" w:rsidRDefault="00ED500A" w:rsidP="00ED500A">
      <w:pPr>
        <w:rPr>
          <w:rFonts w:ascii="Arial" w:hAnsi="Arial" w:cs="Arial"/>
          <w:sz w:val="20"/>
          <w:szCs w:val="20"/>
        </w:rPr>
      </w:pPr>
      <w:r w:rsidRPr="00ED500A">
        <w:rPr>
          <w:rFonts w:ascii="Arial" w:hAnsi="Arial" w:cs="Arial"/>
          <w:sz w:val="20"/>
          <w:szCs w:val="20"/>
        </w:rPr>
        <w:t xml:space="preserve">(1) UK GDPR; </w:t>
      </w:r>
    </w:p>
    <w:p w14:paraId="44E43F06" w14:textId="77777777" w:rsidR="00ED500A" w:rsidRPr="00ED500A" w:rsidRDefault="00ED500A" w:rsidP="00ED500A">
      <w:pPr>
        <w:rPr>
          <w:rFonts w:ascii="Arial" w:hAnsi="Arial" w:cs="Arial"/>
          <w:sz w:val="20"/>
          <w:szCs w:val="20"/>
        </w:rPr>
      </w:pPr>
      <w:r w:rsidRPr="00ED500A">
        <w:rPr>
          <w:rFonts w:ascii="Arial" w:hAnsi="Arial" w:cs="Arial"/>
          <w:sz w:val="20"/>
          <w:szCs w:val="20"/>
        </w:rPr>
        <w:t>(2) DPA 2018; and</w:t>
      </w:r>
    </w:p>
    <w:p w14:paraId="0352B3BB" w14:textId="77777777" w:rsidR="00ED500A" w:rsidRPr="003F1F30" w:rsidRDefault="00ED500A" w:rsidP="00ED500A">
      <w:pPr>
        <w:rPr>
          <w:rFonts w:ascii="Arial" w:hAnsi="Arial" w:cs="Arial"/>
          <w:b/>
          <w:bCs/>
          <w:sz w:val="20"/>
          <w:szCs w:val="20"/>
        </w:rPr>
      </w:pPr>
      <w:r w:rsidRPr="003F1F30">
        <w:rPr>
          <w:rFonts w:ascii="Arial" w:hAnsi="Arial" w:cs="Arial"/>
          <w:b/>
          <w:bCs/>
          <w:sz w:val="20"/>
          <w:szCs w:val="20"/>
        </w:rPr>
        <w:t xml:space="preserve">(3) the Privacy and Electronic Communications (EC Directive) Regulations 2003 (SI 2003/2426) as amended, each to the extent that it relates to the processing of personal data and privacy; </w:t>
      </w:r>
    </w:p>
    <w:p w14:paraId="16C5CBA7" w14:textId="77777777" w:rsidR="00ED500A" w:rsidRPr="00ED500A" w:rsidRDefault="00ED500A" w:rsidP="00ED500A">
      <w:pPr>
        <w:rPr>
          <w:rFonts w:ascii="Arial" w:hAnsi="Arial" w:cs="Arial"/>
          <w:sz w:val="20"/>
          <w:szCs w:val="20"/>
        </w:rPr>
      </w:pPr>
      <w:r w:rsidRPr="00ED500A">
        <w:rPr>
          <w:rFonts w:ascii="Arial" w:hAnsi="Arial" w:cs="Arial"/>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3D227A6C" w14:textId="77777777" w:rsidR="00ED500A" w:rsidRPr="00ED500A" w:rsidRDefault="00ED500A" w:rsidP="00ED500A">
      <w:pPr>
        <w:rPr>
          <w:rFonts w:ascii="Arial" w:hAnsi="Arial" w:cs="Arial"/>
          <w:sz w:val="20"/>
          <w:szCs w:val="20"/>
        </w:rPr>
      </w:pPr>
      <w:r w:rsidRPr="00ED500A">
        <w:rPr>
          <w:rFonts w:ascii="Arial" w:hAnsi="Arial" w:cs="Arial"/>
          <w:sz w:val="20"/>
          <w:szCs w:val="20"/>
        </w:rPr>
        <w:t>‘DPA 2018’ means the Data Protection Act 2018;</w:t>
      </w:r>
    </w:p>
    <w:p w14:paraId="6EBF46EA" w14:textId="77777777" w:rsidR="00B676AC" w:rsidRDefault="00ED500A" w:rsidP="00ED500A">
      <w:pPr>
        <w:rPr>
          <w:rFonts w:ascii="Arial" w:hAnsi="Arial" w:cs="Arial"/>
          <w:sz w:val="20"/>
          <w:szCs w:val="20"/>
        </w:rPr>
      </w:pPr>
      <w:r w:rsidRPr="00ED500A">
        <w:rPr>
          <w:rFonts w:ascii="Arial" w:hAnsi="Arial" w:cs="Arial"/>
          <w:sz w:val="20"/>
          <w:szCs w:val="2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r w:rsidR="00B676AC">
        <w:rPr>
          <w:rFonts w:ascii="Arial" w:hAnsi="Arial" w:cs="Arial"/>
          <w:sz w:val="20"/>
          <w:szCs w:val="20"/>
        </w:rPr>
        <w:t>.</w:t>
      </w:r>
    </w:p>
    <w:p w14:paraId="3B107C5D" w14:textId="77777777" w:rsidR="00ED500A" w:rsidRPr="00ED500A" w:rsidRDefault="00ED500A" w:rsidP="00ED500A">
      <w:pPr>
        <w:rPr>
          <w:rFonts w:ascii="Arial" w:hAnsi="Arial" w:cs="Arial"/>
          <w:sz w:val="20"/>
          <w:szCs w:val="20"/>
        </w:rPr>
      </w:pPr>
      <w:r w:rsidRPr="00ED500A">
        <w:rPr>
          <w:rFonts w:ascii="Arial" w:hAnsi="Arial" w:cs="Arial"/>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027FD148" w14:textId="77777777" w:rsidR="00ED500A" w:rsidRPr="00ED500A" w:rsidRDefault="00ED500A" w:rsidP="00ED500A">
      <w:pPr>
        <w:rPr>
          <w:rFonts w:ascii="Arial" w:hAnsi="Arial" w:cs="Arial"/>
          <w:sz w:val="20"/>
          <w:szCs w:val="20"/>
        </w:rPr>
      </w:pPr>
      <w:r w:rsidRPr="00ED500A">
        <w:rPr>
          <w:rFonts w:ascii="Arial" w:hAnsi="Arial" w:cs="Arial"/>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7C8C744B" w14:textId="77777777" w:rsidR="00ED500A" w:rsidRPr="00ED500A" w:rsidRDefault="00ED500A" w:rsidP="00ED500A">
      <w:pPr>
        <w:rPr>
          <w:rFonts w:ascii="Arial" w:hAnsi="Arial" w:cs="Arial"/>
          <w:sz w:val="20"/>
          <w:szCs w:val="20"/>
        </w:rPr>
      </w:pPr>
      <w:r w:rsidRPr="00ED500A">
        <w:rPr>
          <w:rFonts w:ascii="Arial" w:hAnsi="Arial" w:cs="Arial"/>
          <w:sz w:val="20"/>
          <w:szCs w:val="20"/>
        </w:rPr>
        <w:t>‘UK GDPR’ means the General Data Protection Regulation (Regulation (EU) 2016/679) as retained in UK law by the EU (Withdrawal) Act 2018 and the Data Protection, Privacy and Electronic Communications (Amendments etc) (EU Exit) Regulations 2019;</w:t>
      </w:r>
    </w:p>
    <w:p w14:paraId="335669D8" w14:textId="77777777" w:rsidR="00ED500A" w:rsidRPr="00174656" w:rsidRDefault="00ED500A" w:rsidP="00ED500A">
      <w:pPr>
        <w:rPr>
          <w:rFonts w:ascii="Arial" w:hAnsi="Arial" w:cs="Arial"/>
          <w:b/>
          <w:bCs/>
          <w:sz w:val="20"/>
          <w:szCs w:val="20"/>
        </w:rPr>
      </w:pPr>
      <w:r w:rsidRPr="00174656">
        <w:rPr>
          <w:rFonts w:ascii="Arial" w:hAnsi="Arial" w:cs="Arial"/>
          <w:b/>
          <w:bCs/>
          <w:sz w:val="20"/>
          <w:szCs w:val="20"/>
        </w:rPr>
        <w:t>Unlimited liabilities</w:t>
      </w:r>
    </w:p>
    <w:p w14:paraId="152752F8" w14:textId="77777777" w:rsidR="00ED500A" w:rsidRPr="00ED500A" w:rsidRDefault="00ED500A" w:rsidP="00ED500A">
      <w:pPr>
        <w:rPr>
          <w:rFonts w:ascii="Arial" w:hAnsi="Arial" w:cs="Arial"/>
          <w:sz w:val="20"/>
          <w:szCs w:val="20"/>
        </w:rPr>
      </w:pPr>
      <w:r w:rsidRPr="00ED500A">
        <w:rPr>
          <w:rFonts w:ascii="Arial" w:hAnsi="Arial" w:cs="Arial"/>
          <w:sz w:val="20"/>
          <w:szCs w:val="20"/>
        </w:rPr>
        <w:t>1.2</w:t>
      </w:r>
      <w:r w:rsidR="00174656">
        <w:t xml:space="preserve">      </w:t>
      </w:r>
      <w:r w:rsidRPr="00ED500A">
        <w:rPr>
          <w:rFonts w:ascii="Arial" w:hAnsi="Arial" w:cs="Arial"/>
          <w:sz w:val="20"/>
          <w:szCs w:val="20"/>
        </w:rPr>
        <w:t>Neither Party limits its liability for:</w:t>
      </w:r>
    </w:p>
    <w:p w14:paraId="20A6C338"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t>1.2.1</w:t>
      </w:r>
      <w:r w:rsidR="00174656">
        <w:t xml:space="preserve">      </w:t>
      </w:r>
      <w:r w:rsidRPr="00ED500A">
        <w:rPr>
          <w:rFonts w:ascii="Arial" w:hAnsi="Arial" w:cs="Arial"/>
          <w:sz w:val="20"/>
          <w:szCs w:val="20"/>
        </w:rPr>
        <w:t>death or personal injury caused by its negligence, or that of its employees, agents or sub-contractors (as applicable);</w:t>
      </w:r>
    </w:p>
    <w:p w14:paraId="389C0DFE"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t>1.2.2</w:t>
      </w:r>
      <w:r w:rsidR="00174656">
        <w:t xml:space="preserve">      </w:t>
      </w:r>
      <w:r w:rsidRPr="00ED500A">
        <w:rPr>
          <w:rFonts w:ascii="Arial" w:hAnsi="Arial" w:cs="Arial"/>
          <w:sz w:val="20"/>
          <w:szCs w:val="20"/>
        </w:rPr>
        <w:t>fraud or fraudulent misrepresentation by it or its employees;</w:t>
      </w:r>
    </w:p>
    <w:p w14:paraId="55D18A29"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t>1.2.3</w:t>
      </w:r>
      <w:r w:rsidR="00174656">
        <w:t xml:space="preserve">      </w:t>
      </w:r>
      <w:r w:rsidRPr="00ED500A">
        <w:rPr>
          <w:rFonts w:ascii="Arial" w:hAnsi="Arial" w:cs="Arial"/>
          <w:sz w:val="20"/>
          <w:szCs w:val="20"/>
        </w:rPr>
        <w:t>breach of any obligation as to title implied by section 12 of the Sale of Goods Act 1979 or section 2 of the Supply of Goods and Services Act 1982; or</w:t>
      </w:r>
    </w:p>
    <w:p w14:paraId="62AE2C45"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t>1.2.4</w:t>
      </w:r>
      <w:r w:rsidR="00174656">
        <w:t xml:space="preserve">      </w:t>
      </w:r>
      <w:r w:rsidRPr="00ED500A">
        <w:rPr>
          <w:rFonts w:ascii="Arial" w:hAnsi="Arial" w:cs="Arial"/>
          <w:sz w:val="20"/>
          <w:szCs w:val="20"/>
        </w:rPr>
        <w:t>any liability to the extent it cannot be limited or excluded by law.</w:t>
      </w:r>
    </w:p>
    <w:p w14:paraId="4EE54A0D" w14:textId="77777777" w:rsidR="00ED500A" w:rsidRPr="00ED500A" w:rsidRDefault="00ED500A" w:rsidP="00ED500A">
      <w:pPr>
        <w:rPr>
          <w:rFonts w:ascii="Arial" w:hAnsi="Arial" w:cs="Arial"/>
          <w:sz w:val="20"/>
          <w:szCs w:val="20"/>
        </w:rPr>
      </w:pPr>
      <w:r w:rsidRPr="00ED500A">
        <w:rPr>
          <w:rFonts w:ascii="Arial" w:hAnsi="Arial" w:cs="Arial"/>
          <w:sz w:val="20"/>
          <w:szCs w:val="20"/>
        </w:rPr>
        <w:t>1.3</w:t>
      </w:r>
      <w:r w:rsidR="00174656">
        <w:t xml:space="preserve">      </w:t>
      </w:r>
      <w:r w:rsidRPr="00ED500A">
        <w:rPr>
          <w:rFonts w:ascii="Arial" w:hAnsi="Arial" w:cs="Arial"/>
          <w:sz w:val="20"/>
          <w:szCs w:val="20"/>
        </w:rPr>
        <w:t xml:space="preserve">The financial caps on liability set out in Clauses 1.4 and 1.5 below shall not apply to the following: </w:t>
      </w:r>
    </w:p>
    <w:p w14:paraId="4D56BFA5"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lastRenderedPageBreak/>
        <w:t>1.3.1</w:t>
      </w:r>
      <w:r w:rsidR="00174656">
        <w:t xml:space="preserve">      </w:t>
      </w:r>
      <w:r w:rsidRPr="00ED500A">
        <w:rPr>
          <w:rFonts w:ascii="Arial" w:hAnsi="Arial" w:cs="Arial"/>
          <w:sz w:val="20"/>
          <w:szCs w:val="20"/>
        </w:rPr>
        <w:t>for any indemnity given by the Contractor to the Authority under this Contact, including but not limited to:</w:t>
      </w:r>
    </w:p>
    <w:p w14:paraId="1402FE80" w14:textId="77777777" w:rsidR="00ED500A" w:rsidRPr="00ED500A" w:rsidRDefault="00ED500A" w:rsidP="00174656">
      <w:pPr>
        <w:ind w:left="993"/>
        <w:rPr>
          <w:rFonts w:ascii="Arial" w:hAnsi="Arial" w:cs="Arial"/>
          <w:sz w:val="20"/>
          <w:szCs w:val="20"/>
        </w:rPr>
      </w:pPr>
      <w:r w:rsidRPr="00ED500A">
        <w:rPr>
          <w:rFonts w:ascii="Arial" w:hAnsi="Arial" w:cs="Arial"/>
          <w:sz w:val="20"/>
          <w:szCs w:val="20"/>
        </w:rPr>
        <w:t>1.3.1.1</w:t>
      </w:r>
      <w:r w:rsidR="00174656">
        <w:t xml:space="preserve">      </w:t>
      </w:r>
      <w:r w:rsidRPr="00ED500A">
        <w:rPr>
          <w:rFonts w:ascii="Arial" w:hAnsi="Arial" w:cs="Arial"/>
          <w:sz w:val="20"/>
          <w:szCs w:val="20"/>
        </w:rPr>
        <w:t>the Contractor's indemnity in relation to DEFCON 91 (Intellectual Property in Software) and Condition 33 (Third Party IP – Rights and Restrictions);</w:t>
      </w:r>
    </w:p>
    <w:p w14:paraId="51EA3B02" w14:textId="77777777" w:rsidR="00ED500A" w:rsidRPr="00ED500A" w:rsidRDefault="00ED500A" w:rsidP="00174656">
      <w:pPr>
        <w:ind w:left="993"/>
        <w:rPr>
          <w:rFonts w:ascii="Arial" w:hAnsi="Arial" w:cs="Arial"/>
          <w:sz w:val="20"/>
          <w:szCs w:val="20"/>
        </w:rPr>
      </w:pPr>
      <w:r w:rsidRPr="00ED500A">
        <w:rPr>
          <w:rFonts w:ascii="Arial" w:hAnsi="Arial" w:cs="Arial"/>
          <w:sz w:val="20"/>
          <w:szCs w:val="20"/>
        </w:rPr>
        <w:t>1.3.1.2</w:t>
      </w:r>
      <w:r w:rsidR="00174656">
        <w:t xml:space="preserve">      </w:t>
      </w:r>
      <w:r w:rsidRPr="00ED500A">
        <w:rPr>
          <w:rFonts w:ascii="Arial" w:hAnsi="Arial" w:cs="Arial"/>
          <w:sz w:val="20"/>
          <w:szCs w:val="20"/>
        </w:rPr>
        <w:t>the Contractor's indemnity in relation to TUPE at Schedule [(TUPE)];</w:t>
      </w:r>
    </w:p>
    <w:p w14:paraId="21E692A5"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t>1.3.2</w:t>
      </w:r>
      <w:r w:rsidR="00174656">
        <w:t xml:space="preserve">      </w:t>
      </w:r>
      <w:r w:rsidRPr="00ED500A">
        <w:rPr>
          <w:rFonts w:ascii="Arial" w:hAnsi="Arial" w:cs="Arial"/>
          <w:sz w:val="20"/>
          <w:szCs w:val="20"/>
        </w:rPr>
        <w:t>for any indemnity given by the Authority to the Contractor under this Contract, including but not limited to:</w:t>
      </w:r>
    </w:p>
    <w:p w14:paraId="25949265" w14:textId="77777777" w:rsidR="00ED500A" w:rsidRPr="00ED500A" w:rsidRDefault="00ED500A" w:rsidP="00174656">
      <w:pPr>
        <w:ind w:left="993"/>
        <w:rPr>
          <w:rFonts w:ascii="Arial" w:hAnsi="Arial" w:cs="Arial"/>
          <w:sz w:val="20"/>
          <w:szCs w:val="20"/>
        </w:rPr>
      </w:pPr>
      <w:r w:rsidRPr="00ED500A">
        <w:rPr>
          <w:rFonts w:ascii="Arial" w:hAnsi="Arial" w:cs="Arial"/>
          <w:sz w:val="20"/>
          <w:szCs w:val="20"/>
        </w:rPr>
        <w:t>1.3.2.1</w:t>
      </w:r>
      <w:r w:rsidR="00174656">
        <w:t xml:space="preserve">      </w:t>
      </w:r>
      <w:r w:rsidRPr="00ED500A">
        <w:rPr>
          <w:rFonts w:ascii="Arial" w:hAnsi="Arial" w:cs="Arial"/>
          <w:sz w:val="20"/>
          <w:szCs w:val="20"/>
        </w:rPr>
        <w:t>the Authority’s indemnity under DEFCON 514A (Failure of Performance under Research and Development Contracts);</w:t>
      </w:r>
    </w:p>
    <w:p w14:paraId="4FC0E6FC" w14:textId="77777777" w:rsidR="00ED500A" w:rsidRPr="00ED500A" w:rsidRDefault="00ED500A" w:rsidP="00174656">
      <w:pPr>
        <w:ind w:left="993"/>
        <w:rPr>
          <w:rFonts w:ascii="Arial" w:hAnsi="Arial" w:cs="Arial"/>
          <w:sz w:val="20"/>
          <w:szCs w:val="20"/>
        </w:rPr>
      </w:pPr>
      <w:r w:rsidRPr="00ED500A">
        <w:rPr>
          <w:rFonts w:ascii="Arial" w:hAnsi="Arial" w:cs="Arial"/>
          <w:sz w:val="20"/>
          <w:szCs w:val="20"/>
        </w:rPr>
        <w:t>1.3.2.2</w:t>
      </w:r>
      <w:r w:rsidR="00174656">
        <w:t xml:space="preserve">      </w:t>
      </w:r>
      <w:r w:rsidRPr="00ED500A">
        <w:rPr>
          <w:rFonts w:ascii="Arial" w:hAnsi="Arial" w:cs="Arial"/>
          <w:sz w:val="20"/>
          <w:szCs w:val="20"/>
        </w:rPr>
        <w:t>the Authority’s indemnity in relation to TUPE under Schedule [(TUPE)];</w:t>
      </w:r>
    </w:p>
    <w:p w14:paraId="366A3786" w14:textId="551BBCB7" w:rsidR="00ED500A" w:rsidRPr="00F64121" w:rsidRDefault="00ED500A" w:rsidP="00174656">
      <w:pPr>
        <w:ind w:left="426"/>
        <w:rPr>
          <w:rFonts w:ascii="Arial" w:hAnsi="Arial" w:cs="Arial"/>
          <w:sz w:val="20"/>
          <w:szCs w:val="20"/>
        </w:rPr>
      </w:pPr>
      <w:r w:rsidRPr="00ED500A">
        <w:rPr>
          <w:rFonts w:ascii="Arial" w:hAnsi="Arial" w:cs="Arial"/>
          <w:sz w:val="20"/>
          <w:szCs w:val="20"/>
        </w:rPr>
        <w:t>1.3.3</w:t>
      </w:r>
      <w:r w:rsidR="00174656">
        <w:t xml:space="preserve">      </w:t>
      </w:r>
      <w:r w:rsidRPr="00ED500A">
        <w:rPr>
          <w:rFonts w:ascii="Arial" w:hAnsi="Arial" w:cs="Arial"/>
          <w:sz w:val="20"/>
          <w:szCs w:val="20"/>
        </w:rPr>
        <w:t xml:space="preserve">breach by the </w:t>
      </w:r>
      <w:r w:rsidRPr="00174656">
        <w:rPr>
          <w:rFonts w:ascii="Arial" w:hAnsi="Arial" w:cs="Arial"/>
          <w:sz w:val="20"/>
          <w:szCs w:val="20"/>
        </w:rPr>
        <w:t xml:space="preserve">Contractor of </w:t>
      </w:r>
      <w:r w:rsidRPr="00ED500A">
        <w:rPr>
          <w:rFonts w:ascii="Arial" w:hAnsi="Arial" w:cs="Arial"/>
          <w:sz w:val="20"/>
          <w:szCs w:val="20"/>
        </w:rPr>
        <w:t>DEFCON 532A (SC2)</w:t>
      </w:r>
      <w:r w:rsidR="005E651B">
        <w:rPr>
          <w:rFonts w:ascii="Arial" w:hAnsi="Arial" w:cs="Arial"/>
          <w:sz w:val="20"/>
          <w:szCs w:val="20"/>
        </w:rPr>
        <w:t xml:space="preserve"> </w:t>
      </w:r>
      <w:r w:rsidRPr="00ED500A">
        <w:rPr>
          <w:rFonts w:ascii="Arial" w:hAnsi="Arial" w:cs="Arial"/>
          <w:sz w:val="20"/>
          <w:szCs w:val="20"/>
        </w:rPr>
        <w:t xml:space="preserve">and Data Protection </w:t>
      </w:r>
      <w:r w:rsidRPr="00F64121">
        <w:rPr>
          <w:rFonts w:ascii="Arial" w:hAnsi="Arial" w:cs="Arial"/>
          <w:sz w:val="20"/>
          <w:szCs w:val="20"/>
        </w:rPr>
        <w:t>Legislation; and</w:t>
      </w:r>
    </w:p>
    <w:p w14:paraId="23E0F1B0" w14:textId="77777777" w:rsidR="00ED500A" w:rsidRPr="00ED500A" w:rsidRDefault="00ED500A" w:rsidP="00174656">
      <w:pPr>
        <w:ind w:left="426"/>
        <w:rPr>
          <w:rFonts w:ascii="Arial" w:hAnsi="Arial" w:cs="Arial"/>
          <w:sz w:val="20"/>
          <w:szCs w:val="20"/>
        </w:rPr>
      </w:pPr>
      <w:r w:rsidRPr="00F64121">
        <w:rPr>
          <w:rFonts w:ascii="Arial" w:hAnsi="Arial" w:cs="Arial"/>
          <w:sz w:val="20"/>
          <w:szCs w:val="20"/>
        </w:rPr>
        <w:t>1.3.4</w:t>
      </w:r>
      <w:r w:rsidR="00174656" w:rsidRPr="00F64121">
        <w:t xml:space="preserve">      </w:t>
      </w:r>
      <w:r w:rsidRPr="00F64121">
        <w:rPr>
          <w:rFonts w:ascii="Arial" w:hAnsi="Arial" w:cs="Arial"/>
          <w:sz w:val="20"/>
          <w:szCs w:val="20"/>
        </w:rPr>
        <w:t>to the extent it arises as a result of a Default by either Party, any fine or penalty incurred by the other Party pursuant to Law and any costs incurred by such other Party in defending any proceedings which result in such fine or penalty.</w:t>
      </w:r>
    </w:p>
    <w:p w14:paraId="07A4B6E5"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t>1.3.5</w:t>
      </w:r>
      <w:r w:rsidR="00174656">
        <w:t xml:space="preserve">      </w:t>
      </w:r>
      <w:r w:rsidRPr="00ED500A">
        <w:rPr>
          <w:rFonts w:ascii="Arial" w:hAnsi="Arial" w:cs="Arial"/>
          <w:sz w:val="20"/>
          <w:szCs w:val="20"/>
        </w:rPr>
        <w:t>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5092D62" w14:textId="77777777" w:rsidR="00ED500A" w:rsidRPr="00174656" w:rsidRDefault="00ED500A" w:rsidP="00ED500A">
      <w:pPr>
        <w:rPr>
          <w:rFonts w:ascii="Arial" w:hAnsi="Arial" w:cs="Arial"/>
          <w:b/>
          <w:bCs/>
          <w:sz w:val="20"/>
          <w:szCs w:val="20"/>
        </w:rPr>
      </w:pPr>
      <w:r w:rsidRPr="00174656">
        <w:rPr>
          <w:rFonts w:ascii="Arial" w:hAnsi="Arial" w:cs="Arial"/>
          <w:b/>
          <w:bCs/>
          <w:sz w:val="20"/>
          <w:szCs w:val="20"/>
        </w:rPr>
        <w:t>Financial limits</w:t>
      </w:r>
    </w:p>
    <w:p w14:paraId="5C1ED94C" w14:textId="77777777" w:rsidR="00ED500A" w:rsidRPr="00ED500A" w:rsidRDefault="00ED500A" w:rsidP="00ED500A">
      <w:pPr>
        <w:rPr>
          <w:rFonts w:ascii="Arial" w:hAnsi="Arial" w:cs="Arial"/>
          <w:sz w:val="20"/>
          <w:szCs w:val="20"/>
        </w:rPr>
      </w:pPr>
      <w:r w:rsidRPr="00ED500A">
        <w:rPr>
          <w:rFonts w:ascii="Arial" w:hAnsi="Arial" w:cs="Arial"/>
          <w:sz w:val="20"/>
          <w:szCs w:val="20"/>
        </w:rPr>
        <w:t>1.4</w:t>
      </w:r>
      <w:r w:rsidR="00174656">
        <w:t xml:space="preserve">      </w:t>
      </w:r>
      <w:r w:rsidRPr="00ED500A">
        <w:rPr>
          <w:rFonts w:ascii="Arial" w:hAnsi="Arial" w:cs="Arial"/>
          <w:sz w:val="20"/>
          <w:szCs w:val="20"/>
        </w:rPr>
        <w:t>Subject to Clauses 1.2 and 1.3 and to the maximum extent permitted by Law:</w:t>
      </w:r>
    </w:p>
    <w:p w14:paraId="26832A81" w14:textId="77777777" w:rsidR="00ED500A" w:rsidRPr="00ED500A" w:rsidRDefault="00ED500A" w:rsidP="00174656">
      <w:pPr>
        <w:ind w:left="426"/>
        <w:rPr>
          <w:rFonts w:ascii="Arial" w:hAnsi="Arial" w:cs="Arial"/>
          <w:sz w:val="20"/>
          <w:szCs w:val="20"/>
        </w:rPr>
      </w:pPr>
      <w:r w:rsidRPr="00ED500A">
        <w:rPr>
          <w:rFonts w:ascii="Arial" w:hAnsi="Arial" w:cs="Arial"/>
          <w:sz w:val="20"/>
          <w:szCs w:val="20"/>
        </w:rPr>
        <w:t>1.4.1</w:t>
      </w:r>
      <w:r w:rsidR="00174656">
        <w:t xml:space="preserve">      </w:t>
      </w:r>
      <w:r w:rsidRPr="00ED500A">
        <w:rPr>
          <w:rFonts w:ascii="Arial" w:hAnsi="Arial" w:cs="Arial"/>
          <w:sz w:val="20"/>
          <w:szCs w:val="20"/>
        </w:rPr>
        <w:t>[throughout the Term] the Contractor's total liability in respect of losses that are caused by Defaults of the Contractor shall in no event exceed:</w:t>
      </w:r>
    </w:p>
    <w:p w14:paraId="11024DF0" w14:textId="2A352E13" w:rsidR="00ED500A" w:rsidRPr="00ED500A" w:rsidRDefault="00ED500A" w:rsidP="00174656">
      <w:pPr>
        <w:ind w:left="993"/>
        <w:rPr>
          <w:rFonts w:ascii="Arial" w:hAnsi="Arial" w:cs="Arial"/>
          <w:sz w:val="20"/>
          <w:szCs w:val="20"/>
        </w:rPr>
      </w:pPr>
      <w:r w:rsidRPr="00ED500A">
        <w:rPr>
          <w:rFonts w:ascii="Arial" w:hAnsi="Arial" w:cs="Arial"/>
          <w:sz w:val="20"/>
          <w:szCs w:val="20"/>
        </w:rPr>
        <w:t>1.4.1.1</w:t>
      </w:r>
      <w:r w:rsidR="00174656">
        <w:t xml:space="preserve">      </w:t>
      </w:r>
      <w:r w:rsidRPr="00ED500A">
        <w:rPr>
          <w:rFonts w:ascii="Arial" w:hAnsi="Arial" w:cs="Arial"/>
          <w:sz w:val="20"/>
          <w:szCs w:val="20"/>
        </w:rPr>
        <w:t>in respect of DEFCON 76 (SC2) [£ pounds</w:t>
      </w:r>
      <w:r w:rsidR="005E651B">
        <w:rPr>
          <w:rFonts w:ascii="Arial" w:hAnsi="Arial" w:cs="Arial"/>
          <w:sz w:val="20"/>
          <w:szCs w:val="20"/>
        </w:rPr>
        <w:t xml:space="preserve">] </w:t>
      </w:r>
      <w:r w:rsidR="00953A8B">
        <w:rPr>
          <w:rFonts w:ascii="Arial" w:hAnsi="Arial" w:cs="Arial"/>
          <w:sz w:val="20"/>
          <w:szCs w:val="20"/>
        </w:rPr>
        <w:t>(</w:t>
      </w:r>
      <w:r w:rsidR="00953A8B">
        <w:rPr>
          <w:rFonts w:ascii="Arial" w:hAnsi="Arial" w:cs="Arial"/>
          <w:b/>
          <w:bCs/>
          <w:sz w:val="20"/>
          <w:szCs w:val="20"/>
        </w:rPr>
        <w:t>£0.</w:t>
      </w:r>
      <w:r w:rsidR="00E57A16">
        <w:rPr>
          <w:rFonts w:ascii="Arial" w:hAnsi="Arial" w:cs="Arial"/>
          <w:b/>
          <w:bCs/>
          <w:sz w:val="20"/>
          <w:szCs w:val="20"/>
        </w:rPr>
        <w:t>175</w:t>
      </w:r>
      <w:r w:rsidR="00953A8B">
        <w:rPr>
          <w:rFonts w:ascii="Arial" w:hAnsi="Arial" w:cs="Arial"/>
          <w:b/>
          <w:bCs/>
          <w:sz w:val="20"/>
          <w:szCs w:val="20"/>
        </w:rPr>
        <w:t>M)</w:t>
      </w:r>
      <w:r w:rsidRPr="00ED500A">
        <w:rPr>
          <w:rFonts w:ascii="Arial" w:hAnsi="Arial" w:cs="Arial"/>
          <w:sz w:val="20"/>
          <w:szCs w:val="20"/>
        </w:rPr>
        <w:t xml:space="preserve"> in </w:t>
      </w:r>
      <w:r w:rsidR="008039E1" w:rsidRPr="00ED500A">
        <w:rPr>
          <w:rFonts w:ascii="Arial" w:hAnsi="Arial" w:cs="Arial"/>
          <w:sz w:val="20"/>
          <w:szCs w:val="20"/>
        </w:rPr>
        <w:t>aggregate.</w:t>
      </w:r>
      <w:r w:rsidRPr="00ED500A">
        <w:rPr>
          <w:rFonts w:ascii="Arial" w:hAnsi="Arial" w:cs="Arial"/>
          <w:sz w:val="20"/>
          <w:szCs w:val="20"/>
        </w:rPr>
        <w:t xml:space="preserve"> </w:t>
      </w:r>
    </w:p>
    <w:p w14:paraId="2074B712" w14:textId="2F381D70" w:rsidR="00ED500A" w:rsidRPr="00ED500A" w:rsidRDefault="00ED500A" w:rsidP="00174656">
      <w:pPr>
        <w:ind w:left="993"/>
        <w:rPr>
          <w:rFonts w:ascii="Arial" w:hAnsi="Arial" w:cs="Arial"/>
          <w:sz w:val="20"/>
          <w:szCs w:val="20"/>
        </w:rPr>
      </w:pPr>
      <w:r w:rsidRPr="00ED500A">
        <w:rPr>
          <w:rFonts w:ascii="Arial" w:hAnsi="Arial" w:cs="Arial"/>
          <w:sz w:val="20"/>
          <w:szCs w:val="20"/>
        </w:rPr>
        <w:t>1.4.1.2</w:t>
      </w:r>
      <w:r w:rsidR="00174656">
        <w:t xml:space="preserve">      </w:t>
      </w:r>
      <w:r w:rsidRPr="00ED500A">
        <w:rPr>
          <w:rFonts w:ascii="Arial" w:hAnsi="Arial" w:cs="Arial"/>
          <w:sz w:val="20"/>
          <w:szCs w:val="20"/>
        </w:rPr>
        <w:t>in respect of Condition 4</w:t>
      </w:r>
      <w:r w:rsidR="005E651B">
        <w:rPr>
          <w:rFonts w:ascii="Arial" w:hAnsi="Arial" w:cs="Arial"/>
          <w:sz w:val="20"/>
          <w:szCs w:val="20"/>
        </w:rPr>
        <w:t>3</w:t>
      </w:r>
      <w:r w:rsidRPr="00ED500A">
        <w:rPr>
          <w:rFonts w:ascii="Arial" w:hAnsi="Arial" w:cs="Arial"/>
          <w:sz w:val="20"/>
          <w:szCs w:val="20"/>
        </w:rPr>
        <w:t>b [£ pounds] (</w:t>
      </w:r>
      <w:r w:rsidR="00953A8B">
        <w:rPr>
          <w:rFonts w:ascii="Arial" w:hAnsi="Arial" w:cs="Arial"/>
          <w:sz w:val="20"/>
          <w:szCs w:val="20"/>
        </w:rPr>
        <w:t>£0.010M</w:t>
      </w:r>
      <w:r w:rsidR="005E651B">
        <w:rPr>
          <w:rFonts w:ascii="Arial" w:hAnsi="Arial" w:cs="Arial"/>
          <w:sz w:val="20"/>
          <w:szCs w:val="20"/>
        </w:rPr>
        <w:t xml:space="preserve">) </w:t>
      </w:r>
      <w:r w:rsidRPr="00ED500A">
        <w:rPr>
          <w:rFonts w:ascii="Arial" w:hAnsi="Arial" w:cs="Arial"/>
          <w:sz w:val="20"/>
          <w:szCs w:val="20"/>
        </w:rPr>
        <w:t xml:space="preserve">in </w:t>
      </w:r>
      <w:r w:rsidR="008039E1" w:rsidRPr="00ED500A">
        <w:rPr>
          <w:rFonts w:ascii="Arial" w:hAnsi="Arial" w:cs="Arial"/>
          <w:sz w:val="20"/>
          <w:szCs w:val="20"/>
        </w:rPr>
        <w:t>aggregate.</w:t>
      </w:r>
    </w:p>
    <w:p w14:paraId="38A000EF" w14:textId="6A8E173E" w:rsidR="00ED500A" w:rsidRPr="00ED500A" w:rsidRDefault="00ED500A" w:rsidP="00174656">
      <w:pPr>
        <w:ind w:left="993"/>
        <w:rPr>
          <w:rFonts w:ascii="Arial" w:hAnsi="Arial" w:cs="Arial"/>
          <w:sz w:val="20"/>
          <w:szCs w:val="20"/>
        </w:rPr>
      </w:pPr>
      <w:r w:rsidRPr="00ED500A">
        <w:rPr>
          <w:rFonts w:ascii="Arial" w:hAnsi="Arial" w:cs="Arial"/>
          <w:sz w:val="20"/>
          <w:szCs w:val="20"/>
        </w:rPr>
        <w:t>1.4.1.3</w:t>
      </w:r>
      <w:r w:rsidR="00174656">
        <w:t xml:space="preserve">      </w:t>
      </w:r>
      <w:r w:rsidRPr="00ED500A">
        <w:rPr>
          <w:rFonts w:ascii="Arial" w:hAnsi="Arial" w:cs="Arial"/>
          <w:sz w:val="20"/>
          <w:szCs w:val="20"/>
        </w:rPr>
        <w:t xml:space="preserve">in respect of DEFCON 611 (SC2) [£ pounds] </w:t>
      </w:r>
      <w:r w:rsidR="00953A8B">
        <w:rPr>
          <w:rFonts w:ascii="Arial" w:hAnsi="Arial" w:cs="Arial"/>
          <w:b/>
          <w:bCs/>
          <w:sz w:val="20"/>
          <w:szCs w:val="20"/>
        </w:rPr>
        <w:t xml:space="preserve">(£0.006M) </w:t>
      </w:r>
      <w:r w:rsidRPr="00ED500A">
        <w:rPr>
          <w:rFonts w:ascii="Arial" w:hAnsi="Arial" w:cs="Arial"/>
          <w:sz w:val="20"/>
          <w:szCs w:val="20"/>
        </w:rPr>
        <w:t xml:space="preserve"> in aggregate; and</w:t>
      </w:r>
    </w:p>
    <w:p w14:paraId="6D50B108" w14:textId="2D4A19A3" w:rsidR="00ED500A" w:rsidRPr="00ED500A" w:rsidRDefault="00ED500A" w:rsidP="00174656">
      <w:pPr>
        <w:ind w:left="993"/>
        <w:rPr>
          <w:rFonts w:ascii="Arial" w:hAnsi="Arial" w:cs="Arial"/>
          <w:sz w:val="20"/>
          <w:szCs w:val="20"/>
        </w:rPr>
      </w:pPr>
      <w:r w:rsidRPr="00ED500A">
        <w:rPr>
          <w:rFonts w:ascii="Arial" w:hAnsi="Arial" w:cs="Arial"/>
          <w:sz w:val="20"/>
          <w:szCs w:val="20"/>
        </w:rPr>
        <w:t>1.4.1.4</w:t>
      </w:r>
      <w:r w:rsidR="00174656">
        <w:t xml:space="preserve">      </w:t>
      </w:r>
      <w:r w:rsidRPr="00ED500A">
        <w:rPr>
          <w:rFonts w:ascii="Arial" w:hAnsi="Arial" w:cs="Arial"/>
          <w:sz w:val="20"/>
          <w:szCs w:val="20"/>
        </w:rPr>
        <w:t>in respect of condition 2</w:t>
      </w:r>
      <w:r w:rsidR="005E651B">
        <w:rPr>
          <w:rFonts w:ascii="Arial" w:hAnsi="Arial" w:cs="Arial"/>
          <w:sz w:val="20"/>
          <w:szCs w:val="20"/>
        </w:rPr>
        <w:t>8</w:t>
      </w:r>
      <w:r w:rsidRPr="00ED500A">
        <w:rPr>
          <w:rFonts w:ascii="Arial" w:hAnsi="Arial" w:cs="Arial"/>
          <w:sz w:val="20"/>
          <w:szCs w:val="20"/>
        </w:rPr>
        <w:t xml:space="preserve">d [£ pounds] </w:t>
      </w:r>
      <w:r w:rsidR="005E651B" w:rsidRPr="008039E1">
        <w:rPr>
          <w:rFonts w:ascii="Arial" w:hAnsi="Arial" w:cs="Arial"/>
          <w:b/>
          <w:bCs/>
          <w:sz w:val="20"/>
          <w:szCs w:val="20"/>
        </w:rPr>
        <w:t>NOT APPLICABLE</w:t>
      </w:r>
      <w:r w:rsidR="005E651B">
        <w:rPr>
          <w:rFonts w:ascii="Arial" w:hAnsi="Arial" w:cs="Arial"/>
          <w:sz w:val="20"/>
          <w:szCs w:val="20"/>
        </w:rPr>
        <w:t xml:space="preserve"> </w:t>
      </w:r>
      <w:r w:rsidRPr="00ED500A">
        <w:rPr>
          <w:rFonts w:ascii="Arial" w:hAnsi="Arial" w:cs="Arial"/>
          <w:sz w:val="20"/>
          <w:szCs w:val="20"/>
        </w:rPr>
        <w:t xml:space="preserve">in </w:t>
      </w:r>
      <w:r w:rsidR="008039E1" w:rsidRPr="00ED500A">
        <w:rPr>
          <w:rFonts w:ascii="Arial" w:hAnsi="Arial" w:cs="Arial"/>
          <w:sz w:val="20"/>
          <w:szCs w:val="20"/>
        </w:rPr>
        <w:t>aggregate.</w:t>
      </w:r>
    </w:p>
    <w:p w14:paraId="4BA46270" w14:textId="5DFA7D46" w:rsidR="00ED500A" w:rsidRPr="00ED500A" w:rsidRDefault="00ED500A" w:rsidP="003F1F30">
      <w:pPr>
        <w:ind w:left="426"/>
        <w:rPr>
          <w:rFonts w:ascii="Arial" w:hAnsi="Arial" w:cs="Arial"/>
          <w:sz w:val="20"/>
          <w:szCs w:val="20"/>
        </w:rPr>
      </w:pPr>
      <w:r w:rsidRPr="00ED500A">
        <w:rPr>
          <w:rFonts w:ascii="Arial" w:hAnsi="Arial" w:cs="Arial"/>
          <w:sz w:val="20"/>
          <w:szCs w:val="20"/>
        </w:rPr>
        <w:t>1.4.2</w:t>
      </w:r>
      <w:r w:rsidR="003F1F30">
        <w:t xml:space="preserve">      </w:t>
      </w:r>
      <w:r w:rsidRPr="00ED500A">
        <w:rPr>
          <w:rFonts w:ascii="Arial" w:hAnsi="Arial" w:cs="Arial"/>
          <w:sz w:val="20"/>
          <w:szCs w:val="20"/>
        </w:rPr>
        <w:t xml:space="preserve">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w:t>
      </w:r>
      <w:r w:rsidR="005E651B" w:rsidRPr="00953A8B">
        <w:rPr>
          <w:rFonts w:ascii="Arial" w:hAnsi="Arial" w:cs="Arial"/>
          <w:b/>
          <w:bCs/>
          <w:sz w:val="20"/>
          <w:szCs w:val="20"/>
        </w:rPr>
        <w:t>£</w:t>
      </w:r>
      <w:r w:rsidR="00953A8B" w:rsidRPr="00953A8B">
        <w:rPr>
          <w:rFonts w:ascii="Arial" w:hAnsi="Arial" w:cs="Arial"/>
          <w:b/>
          <w:bCs/>
          <w:sz w:val="20"/>
          <w:szCs w:val="20"/>
        </w:rPr>
        <w:t>2.521M</w:t>
      </w:r>
      <w:r w:rsidR="005E651B" w:rsidRPr="005E651B">
        <w:rPr>
          <w:rFonts w:ascii="Arial" w:hAnsi="Arial" w:cs="Arial"/>
          <w:sz w:val="20"/>
          <w:szCs w:val="20"/>
        </w:rPr>
        <w:t xml:space="preserve"> </w:t>
      </w:r>
      <w:r w:rsidRPr="00ED500A">
        <w:rPr>
          <w:rFonts w:ascii="Arial" w:hAnsi="Arial" w:cs="Arial"/>
          <w:sz w:val="20"/>
          <w:szCs w:val="20"/>
        </w:rPr>
        <w:t>in aggregate.</w:t>
      </w:r>
    </w:p>
    <w:p w14:paraId="7C613721"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1.4.3</w:t>
      </w:r>
      <w:r w:rsidR="003F1F30">
        <w:t xml:space="preserve">      </w:t>
      </w:r>
      <w:r w:rsidRPr="00ED500A">
        <w:rPr>
          <w:rFonts w:ascii="Arial" w:hAnsi="Arial" w:cs="Arial"/>
          <w:sz w:val="20"/>
          <w:szCs w:val="20"/>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88CE207" w14:textId="77777777" w:rsidR="00ED500A" w:rsidRPr="00ED500A" w:rsidRDefault="00ED500A" w:rsidP="00ED500A">
      <w:pPr>
        <w:rPr>
          <w:rFonts w:ascii="Arial" w:hAnsi="Arial" w:cs="Arial"/>
          <w:sz w:val="20"/>
          <w:szCs w:val="20"/>
        </w:rPr>
      </w:pPr>
      <w:r w:rsidRPr="00ED500A">
        <w:rPr>
          <w:rFonts w:ascii="Arial" w:hAnsi="Arial" w:cs="Arial"/>
          <w:sz w:val="20"/>
          <w:szCs w:val="20"/>
        </w:rPr>
        <w:t>1.5</w:t>
      </w:r>
      <w:r w:rsidR="003F1F30">
        <w:t xml:space="preserve">      </w:t>
      </w:r>
      <w:r w:rsidRPr="00ED500A">
        <w:rPr>
          <w:rFonts w:ascii="Arial" w:hAnsi="Arial" w:cs="Arial"/>
          <w:sz w:val="20"/>
          <w:szCs w:val="20"/>
        </w:rPr>
        <w:t>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FC7F5E5" w14:textId="77777777" w:rsidR="00ED500A" w:rsidRPr="00ED500A" w:rsidRDefault="00ED500A" w:rsidP="00ED500A">
      <w:pPr>
        <w:rPr>
          <w:rFonts w:ascii="Arial" w:hAnsi="Arial" w:cs="Arial"/>
          <w:sz w:val="20"/>
          <w:szCs w:val="20"/>
        </w:rPr>
      </w:pPr>
      <w:r w:rsidRPr="00ED500A">
        <w:rPr>
          <w:rFonts w:ascii="Arial" w:hAnsi="Arial" w:cs="Arial"/>
          <w:sz w:val="20"/>
          <w:szCs w:val="20"/>
        </w:rPr>
        <w:t>1.6</w:t>
      </w:r>
      <w:r w:rsidR="003F1F30">
        <w:t xml:space="preserve">      </w:t>
      </w:r>
      <w:r w:rsidRPr="00ED500A">
        <w:rPr>
          <w:rFonts w:ascii="Arial" w:hAnsi="Arial" w:cs="Arial"/>
          <w:sz w:val="20"/>
          <w:szCs w:val="20"/>
        </w:rPr>
        <w:t>Clause 1.5 shall not exclude or limit the Contractor's right under this Contract to claim for the Charges.</w:t>
      </w:r>
    </w:p>
    <w:p w14:paraId="05311362" w14:textId="77777777" w:rsidR="00ED500A" w:rsidRPr="003F1F30" w:rsidRDefault="00ED500A" w:rsidP="00ED500A">
      <w:pPr>
        <w:rPr>
          <w:rFonts w:ascii="Arial" w:hAnsi="Arial" w:cs="Arial"/>
          <w:b/>
          <w:bCs/>
          <w:sz w:val="20"/>
          <w:szCs w:val="20"/>
        </w:rPr>
      </w:pPr>
      <w:r w:rsidRPr="003F1F30">
        <w:rPr>
          <w:rFonts w:ascii="Arial" w:hAnsi="Arial" w:cs="Arial"/>
          <w:b/>
          <w:bCs/>
          <w:sz w:val="20"/>
          <w:szCs w:val="20"/>
        </w:rPr>
        <w:lastRenderedPageBreak/>
        <w:t>Consequential loss</w:t>
      </w:r>
    </w:p>
    <w:p w14:paraId="46C14B20" w14:textId="77777777" w:rsidR="00ED500A" w:rsidRPr="00ED500A" w:rsidRDefault="00ED500A" w:rsidP="00ED500A">
      <w:pPr>
        <w:rPr>
          <w:rFonts w:ascii="Arial" w:hAnsi="Arial" w:cs="Arial"/>
          <w:sz w:val="20"/>
          <w:szCs w:val="20"/>
        </w:rPr>
      </w:pPr>
      <w:r w:rsidRPr="00ED500A">
        <w:rPr>
          <w:rFonts w:ascii="Arial" w:hAnsi="Arial" w:cs="Arial"/>
          <w:sz w:val="20"/>
          <w:szCs w:val="20"/>
        </w:rPr>
        <w:t>1.7</w:t>
      </w:r>
      <w:r w:rsidR="003F1F30">
        <w:t xml:space="preserve">      </w:t>
      </w:r>
      <w:r w:rsidRPr="00ED500A">
        <w:rPr>
          <w:rFonts w:ascii="Arial" w:hAnsi="Arial" w:cs="Arial"/>
          <w:sz w:val="20"/>
          <w:szCs w:val="20"/>
        </w:rPr>
        <w:t>Subject to Clauses 1.2, 1.3 and 1.8, neither Party shall be liable to the other Party or to any third party, whether in contract (including under any warranty), in tort (including negligence), under statute or otherwise for or in respect of:</w:t>
      </w:r>
    </w:p>
    <w:p w14:paraId="006BF122"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1.7.1</w:t>
      </w:r>
      <w:r w:rsidR="003F1F30">
        <w:t xml:space="preserve">      </w:t>
      </w:r>
      <w:r w:rsidRPr="00ED500A">
        <w:rPr>
          <w:rFonts w:ascii="Arial" w:hAnsi="Arial" w:cs="Arial"/>
          <w:sz w:val="20"/>
          <w:szCs w:val="20"/>
        </w:rPr>
        <w:t>indirect loss or damage;</w:t>
      </w:r>
    </w:p>
    <w:p w14:paraId="480E450C"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1.7.2</w:t>
      </w:r>
      <w:r w:rsidR="003F1F30">
        <w:t xml:space="preserve">      </w:t>
      </w:r>
      <w:r w:rsidRPr="00ED500A">
        <w:rPr>
          <w:rFonts w:ascii="Arial" w:hAnsi="Arial" w:cs="Arial"/>
          <w:sz w:val="20"/>
          <w:szCs w:val="20"/>
        </w:rPr>
        <w:t>special loss or damage;</w:t>
      </w:r>
    </w:p>
    <w:p w14:paraId="667BB0D4"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1.7.3</w:t>
      </w:r>
      <w:r w:rsidR="003F1F30">
        <w:t xml:space="preserve">      </w:t>
      </w:r>
      <w:r w:rsidRPr="00ED500A">
        <w:rPr>
          <w:rFonts w:ascii="Arial" w:hAnsi="Arial" w:cs="Arial"/>
          <w:sz w:val="20"/>
          <w:szCs w:val="20"/>
        </w:rPr>
        <w:t>consequential loss or damage;</w:t>
      </w:r>
    </w:p>
    <w:p w14:paraId="323BA7A8"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1.7.4</w:t>
      </w:r>
      <w:r w:rsidR="003F1F30">
        <w:t xml:space="preserve">      </w:t>
      </w:r>
      <w:r w:rsidRPr="00ED500A">
        <w:rPr>
          <w:rFonts w:ascii="Arial" w:hAnsi="Arial" w:cs="Arial"/>
          <w:sz w:val="20"/>
          <w:szCs w:val="20"/>
        </w:rPr>
        <w:t>loss of profits (whether direct or indirect);</w:t>
      </w:r>
    </w:p>
    <w:p w14:paraId="359BAE6D"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1.7.5</w:t>
      </w:r>
      <w:r w:rsidR="003F1F30">
        <w:t xml:space="preserve">      </w:t>
      </w:r>
      <w:r w:rsidRPr="00ED500A">
        <w:rPr>
          <w:rFonts w:ascii="Arial" w:hAnsi="Arial" w:cs="Arial"/>
          <w:sz w:val="20"/>
          <w:szCs w:val="20"/>
        </w:rPr>
        <w:t>loss of turnover (whether direct or indirect);</w:t>
      </w:r>
    </w:p>
    <w:p w14:paraId="307F4FA2"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1.7.6</w:t>
      </w:r>
      <w:r w:rsidR="003F1F30">
        <w:t xml:space="preserve">      </w:t>
      </w:r>
      <w:r w:rsidRPr="00ED500A">
        <w:rPr>
          <w:rFonts w:ascii="Arial" w:hAnsi="Arial" w:cs="Arial"/>
          <w:sz w:val="20"/>
          <w:szCs w:val="20"/>
        </w:rPr>
        <w:t>loss of business opportunities (whether direct or indirect); or</w:t>
      </w:r>
    </w:p>
    <w:p w14:paraId="1F1ED0FF"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1.7.7</w:t>
      </w:r>
      <w:r w:rsidR="003F1F30">
        <w:t xml:space="preserve">      </w:t>
      </w:r>
      <w:r w:rsidRPr="00ED500A">
        <w:rPr>
          <w:rFonts w:ascii="Arial" w:hAnsi="Arial" w:cs="Arial"/>
          <w:sz w:val="20"/>
          <w:szCs w:val="20"/>
        </w:rPr>
        <w:t>damage to goodwill (whether direct or indirect),</w:t>
      </w:r>
    </w:p>
    <w:p w14:paraId="7C4483A0" w14:textId="77777777" w:rsidR="00ED500A" w:rsidRPr="00ED500A" w:rsidRDefault="00ED500A" w:rsidP="00ED500A">
      <w:pPr>
        <w:rPr>
          <w:rFonts w:ascii="Arial" w:hAnsi="Arial" w:cs="Arial"/>
          <w:sz w:val="20"/>
          <w:szCs w:val="20"/>
        </w:rPr>
      </w:pPr>
      <w:r w:rsidRPr="00ED500A">
        <w:rPr>
          <w:rFonts w:ascii="Arial" w:hAnsi="Arial" w:cs="Arial"/>
          <w:sz w:val="20"/>
          <w:szCs w:val="20"/>
        </w:rPr>
        <w:t>even if that Party was aware of the possibility of such loss or damage to the other Party.</w:t>
      </w:r>
    </w:p>
    <w:p w14:paraId="6B7A8BC8" w14:textId="77777777" w:rsidR="00ED500A" w:rsidRPr="00ED500A" w:rsidRDefault="00ED500A" w:rsidP="00ED500A">
      <w:pPr>
        <w:rPr>
          <w:rFonts w:ascii="Arial" w:hAnsi="Arial" w:cs="Arial"/>
          <w:sz w:val="20"/>
          <w:szCs w:val="20"/>
        </w:rPr>
      </w:pPr>
      <w:r w:rsidRPr="00ED500A">
        <w:rPr>
          <w:rFonts w:ascii="Arial" w:hAnsi="Arial" w:cs="Arial"/>
          <w:sz w:val="20"/>
          <w:szCs w:val="20"/>
        </w:rPr>
        <w:t>1.8</w:t>
      </w:r>
      <w:r w:rsidR="003F1F30">
        <w:t xml:space="preserve">      </w:t>
      </w:r>
      <w:r w:rsidRPr="00ED500A">
        <w:rPr>
          <w:rFonts w:ascii="Arial" w:hAnsi="Arial" w:cs="Arial"/>
          <w:sz w:val="20"/>
          <w:szCs w:val="20"/>
        </w:rPr>
        <w:t>The provisions of Clause 1.7 shall not restrict the Authority's ability to recover any of the following losses incurred by the Authority to the extent that they arise as a result of a Default by the Contractor:</w:t>
      </w:r>
    </w:p>
    <w:p w14:paraId="57515ED5"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1.8.1</w:t>
      </w:r>
      <w:r w:rsidR="003F1F30">
        <w:t xml:space="preserve">      </w:t>
      </w:r>
      <w:r w:rsidRPr="00ED500A">
        <w:rPr>
          <w:rFonts w:ascii="Arial" w:hAnsi="Arial" w:cs="Arial"/>
          <w:sz w:val="20"/>
          <w:szCs w:val="20"/>
        </w:rPr>
        <w:t>any additional operational and administrative costs and expenses arising from the Contractor's Default, including any costs paid or payable by the Authority:</w:t>
      </w:r>
    </w:p>
    <w:p w14:paraId="67AFEFDD" w14:textId="77777777" w:rsidR="00ED500A" w:rsidRPr="00ED500A" w:rsidRDefault="00ED500A" w:rsidP="003F1F30">
      <w:pPr>
        <w:ind w:left="993"/>
        <w:rPr>
          <w:rFonts w:ascii="Arial" w:hAnsi="Arial" w:cs="Arial"/>
          <w:sz w:val="20"/>
          <w:szCs w:val="20"/>
        </w:rPr>
      </w:pPr>
      <w:r w:rsidRPr="00ED500A">
        <w:rPr>
          <w:rFonts w:ascii="Arial" w:hAnsi="Arial" w:cs="Arial"/>
          <w:sz w:val="20"/>
          <w:szCs w:val="20"/>
        </w:rPr>
        <w:t>1.8.1.1</w:t>
      </w:r>
      <w:r w:rsidR="003F1F30">
        <w:t xml:space="preserve">      </w:t>
      </w:r>
      <w:r w:rsidRPr="00ED500A">
        <w:rPr>
          <w:rFonts w:ascii="Arial" w:hAnsi="Arial" w:cs="Arial"/>
          <w:sz w:val="20"/>
          <w:szCs w:val="20"/>
        </w:rPr>
        <w:t>to any third party;</w:t>
      </w:r>
    </w:p>
    <w:p w14:paraId="6391CCFF" w14:textId="77777777" w:rsidR="00ED500A" w:rsidRPr="00ED500A" w:rsidRDefault="00ED500A" w:rsidP="003F1F30">
      <w:pPr>
        <w:ind w:left="993"/>
        <w:rPr>
          <w:rFonts w:ascii="Arial" w:hAnsi="Arial" w:cs="Arial"/>
          <w:sz w:val="20"/>
          <w:szCs w:val="20"/>
        </w:rPr>
      </w:pPr>
      <w:r w:rsidRPr="00ED500A">
        <w:rPr>
          <w:rFonts w:ascii="Arial" w:hAnsi="Arial" w:cs="Arial"/>
          <w:sz w:val="20"/>
          <w:szCs w:val="20"/>
        </w:rPr>
        <w:t>1.8.1.2</w:t>
      </w:r>
      <w:r w:rsidR="003F1F30">
        <w:t xml:space="preserve">      </w:t>
      </w:r>
      <w:r w:rsidRPr="00ED500A">
        <w:rPr>
          <w:rFonts w:ascii="Arial" w:hAnsi="Arial" w:cs="Arial"/>
          <w:sz w:val="20"/>
          <w:szCs w:val="20"/>
        </w:rPr>
        <w:t>for putting in place workarounds for the Contractor Deliverables and other deliverables that are reliant on the Contractor Deliverables; and</w:t>
      </w:r>
    </w:p>
    <w:p w14:paraId="6B723910" w14:textId="77777777" w:rsidR="00ED500A" w:rsidRPr="00ED500A" w:rsidRDefault="00ED500A" w:rsidP="003F1F30">
      <w:pPr>
        <w:ind w:left="993"/>
        <w:rPr>
          <w:rFonts w:ascii="Arial" w:hAnsi="Arial" w:cs="Arial"/>
          <w:sz w:val="20"/>
          <w:szCs w:val="20"/>
        </w:rPr>
      </w:pPr>
      <w:r w:rsidRPr="00ED500A">
        <w:rPr>
          <w:rFonts w:ascii="Arial" w:hAnsi="Arial" w:cs="Arial"/>
          <w:sz w:val="20"/>
          <w:szCs w:val="20"/>
        </w:rPr>
        <w:t>1.8.1.3</w:t>
      </w:r>
      <w:r w:rsidR="003F1F30">
        <w:t xml:space="preserve">      </w:t>
      </w:r>
      <w:r w:rsidRPr="00ED500A">
        <w:rPr>
          <w:rFonts w:ascii="Arial" w:hAnsi="Arial" w:cs="Arial"/>
          <w:sz w:val="20"/>
          <w:szCs w:val="20"/>
        </w:rPr>
        <w:t>relating to time spent by or on behalf of the Authority in dealing with the consequences of the Default;</w:t>
      </w:r>
    </w:p>
    <w:p w14:paraId="18040045"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1.8.2</w:t>
      </w:r>
      <w:r w:rsidR="003F1F30">
        <w:t xml:space="preserve">      </w:t>
      </w:r>
      <w:r w:rsidRPr="00ED500A">
        <w:rPr>
          <w:rFonts w:ascii="Arial" w:hAnsi="Arial" w:cs="Arial"/>
          <w:sz w:val="20"/>
          <w:szCs w:val="20"/>
        </w:rPr>
        <w:t>any or all wasted expenditure and losses incurred by the Authority arising from the Contractor's Default, including wasted management time;</w:t>
      </w:r>
    </w:p>
    <w:p w14:paraId="6C8B0871"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1.8.3</w:t>
      </w:r>
      <w:r w:rsidR="003F1F30">
        <w:t xml:space="preserve">      </w:t>
      </w:r>
      <w:r w:rsidRPr="00ED500A">
        <w:rPr>
          <w:rFonts w:ascii="Arial" w:hAnsi="Arial" w:cs="Arial"/>
          <w:sz w:val="20"/>
          <w:szCs w:val="20"/>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CCFCBCA"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1.8.4</w:t>
      </w:r>
      <w:r w:rsidR="003F1F30">
        <w:t xml:space="preserve">      </w:t>
      </w:r>
      <w:r w:rsidRPr="00ED500A">
        <w:rPr>
          <w:rFonts w:ascii="Arial" w:hAnsi="Arial" w:cs="Arial"/>
          <w:sz w:val="20"/>
          <w:szCs w:val="20"/>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3AC9DE39"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1.8.5</w:t>
      </w:r>
      <w:r w:rsidR="003F1F30">
        <w:t xml:space="preserve">      </w:t>
      </w:r>
      <w:r w:rsidRPr="00ED500A">
        <w:rPr>
          <w:rFonts w:ascii="Arial" w:hAnsi="Arial" w:cs="Arial"/>
          <w:sz w:val="20"/>
          <w:szCs w:val="20"/>
        </w:rPr>
        <w:t>damage to the Authority's physical property and tangible assets, including damage under DEFCONs 76 (SC2) and 611 (SC2);</w:t>
      </w:r>
    </w:p>
    <w:p w14:paraId="6D5F0260"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1.8.6</w:t>
      </w:r>
      <w:r w:rsidR="003F1F30">
        <w:t xml:space="preserve">      </w:t>
      </w:r>
      <w:r w:rsidRPr="00ED500A">
        <w:rPr>
          <w:rFonts w:ascii="Arial" w:hAnsi="Arial" w:cs="Arial"/>
          <w:sz w:val="20"/>
          <w:szCs w:val="20"/>
        </w:rPr>
        <w:t>costs, expenses and charges arising from, or any damages, account of profits or other award made for, infringement of any third-party Intellectual Property Rights or breach of any obligations of confidence;</w:t>
      </w:r>
    </w:p>
    <w:p w14:paraId="70EB1CA0"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1.8.7</w:t>
      </w:r>
      <w:r w:rsidR="003F1F30">
        <w:t xml:space="preserve">      </w:t>
      </w:r>
      <w:r w:rsidRPr="00ED500A">
        <w:rPr>
          <w:rFonts w:ascii="Arial" w:hAnsi="Arial" w:cs="Arial"/>
          <w:sz w:val="20"/>
          <w:szCs w:val="20"/>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06B61ACB"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lastRenderedPageBreak/>
        <w:t>1.8.8</w:t>
      </w:r>
      <w:r w:rsidR="003F1F30">
        <w:t xml:space="preserve">      </w:t>
      </w:r>
      <w:r w:rsidRPr="00ED500A">
        <w:rPr>
          <w:rFonts w:ascii="Arial" w:hAnsi="Arial" w:cs="Arial"/>
          <w:sz w:val="20"/>
          <w:szCs w:val="20"/>
        </w:rPr>
        <w:t>any fine or penalty incurred by the Authority pursuant to Law and any costs incurred by the Authority in defending any proceedings which result in such fine or penalty; or</w:t>
      </w:r>
    </w:p>
    <w:p w14:paraId="132E8A2E"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1.8.9</w:t>
      </w:r>
      <w:r w:rsidR="003F1F30">
        <w:t xml:space="preserve">      </w:t>
      </w:r>
      <w:r w:rsidRPr="00ED500A">
        <w:rPr>
          <w:rFonts w:ascii="Arial" w:hAnsi="Arial" w:cs="Arial"/>
          <w:sz w:val="20"/>
          <w:szCs w:val="20"/>
        </w:rPr>
        <w:t>any savings, discounts or price reductions during the Term and any option period or agreed extension to the Term committed to by the Contractor pursuant to this Contract.</w:t>
      </w:r>
    </w:p>
    <w:p w14:paraId="7B77D588" w14:textId="77777777" w:rsidR="00ED500A" w:rsidRPr="003F1F30" w:rsidRDefault="00ED500A" w:rsidP="00ED500A">
      <w:pPr>
        <w:rPr>
          <w:rFonts w:ascii="Arial" w:hAnsi="Arial" w:cs="Arial"/>
          <w:b/>
          <w:bCs/>
          <w:sz w:val="20"/>
          <w:szCs w:val="20"/>
        </w:rPr>
      </w:pPr>
      <w:r w:rsidRPr="003F1F30">
        <w:rPr>
          <w:rFonts w:ascii="Arial" w:hAnsi="Arial" w:cs="Arial"/>
          <w:b/>
          <w:bCs/>
          <w:sz w:val="20"/>
          <w:szCs w:val="20"/>
        </w:rPr>
        <w:t>Invalidity</w:t>
      </w:r>
    </w:p>
    <w:p w14:paraId="3F47C5E8"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1.9</w:t>
      </w:r>
      <w:r w:rsidR="003F1F30">
        <w:t xml:space="preserve">      </w:t>
      </w:r>
      <w:r w:rsidRPr="00ED500A">
        <w:rPr>
          <w:rFonts w:ascii="Arial" w:hAnsi="Arial" w:cs="Arial"/>
          <w:sz w:val="20"/>
          <w:szCs w:val="20"/>
        </w:rPr>
        <w:t>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3F8026BB" w14:textId="77777777" w:rsidR="00ED500A" w:rsidRPr="003F1F30" w:rsidRDefault="00ED500A" w:rsidP="00ED500A">
      <w:pPr>
        <w:rPr>
          <w:rFonts w:ascii="Arial" w:hAnsi="Arial" w:cs="Arial"/>
          <w:b/>
          <w:bCs/>
          <w:sz w:val="20"/>
          <w:szCs w:val="20"/>
        </w:rPr>
      </w:pPr>
      <w:r w:rsidRPr="003F1F30">
        <w:rPr>
          <w:rFonts w:ascii="Arial" w:hAnsi="Arial" w:cs="Arial"/>
          <w:b/>
          <w:bCs/>
          <w:sz w:val="20"/>
          <w:szCs w:val="20"/>
        </w:rPr>
        <w:t>Third party claims or losses</w:t>
      </w:r>
    </w:p>
    <w:p w14:paraId="325A986B" w14:textId="77777777" w:rsidR="00ED500A" w:rsidRPr="00ED500A" w:rsidRDefault="00ED500A" w:rsidP="003F1F30">
      <w:pPr>
        <w:ind w:left="426"/>
        <w:rPr>
          <w:rFonts w:ascii="Arial" w:hAnsi="Arial" w:cs="Arial"/>
          <w:sz w:val="20"/>
          <w:szCs w:val="20"/>
        </w:rPr>
      </w:pPr>
      <w:r w:rsidRPr="00ED500A">
        <w:rPr>
          <w:rFonts w:ascii="Arial" w:hAnsi="Arial" w:cs="Arial"/>
          <w:sz w:val="20"/>
          <w:szCs w:val="20"/>
        </w:rPr>
        <w:t>1.10</w:t>
      </w:r>
      <w:r w:rsidR="003F1F30">
        <w:t xml:space="preserve">      </w:t>
      </w:r>
      <w:r w:rsidRPr="00ED500A">
        <w:rPr>
          <w:rFonts w:ascii="Arial" w:hAnsi="Arial" w:cs="Arial"/>
          <w:sz w:val="20"/>
          <w:szCs w:val="20"/>
        </w:rPr>
        <w:t>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8961B75" w14:textId="77777777" w:rsidR="00ED500A" w:rsidRPr="00ED500A" w:rsidRDefault="00ED500A" w:rsidP="003F1F30">
      <w:pPr>
        <w:ind w:left="993"/>
        <w:rPr>
          <w:rFonts w:ascii="Arial" w:hAnsi="Arial" w:cs="Arial"/>
          <w:sz w:val="20"/>
          <w:szCs w:val="20"/>
        </w:rPr>
      </w:pPr>
      <w:r w:rsidRPr="00ED500A">
        <w:rPr>
          <w:rFonts w:ascii="Arial" w:hAnsi="Arial" w:cs="Arial"/>
          <w:sz w:val="20"/>
          <w:szCs w:val="20"/>
        </w:rPr>
        <w:t>1.10.1</w:t>
      </w:r>
      <w:r w:rsidR="003F1F30">
        <w:t xml:space="preserve">      </w:t>
      </w:r>
      <w:r w:rsidRPr="00ED500A">
        <w:rPr>
          <w:rFonts w:ascii="Arial" w:hAnsi="Arial" w:cs="Arial"/>
          <w:sz w:val="20"/>
          <w:szCs w:val="20"/>
        </w:rPr>
        <w:t>arises naturally and ordinarily as a result of the Contractor's failure to provide the Contractor Deliverables or failure to perform any of its obligations under this Contract; and</w:t>
      </w:r>
    </w:p>
    <w:p w14:paraId="11A84880" w14:textId="77777777" w:rsidR="00ED500A" w:rsidRPr="00ED500A" w:rsidRDefault="00ED500A" w:rsidP="003F1F30">
      <w:pPr>
        <w:ind w:left="993"/>
        <w:rPr>
          <w:rFonts w:ascii="Arial" w:hAnsi="Arial" w:cs="Arial"/>
          <w:sz w:val="20"/>
          <w:szCs w:val="20"/>
        </w:rPr>
      </w:pPr>
      <w:r w:rsidRPr="00ED500A">
        <w:rPr>
          <w:rFonts w:ascii="Arial" w:hAnsi="Arial" w:cs="Arial"/>
          <w:sz w:val="20"/>
          <w:szCs w:val="20"/>
        </w:rPr>
        <w:t>1.10.2</w:t>
      </w:r>
      <w:r w:rsidR="003F1F30">
        <w:t xml:space="preserve">      </w:t>
      </w:r>
      <w:r w:rsidRPr="00ED500A">
        <w:rPr>
          <w:rFonts w:ascii="Arial" w:hAnsi="Arial" w:cs="Arial"/>
          <w:sz w:val="20"/>
          <w:szCs w:val="20"/>
        </w:rPr>
        <w:t>is a type of claim or loss that would have been recoverable under this Contract if the third party were a party to this Contract (whether as the Authority or the Contractor), such claim to be construed as direct losses for the purpose of this Contract.</w:t>
      </w:r>
    </w:p>
    <w:p w14:paraId="7FF206AD" w14:textId="77777777" w:rsidR="00ED500A" w:rsidRPr="003F1F30" w:rsidRDefault="00ED500A" w:rsidP="00ED500A">
      <w:pPr>
        <w:rPr>
          <w:rFonts w:ascii="Arial" w:hAnsi="Arial" w:cs="Arial"/>
          <w:b/>
          <w:bCs/>
          <w:sz w:val="20"/>
          <w:szCs w:val="20"/>
        </w:rPr>
      </w:pPr>
      <w:r w:rsidRPr="003F1F30">
        <w:rPr>
          <w:rFonts w:ascii="Arial" w:hAnsi="Arial" w:cs="Arial"/>
          <w:b/>
          <w:bCs/>
          <w:sz w:val="20"/>
          <w:szCs w:val="20"/>
        </w:rPr>
        <w:t>No double recovery</w:t>
      </w:r>
    </w:p>
    <w:p w14:paraId="02F71330" w14:textId="77777777" w:rsidR="00ED500A" w:rsidRPr="00ED500A" w:rsidRDefault="00ED500A" w:rsidP="00ED500A">
      <w:pPr>
        <w:rPr>
          <w:rFonts w:ascii="Arial" w:hAnsi="Arial" w:cs="Arial"/>
          <w:sz w:val="20"/>
          <w:szCs w:val="20"/>
        </w:rPr>
      </w:pPr>
      <w:r w:rsidRPr="00ED500A">
        <w:rPr>
          <w:rFonts w:ascii="Arial" w:hAnsi="Arial" w:cs="Arial"/>
          <w:sz w:val="20"/>
          <w:szCs w:val="20"/>
        </w:rPr>
        <w:t>1.11</w:t>
      </w:r>
      <w:r w:rsidR="003F1F30">
        <w:t xml:space="preserve">      </w:t>
      </w:r>
      <w:r w:rsidRPr="00ED500A">
        <w:rPr>
          <w:rFonts w:ascii="Arial" w:hAnsi="Arial" w:cs="Arial"/>
          <w:sz w:val="20"/>
          <w:szCs w:val="20"/>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BA7C11F" w14:textId="77777777" w:rsidR="00ED500A" w:rsidRPr="00ED500A" w:rsidRDefault="00ED500A" w:rsidP="00ED500A">
      <w:pPr>
        <w:rPr>
          <w:rFonts w:ascii="Arial" w:hAnsi="Arial" w:cs="Arial"/>
          <w:sz w:val="20"/>
          <w:szCs w:val="20"/>
        </w:rPr>
      </w:pPr>
      <w:r w:rsidRPr="00ED500A">
        <w:rPr>
          <w:rFonts w:ascii="Arial" w:hAnsi="Arial" w:cs="Arial"/>
          <w:sz w:val="20"/>
          <w:szCs w:val="20"/>
        </w:rPr>
        <w:t> </w:t>
      </w:r>
    </w:p>
    <w:sectPr w:rsidR="00ED500A" w:rsidRPr="00ED500A" w:rsidSect="00265C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D4F6" w14:textId="77777777" w:rsidR="00937114" w:rsidRDefault="00937114" w:rsidP="00953A8B">
      <w:pPr>
        <w:spacing w:after="0" w:line="240" w:lineRule="auto"/>
      </w:pPr>
      <w:r>
        <w:separator/>
      </w:r>
    </w:p>
  </w:endnote>
  <w:endnote w:type="continuationSeparator" w:id="0">
    <w:p w14:paraId="5CA01BBD" w14:textId="77777777" w:rsidR="00937114" w:rsidRDefault="00937114" w:rsidP="0095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0B67" w14:textId="58286149" w:rsidR="00953A8B" w:rsidRDefault="00953A8B">
    <w:pPr>
      <w:pStyle w:val="Footer"/>
    </w:pPr>
    <w:r>
      <w:rPr>
        <w:noProof/>
      </w:rPr>
      <mc:AlternateContent>
        <mc:Choice Requires="wps">
          <w:drawing>
            <wp:anchor distT="0" distB="0" distL="0" distR="0" simplePos="0" relativeHeight="251662336" behindDoc="0" locked="0" layoutInCell="1" allowOverlap="1" wp14:anchorId="202906C3" wp14:editId="6878DB85">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BBEC6" w14:textId="684299DA"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2906C3"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4B2BBEC6" w14:textId="684299DA"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DEBD" w14:textId="7C8B852E" w:rsidR="00953A8B" w:rsidRDefault="00953A8B">
    <w:pPr>
      <w:pStyle w:val="Footer"/>
    </w:pPr>
    <w:r>
      <w:rPr>
        <w:noProof/>
      </w:rPr>
      <mc:AlternateContent>
        <mc:Choice Requires="wps">
          <w:drawing>
            <wp:anchor distT="0" distB="0" distL="0" distR="0" simplePos="0" relativeHeight="251663360" behindDoc="0" locked="0" layoutInCell="1" allowOverlap="1" wp14:anchorId="0F811F23" wp14:editId="766C9B75">
              <wp:simplePos x="914400" y="1006792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7456D" w14:textId="0C0F08C5"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811F23"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0157456D" w14:textId="0C0F08C5"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C8BE" w14:textId="101A7A5B" w:rsidR="00953A8B" w:rsidRDefault="00953A8B">
    <w:pPr>
      <w:pStyle w:val="Footer"/>
    </w:pPr>
    <w:r>
      <w:rPr>
        <w:noProof/>
      </w:rPr>
      <mc:AlternateContent>
        <mc:Choice Requires="wps">
          <w:drawing>
            <wp:anchor distT="0" distB="0" distL="0" distR="0" simplePos="0" relativeHeight="251661312" behindDoc="0" locked="0" layoutInCell="1" allowOverlap="1" wp14:anchorId="62D4B51F" wp14:editId="7BE0DF0E">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F3057" w14:textId="66EE5B89"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D4B51F"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66FF3057" w14:textId="66EE5B89"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9CE6" w14:textId="77777777" w:rsidR="00937114" w:rsidRDefault="00937114" w:rsidP="00953A8B">
      <w:pPr>
        <w:spacing w:after="0" w:line="240" w:lineRule="auto"/>
      </w:pPr>
      <w:r>
        <w:separator/>
      </w:r>
    </w:p>
  </w:footnote>
  <w:footnote w:type="continuationSeparator" w:id="0">
    <w:p w14:paraId="7084A7A3" w14:textId="77777777" w:rsidR="00937114" w:rsidRDefault="00937114" w:rsidP="00953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D1B0" w14:textId="26AFA371" w:rsidR="00953A8B" w:rsidRDefault="00953A8B">
    <w:pPr>
      <w:pStyle w:val="Header"/>
    </w:pPr>
    <w:r>
      <w:rPr>
        <w:noProof/>
      </w:rPr>
      <mc:AlternateContent>
        <mc:Choice Requires="wps">
          <w:drawing>
            <wp:anchor distT="0" distB="0" distL="0" distR="0" simplePos="0" relativeHeight="251659264" behindDoc="0" locked="0" layoutInCell="1" allowOverlap="1" wp14:anchorId="3B1DDC60" wp14:editId="3B2AF8B8">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DAF1" w14:textId="7E782EEE"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1DDC60"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fill o:detectmouseclick="t"/>
              <v:textbox style="mso-fit-shape-to-text:t" inset="0,0,0,0">
                <w:txbxContent>
                  <w:p w14:paraId="6B4CDAF1" w14:textId="7E782EEE"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F9C7" w14:textId="2B4C066F" w:rsidR="00953A8B" w:rsidRDefault="00953A8B">
    <w:pPr>
      <w:pStyle w:val="Header"/>
    </w:pPr>
    <w:r>
      <w:rPr>
        <w:noProof/>
      </w:rPr>
      <mc:AlternateContent>
        <mc:Choice Requires="wps">
          <w:drawing>
            <wp:anchor distT="0" distB="0" distL="0" distR="0" simplePos="0" relativeHeight="251660288" behindDoc="0" locked="0" layoutInCell="1" allowOverlap="1" wp14:anchorId="1E9F987C" wp14:editId="37E83405">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06EA4" w14:textId="0C2175C7"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9F987C"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5A806EA4" w14:textId="0C2175C7"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55A" w14:textId="4A7D6F9D" w:rsidR="00953A8B" w:rsidRDefault="00953A8B">
    <w:pPr>
      <w:pStyle w:val="Header"/>
    </w:pPr>
    <w:r>
      <w:rPr>
        <w:noProof/>
      </w:rPr>
      <mc:AlternateContent>
        <mc:Choice Requires="wps">
          <w:drawing>
            <wp:anchor distT="0" distB="0" distL="0" distR="0" simplePos="0" relativeHeight="251658240" behindDoc="0" locked="0" layoutInCell="1" allowOverlap="1" wp14:anchorId="492FB2AD" wp14:editId="22BC219E">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7DBBBC" w14:textId="1397D2AC"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2FB2AD"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157DBBBC" w14:textId="1397D2AC" w:rsidR="00953A8B" w:rsidRPr="00953A8B" w:rsidRDefault="00953A8B">
                    <w:pPr>
                      <w:rPr>
                        <w:rFonts w:ascii="Arial" w:eastAsia="Arial" w:hAnsi="Arial" w:cs="Arial"/>
                        <w:color w:val="000000"/>
                        <w:sz w:val="24"/>
                        <w:szCs w:val="24"/>
                      </w:rPr>
                    </w:pPr>
                    <w:r w:rsidRPr="00953A8B">
                      <w:rPr>
                        <w:rFonts w:ascii="Arial" w:eastAsia="Arial" w:hAnsi="Arial" w:cs="Arial"/>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0A"/>
    <w:rsid w:val="00174656"/>
    <w:rsid w:val="00265CE6"/>
    <w:rsid w:val="003F1F30"/>
    <w:rsid w:val="005E651B"/>
    <w:rsid w:val="006D3805"/>
    <w:rsid w:val="00745A00"/>
    <w:rsid w:val="0076235C"/>
    <w:rsid w:val="008039E1"/>
    <w:rsid w:val="00937114"/>
    <w:rsid w:val="00953A8B"/>
    <w:rsid w:val="00B676AC"/>
    <w:rsid w:val="00D376A7"/>
    <w:rsid w:val="00E57A16"/>
    <w:rsid w:val="00ED500A"/>
    <w:rsid w:val="00F6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F059"/>
  <w15:docId w15:val="{EE8D2AC8-5487-4D47-813A-A9A2DA87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65CE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D500A"/>
    <w:pPr>
      <w:spacing w:after="0" w:line="240" w:lineRule="auto"/>
    </w:pPr>
    <w:rPr>
      <w:rFonts w:ascii="Segoe UI" w:hAnsi="Segoe UI" w:cs="Segoe UI"/>
      <w:sz w:val="18"/>
      <w:szCs w:val="18"/>
    </w:rPr>
  </w:style>
  <w:style w:type="character" w:customStyle="1" w:styleId="BalloonTextChar">
    <w:name w:val="Balloon Text Char"/>
    <w:link w:val="BalloonText"/>
    <w:rsid w:val="00ED500A"/>
    <w:rPr>
      <w:rFonts w:ascii="Segoe UI" w:hAnsi="Segoe UI" w:cs="Segoe UI"/>
      <w:sz w:val="18"/>
      <w:szCs w:val="18"/>
    </w:rPr>
  </w:style>
  <w:style w:type="paragraph" w:styleId="Header">
    <w:name w:val="header"/>
    <w:basedOn w:val="Normal"/>
    <w:link w:val="HeaderChar"/>
    <w:rsid w:val="00953A8B"/>
    <w:pPr>
      <w:tabs>
        <w:tab w:val="center" w:pos="4513"/>
        <w:tab w:val="right" w:pos="9026"/>
      </w:tabs>
      <w:spacing w:after="0" w:line="240" w:lineRule="auto"/>
    </w:pPr>
  </w:style>
  <w:style w:type="character" w:customStyle="1" w:styleId="HeaderChar">
    <w:name w:val="Header Char"/>
    <w:basedOn w:val="DefaultParagraphFont"/>
    <w:link w:val="Header"/>
    <w:rsid w:val="00953A8B"/>
    <w:rPr>
      <w:sz w:val="22"/>
      <w:szCs w:val="22"/>
    </w:rPr>
  </w:style>
  <w:style w:type="paragraph" w:styleId="Footer">
    <w:name w:val="footer"/>
    <w:basedOn w:val="Normal"/>
    <w:link w:val="FooterChar"/>
    <w:rsid w:val="00953A8B"/>
    <w:pPr>
      <w:tabs>
        <w:tab w:val="center" w:pos="4513"/>
        <w:tab w:val="right" w:pos="9026"/>
      </w:tabs>
      <w:spacing w:after="0" w:line="240" w:lineRule="auto"/>
    </w:pPr>
  </w:style>
  <w:style w:type="character" w:customStyle="1" w:styleId="FooterChar">
    <w:name w:val="Footer Char"/>
    <w:basedOn w:val="DefaultParagraphFont"/>
    <w:link w:val="Footer"/>
    <w:rsid w:val="00953A8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8C79F9FA2834AB21300133FD86B11" ma:contentTypeVersion="" ma:contentTypeDescription="Create a new document." ma:contentTypeScope="" ma:versionID="4d90c8d4611a519c1b1c8df5a31d1600">
  <xsd:schema xmlns:xsd="http://www.w3.org/2001/XMLSchema" xmlns:xs="http://www.w3.org/2001/XMLSchema" xmlns:p="http://schemas.microsoft.com/office/2006/metadata/properties" xmlns:ns2="143b1d32-0bb3-4776-a1aa-9e6a36da2ce5" targetNamespace="http://schemas.microsoft.com/office/2006/metadata/properties" ma:root="true" ma:fieldsID="deb35f6c8280bc2b8bb5a26ea0e80e79" ns2:_="">
    <xsd:import namespace="143b1d32-0bb3-4776-a1aa-9e6a36da2c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1d32-0bb3-4776-a1aa-9e6a36da2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1B16F-E65A-4C67-925B-BC5B28EB6D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4C2005-7A10-4380-9D75-6E21F2A7A54F}">
  <ds:schemaRefs>
    <ds:schemaRef ds:uri="http://schemas.microsoft.com/sharepoint/v3/contenttype/forms"/>
  </ds:schemaRefs>
</ds:datastoreItem>
</file>

<file path=customXml/itemProps3.xml><?xml version="1.0" encoding="utf-8"?>
<ds:datastoreItem xmlns:ds="http://schemas.openxmlformats.org/officeDocument/2006/customXml" ds:itemID="{0E81F975-0DD4-4A50-A3DC-97266CE5DEF4}"/>
</file>

<file path=docProps/app.xml><?xml version="1.0" encoding="utf-8"?>
<Properties xmlns="http://schemas.openxmlformats.org/officeDocument/2006/extended-properties" xmlns:vt="http://schemas.openxmlformats.org/officeDocument/2006/docPropsVTypes">
  <Template>Normal</Template>
  <TotalTime>10</TotalTime>
  <Pages>4</Pages>
  <Words>1790</Words>
  <Characters>10206</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Daveridge, Samantha C2 (Def Comrcl-TS-Systems 3)</dc:creator>
  <cp:keywords/>
  <dc:description/>
  <cp:lastModifiedBy>Lewis, Kayleigh C2 (Army StratCen-Comrcl-Proc-HC-1)</cp:lastModifiedBy>
  <cp:revision>6</cp:revision>
  <dcterms:created xsi:type="dcterms:W3CDTF">2022-05-27T09:34:00Z</dcterms:created>
  <dcterms:modified xsi:type="dcterms:W3CDTF">2022-09-26T14:21:00Z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2022-09-20T12:16:34Z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56718ecb-6948-4085-90f9-266f2b125338</vt:lpwstr>
  </property>
  <property fmtid="{D5CDD505-2E9C-101B-9397-08002B2CF9AE}" pid="14" name="MSIP_Label_5e992740-1f89-4ed6-b51b-95a6d0136ac8_ContentBits">
    <vt:lpwstr>3</vt:lpwstr>
  </property>
  <property fmtid="{D5CDD505-2E9C-101B-9397-08002B2CF9AE}" pid="15" name="ContentTypeId">
    <vt:lpwstr>0x010100B5F8C79F9FA2834AB21300133FD86B11</vt:lpwstr>
  </property>
</Properties>
</file>