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9A2" w:rsidRDefault="00BC4122">
      <w:pPr>
        <w:pBdr>
          <w:top w:val="nil"/>
          <w:left w:val="nil"/>
          <w:bottom w:val="nil"/>
          <w:right w:val="nil"/>
          <w:between w:val="nil"/>
        </w:pBdr>
        <w:spacing w:after="199"/>
        <w:ind w:left="10" w:right="566" w:hanging="1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FRAMEWORK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</w:rPr>
        <w:t>SCHEDULE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</w:rPr>
        <w:t>4: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</w:rPr>
        <w:t>LETTER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</w:rPr>
        <w:t>OF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</w:rPr>
        <w:t>APPOINTMENT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</w:rPr>
        <w:t>AND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</w:rPr>
        <w:t>CALL-OFF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</w:rPr>
        <w:t>TERMS</w:t>
      </w:r>
      <w:r>
        <w:rPr>
          <w:rFonts w:ascii="Arial" w:eastAsia="Arial" w:hAnsi="Arial" w:cs="Arial"/>
          <w:color w:val="000000"/>
        </w:rPr>
        <w:t xml:space="preserve"> </w:t>
      </w:r>
    </w:p>
    <w:p w:rsidR="00C009A2" w:rsidRDefault="00BC4122">
      <w:pPr>
        <w:pStyle w:val="Heading3"/>
        <w:numPr>
          <w:ilvl w:val="2"/>
          <w:numId w:val="1"/>
        </w:numPr>
        <w:tabs>
          <w:tab w:val="left" w:pos="0"/>
        </w:tabs>
        <w:spacing w:after="148"/>
        <w:ind w:left="26" w:right="253"/>
      </w:pPr>
      <w:r>
        <w:t xml:space="preserve">Part 1:  Letter of Appointment </w:t>
      </w:r>
    </w:p>
    <w:p w:rsidR="00C009A2" w:rsidRDefault="00BC4122">
      <w:pPr>
        <w:pBdr>
          <w:top w:val="nil"/>
          <w:left w:val="nil"/>
          <w:bottom w:val="nil"/>
          <w:right w:val="nil"/>
          <w:between w:val="nil"/>
        </w:pBdr>
        <w:spacing w:after="80"/>
        <w:ind w:left="3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</w:rPr>
        <w:t xml:space="preserve"> </w:t>
      </w:r>
    </w:p>
    <w:p w:rsidR="00C009A2" w:rsidRDefault="00BC4122">
      <w:pPr>
        <w:pBdr>
          <w:top w:val="nil"/>
          <w:left w:val="nil"/>
          <w:bottom w:val="nil"/>
          <w:right w:val="nil"/>
          <w:between w:val="nil"/>
        </w:pBdr>
        <w:spacing w:after="69" w:line="266" w:lineRule="auto"/>
        <w:ind w:left="41" w:right="266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Dear Sirs</w:t>
      </w:r>
      <w:r>
        <w:rPr>
          <w:rFonts w:ascii="Arial" w:eastAsia="Arial" w:hAnsi="Arial" w:cs="Arial"/>
          <w:color w:val="000000"/>
        </w:rPr>
        <w:t xml:space="preserve"> </w:t>
      </w:r>
    </w:p>
    <w:p w:rsidR="00C009A2" w:rsidRDefault="00BC4122">
      <w:pPr>
        <w:pBdr>
          <w:top w:val="nil"/>
          <w:left w:val="nil"/>
          <w:bottom w:val="nil"/>
          <w:right w:val="nil"/>
          <w:between w:val="nil"/>
        </w:pBdr>
        <w:spacing w:after="76"/>
        <w:ind w:left="3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C009A2" w:rsidRDefault="00BC4122">
      <w:pPr>
        <w:pStyle w:val="Heading3"/>
        <w:numPr>
          <w:ilvl w:val="2"/>
          <w:numId w:val="1"/>
        </w:numPr>
        <w:tabs>
          <w:tab w:val="left" w:pos="0"/>
        </w:tabs>
        <w:ind w:left="26" w:right="253"/>
      </w:pPr>
      <w:r>
        <w:t>Letter of Appointment</w:t>
      </w:r>
      <w:r>
        <w:rPr>
          <w:b w:val="0"/>
          <w:sz w:val="22"/>
          <w:szCs w:val="22"/>
        </w:rPr>
        <w:t xml:space="preserve"> </w:t>
      </w:r>
    </w:p>
    <w:p w:rsidR="00C009A2" w:rsidRDefault="00BC4122">
      <w:pPr>
        <w:pBdr>
          <w:top w:val="nil"/>
          <w:left w:val="nil"/>
          <w:bottom w:val="nil"/>
          <w:right w:val="nil"/>
          <w:between w:val="nil"/>
        </w:pBdr>
        <w:spacing w:after="60"/>
        <w:ind w:left="3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C009A2" w:rsidRDefault="00BC4122">
      <w:pPr>
        <w:pBdr>
          <w:top w:val="nil"/>
          <w:left w:val="nil"/>
          <w:bottom w:val="nil"/>
          <w:right w:val="nil"/>
          <w:between w:val="nil"/>
        </w:pBdr>
        <w:spacing w:after="55" w:line="266" w:lineRule="auto"/>
        <w:ind w:left="41" w:right="266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This letter of Appointment is issued in accordance with the provisions of the Framework Agreement (RM6004) between CCS and the Supplier dated 7 July 2021.</w:t>
      </w:r>
      <w:r>
        <w:rPr>
          <w:rFonts w:ascii="Arial" w:eastAsia="Arial" w:hAnsi="Arial" w:cs="Arial"/>
          <w:color w:val="000000"/>
        </w:rPr>
        <w:t xml:space="preserve"> </w:t>
      </w:r>
    </w:p>
    <w:p w:rsidR="00C009A2" w:rsidRDefault="00BC4122">
      <w:pPr>
        <w:pBdr>
          <w:top w:val="nil"/>
          <w:left w:val="nil"/>
          <w:bottom w:val="nil"/>
          <w:right w:val="nil"/>
          <w:between w:val="nil"/>
        </w:pBdr>
        <w:spacing w:after="74" w:line="266" w:lineRule="auto"/>
        <w:ind w:left="41" w:right="266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Capitalised terms and expressions used in this letter have the same meanings as in the Call-Off Terms unless the context otherwise requires.</w:t>
      </w:r>
      <w:r>
        <w:rPr>
          <w:rFonts w:ascii="Arial" w:eastAsia="Arial" w:hAnsi="Arial" w:cs="Arial"/>
          <w:color w:val="000000"/>
        </w:rPr>
        <w:t xml:space="preserve"> </w:t>
      </w:r>
    </w:p>
    <w:p w:rsidR="00C009A2" w:rsidRDefault="00BC4122">
      <w:pPr>
        <w:pBdr>
          <w:top w:val="nil"/>
          <w:left w:val="nil"/>
          <w:bottom w:val="nil"/>
          <w:right w:val="nil"/>
          <w:between w:val="nil"/>
        </w:pBdr>
        <w:spacing w:after="0"/>
        <w:ind w:left="3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Style w:val="a5"/>
        <w:tblW w:w="888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7"/>
        <w:gridCol w:w="6045"/>
      </w:tblGrid>
      <w:tr w:rsidR="00C009A2">
        <w:trPr>
          <w:trHeight w:val="550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Order Number: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To be confirmed at Contract award</w:t>
            </w:r>
          </w:p>
        </w:tc>
      </w:tr>
      <w:tr w:rsidR="00C009A2">
        <w:trPr>
          <w:trHeight w:val="545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From: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Cabinet Office</w:t>
            </w:r>
          </w:p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("Customer") </w:t>
            </w:r>
          </w:p>
        </w:tc>
      </w:tr>
      <w:tr w:rsidR="00C009A2">
        <w:trPr>
          <w:trHeight w:val="547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Behavioural Insights Ltd</w:t>
            </w:r>
          </w:p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("Supplier") </w:t>
            </w:r>
          </w:p>
        </w:tc>
      </w:tr>
    </w:tbl>
    <w:p w:rsidR="00C009A2" w:rsidRDefault="00BC4122">
      <w:pPr>
        <w:pBdr>
          <w:top w:val="nil"/>
          <w:left w:val="nil"/>
          <w:bottom w:val="nil"/>
          <w:right w:val="nil"/>
          <w:between w:val="nil"/>
        </w:pBdr>
        <w:spacing w:after="0"/>
        <w:ind w:left="3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</w:rPr>
        <w:t xml:space="preserve"> </w:t>
      </w:r>
    </w:p>
    <w:tbl>
      <w:tblPr>
        <w:tblStyle w:val="a6"/>
        <w:tblW w:w="888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6"/>
        <w:gridCol w:w="6016"/>
      </w:tblGrid>
      <w:tr w:rsidR="00C009A2">
        <w:trPr>
          <w:trHeight w:val="550"/>
        </w:trPr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Effective Date: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02 August 2021</w:t>
            </w:r>
          </w:p>
        </w:tc>
      </w:tr>
      <w:tr w:rsidR="00C009A2">
        <w:trPr>
          <w:trHeight w:val="1253"/>
        </w:trPr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Expiry Date: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End date of Initial Period: 07 January 2022</w:t>
            </w:r>
          </w:p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7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There is no option to extend</w:t>
            </w:r>
          </w:p>
          <w:p w:rsidR="00C009A2" w:rsidRDefault="00C00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C009A2" w:rsidRDefault="00BC4122">
      <w:pPr>
        <w:pBdr>
          <w:top w:val="nil"/>
          <w:left w:val="nil"/>
          <w:bottom w:val="nil"/>
          <w:right w:val="nil"/>
          <w:between w:val="nil"/>
        </w:pBdr>
        <w:spacing w:after="0"/>
        <w:ind w:left="3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</w:rPr>
        <w:t xml:space="preserve"> </w:t>
      </w:r>
    </w:p>
    <w:tbl>
      <w:tblPr>
        <w:tblStyle w:val="a7"/>
        <w:tblW w:w="888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6"/>
        <w:gridCol w:w="6016"/>
      </w:tblGrid>
      <w:tr w:rsidR="00C009A2">
        <w:trPr>
          <w:trHeight w:val="1671"/>
        </w:trPr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Services required: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5" w:line="232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Set out in Schedule 2 (Services offered) of the Framework Agreement and refined by: </w:t>
            </w:r>
          </w:p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79" w:line="256" w:lineRule="auto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</w:rPr>
              <w:t>·  the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Customer’s Project Specification and the Supplier’s Proposal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C009A2" w:rsidRDefault="00BC4122">
      <w:pPr>
        <w:pBdr>
          <w:top w:val="nil"/>
          <w:left w:val="nil"/>
          <w:bottom w:val="nil"/>
          <w:right w:val="nil"/>
          <w:between w:val="nil"/>
        </w:pBdr>
        <w:spacing w:after="0"/>
        <w:ind w:left="3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</w:rPr>
        <w:t xml:space="preserve"> </w:t>
      </w:r>
    </w:p>
    <w:tbl>
      <w:tblPr>
        <w:tblStyle w:val="a8"/>
        <w:tblW w:w="888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6"/>
        <w:gridCol w:w="6016"/>
      </w:tblGrid>
      <w:tr w:rsidR="00C009A2">
        <w:trPr>
          <w:trHeight w:val="19"/>
        </w:trPr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Key Individuals: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Custome</w:t>
            </w:r>
            <w:r>
              <w:rPr>
                <w:rFonts w:ascii="Arial" w:eastAsia="Arial" w:hAnsi="Arial" w:cs="Arial"/>
              </w:rPr>
              <w:t>r:</w:t>
            </w:r>
          </w:p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[REDACTED]</w:t>
            </w:r>
          </w:p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Supplier:</w:t>
            </w:r>
          </w:p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[REDACTED]</w:t>
            </w:r>
          </w:p>
        </w:tc>
      </w:tr>
      <w:tr w:rsidR="00C009A2">
        <w:trPr>
          <w:trHeight w:val="550"/>
        </w:trPr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Guarantor(s)</w:t>
            </w:r>
          </w:p>
        </w:tc>
        <w:tc>
          <w:tcPr>
            <w:tcW w:w="6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Not applicable</w:t>
            </w:r>
          </w:p>
        </w:tc>
      </w:tr>
    </w:tbl>
    <w:p w:rsidR="00C009A2" w:rsidRDefault="00BC4122">
      <w:pPr>
        <w:pBdr>
          <w:top w:val="nil"/>
          <w:left w:val="nil"/>
          <w:bottom w:val="nil"/>
          <w:right w:val="nil"/>
          <w:between w:val="nil"/>
        </w:pBdr>
        <w:spacing w:after="0"/>
        <w:ind w:left="3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</w:rPr>
        <w:t xml:space="preserve"> </w:t>
      </w:r>
    </w:p>
    <w:tbl>
      <w:tblPr>
        <w:tblStyle w:val="a9"/>
        <w:tblW w:w="888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7"/>
        <w:gridCol w:w="5985"/>
      </w:tblGrid>
      <w:tr w:rsidR="00C009A2">
        <w:trPr>
          <w:trHeight w:val="1241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Call-Off Contract Charges (including any applicable discount(s), but excluding VAT):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 total value of the Contract is £49,718.75 (ex VAT).</w:t>
            </w:r>
          </w:p>
        </w:tc>
      </w:tr>
      <w:tr w:rsidR="00C009A2">
        <w:trPr>
          <w:trHeight w:val="1510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Insurance Requirements 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09A2" w:rsidRDefault="00BC412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Public Liability - £5m</w:t>
            </w:r>
          </w:p>
          <w:p w:rsidR="00C009A2" w:rsidRDefault="00BC4122">
            <w:pPr>
              <w:spacing w:after="0"/>
              <w:ind w:left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Employer Liabil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</w:rPr>
              <w:t>ity - £5m</w:t>
            </w:r>
          </w:p>
          <w:p w:rsidR="00C009A2" w:rsidRDefault="00BC4122">
            <w:pPr>
              <w:spacing w:after="0"/>
              <w:ind w:left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Professional Indemnity - £1m</w:t>
            </w:r>
          </w:p>
          <w:p w:rsidR="00C009A2" w:rsidRDefault="00BC4122">
            <w:pPr>
              <w:spacing w:after="0"/>
              <w:ind w:left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Product Liability - £1m</w:t>
            </w:r>
          </w:p>
          <w:p w:rsidR="00C009A2" w:rsidRDefault="00C00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4" w:line="235" w:lineRule="auto"/>
              <w:rPr>
                <w:rFonts w:ascii="Arial" w:eastAsia="Arial" w:hAnsi="Arial" w:cs="Arial"/>
                <w:color w:val="000000"/>
              </w:rPr>
            </w:pPr>
          </w:p>
          <w:p w:rsidR="00C009A2" w:rsidRDefault="00C00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C009A2">
        <w:trPr>
          <w:trHeight w:val="77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Customer billing address for invoicing: 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9A2" w:rsidRDefault="00BC4122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Information Security Policy Team, </w:t>
            </w:r>
          </w:p>
          <w:p w:rsidR="00C009A2" w:rsidRDefault="00BC412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C4122">
              <w:rPr>
                <w:rFonts w:ascii="Arial" w:eastAsia="Arial" w:hAnsi="Arial" w:cs="Arial"/>
              </w:rPr>
              <w:t>[REDACTED]</w:t>
            </w:r>
          </w:p>
          <w:p w:rsidR="00C009A2" w:rsidRDefault="00BC4122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70 Whitehall, </w:t>
            </w:r>
          </w:p>
          <w:p w:rsidR="00C009A2" w:rsidRDefault="00BC4122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SW1A 2AS</w:t>
            </w:r>
          </w:p>
          <w:p w:rsidR="00C009A2" w:rsidRDefault="00C009A2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C009A2" w:rsidRDefault="00BC4122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Email: </w:t>
            </w:r>
            <w:r>
              <w:rPr>
                <w:rFonts w:ascii="Arial" w:eastAsia="Arial" w:hAnsi="Arial" w:cs="Arial"/>
                <w:b/>
              </w:rPr>
              <w:t>[REDACTED]</w:t>
            </w:r>
          </w:p>
        </w:tc>
      </w:tr>
    </w:tbl>
    <w:p w:rsidR="00C009A2" w:rsidRDefault="00BC4122">
      <w:pPr>
        <w:pBdr>
          <w:top w:val="nil"/>
          <w:left w:val="nil"/>
          <w:bottom w:val="nil"/>
          <w:right w:val="nil"/>
          <w:between w:val="nil"/>
        </w:pBdr>
        <w:spacing w:after="0"/>
        <w:ind w:left="3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</w:p>
    <w:tbl>
      <w:tblPr>
        <w:tblStyle w:val="aa"/>
        <w:tblW w:w="8836" w:type="dxa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2"/>
        <w:gridCol w:w="5984"/>
      </w:tblGrid>
      <w:tr w:rsidR="00C009A2">
        <w:trPr>
          <w:trHeight w:val="780"/>
        </w:trPr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Alternative and/or additional provisions: </w:t>
            </w:r>
          </w:p>
        </w:tc>
        <w:tc>
          <w:tcPr>
            <w:tcW w:w="5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09A2" w:rsidRDefault="00BC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Not Applicable</w:t>
            </w:r>
          </w:p>
        </w:tc>
      </w:tr>
    </w:tbl>
    <w:p w:rsidR="00C009A2" w:rsidRDefault="00BC4122">
      <w:pPr>
        <w:pBdr>
          <w:top w:val="nil"/>
          <w:left w:val="nil"/>
          <w:bottom w:val="nil"/>
          <w:right w:val="nil"/>
          <w:between w:val="nil"/>
        </w:pBdr>
        <w:spacing w:after="78"/>
        <w:ind w:left="3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</w:rPr>
        <w:t xml:space="preserve"> </w:t>
      </w:r>
    </w:p>
    <w:p w:rsidR="00C009A2" w:rsidRDefault="00BC4122">
      <w:pPr>
        <w:pStyle w:val="Heading3"/>
        <w:numPr>
          <w:ilvl w:val="2"/>
          <w:numId w:val="1"/>
        </w:numPr>
        <w:tabs>
          <w:tab w:val="left" w:pos="0"/>
        </w:tabs>
        <w:spacing w:after="70"/>
        <w:ind w:left="26" w:right="253"/>
      </w:pPr>
      <w:r>
        <w:t>FORMATION OF CALL-OFF CONTRACT</w:t>
      </w:r>
      <w:r>
        <w:rPr>
          <w:b w:val="0"/>
          <w:sz w:val="22"/>
          <w:szCs w:val="22"/>
        </w:rPr>
        <w:t xml:space="preserve"> </w:t>
      </w:r>
    </w:p>
    <w:p w:rsidR="00C009A2" w:rsidRDefault="00BC4122">
      <w:pPr>
        <w:pBdr>
          <w:top w:val="nil"/>
          <w:left w:val="nil"/>
          <w:bottom w:val="nil"/>
          <w:right w:val="nil"/>
          <w:between w:val="nil"/>
        </w:pBdr>
        <w:spacing w:after="93" w:line="244" w:lineRule="auto"/>
        <w:ind w:left="26" w:right="253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BY SIGNING AND RETURNING THIS LETTER OF APPOINTMENT (which may be done by electronic means) the Supplier agrees to enter a Call-Off Contract with the Customer to provide the Services in accordance with the terms of this letter and the Call-Off Terms.</w:t>
      </w:r>
      <w:r>
        <w:rPr>
          <w:rFonts w:ascii="Arial" w:eastAsia="Arial" w:hAnsi="Arial" w:cs="Arial"/>
          <w:color w:val="000000"/>
        </w:rPr>
        <w:t xml:space="preserve"> </w:t>
      </w:r>
    </w:p>
    <w:p w:rsidR="00C009A2" w:rsidRDefault="00BC4122">
      <w:pPr>
        <w:pBdr>
          <w:top w:val="nil"/>
          <w:left w:val="nil"/>
          <w:bottom w:val="nil"/>
          <w:right w:val="nil"/>
          <w:between w:val="nil"/>
        </w:pBdr>
        <w:spacing w:after="93" w:line="244" w:lineRule="auto"/>
        <w:ind w:left="26" w:right="253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The Parties hereby acknowledge and agree that they have read this letter and the Call-Off Terms.</w:t>
      </w:r>
      <w:r>
        <w:rPr>
          <w:rFonts w:ascii="Arial" w:eastAsia="Arial" w:hAnsi="Arial" w:cs="Arial"/>
          <w:color w:val="000000"/>
        </w:rPr>
        <w:t xml:space="preserve"> </w:t>
      </w:r>
    </w:p>
    <w:p w:rsidR="00C009A2" w:rsidRDefault="00BC4122">
      <w:pPr>
        <w:pBdr>
          <w:top w:val="nil"/>
          <w:left w:val="nil"/>
          <w:bottom w:val="nil"/>
          <w:right w:val="nil"/>
          <w:between w:val="nil"/>
        </w:pBdr>
        <w:spacing w:after="93" w:line="244" w:lineRule="auto"/>
        <w:ind w:left="26" w:right="253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The Parties hereby acknowledge and agree that this Call-Off Contract shall be formed when the Customer acknowledges (which may be done by electronic means) th</w:t>
      </w:r>
      <w:r>
        <w:rPr>
          <w:rFonts w:ascii="Arial" w:eastAsia="Arial" w:hAnsi="Arial" w:cs="Arial"/>
          <w:b/>
          <w:color w:val="000000"/>
          <w:sz w:val="20"/>
          <w:szCs w:val="20"/>
        </w:rPr>
        <w:t>e receipt of the signed copy of this letter from the Supplier within two (2) Working Days from such receipt.</w:t>
      </w:r>
      <w:r>
        <w:rPr>
          <w:rFonts w:ascii="Arial" w:eastAsia="Arial" w:hAnsi="Arial" w:cs="Arial"/>
          <w:color w:val="000000"/>
        </w:rPr>
        <w:t xml:space="preserve"> </w:t>
      </w:r>
    </w:p>
    <w:p w:rsidR="00C009A2" w:rsidRDefault="00BC4122">
      <w:pPr>
        <w:pBdr>
          <w:top w:val="nil"/>
          <w:left w:val="nil"/>
          <w:bottom w:val="nil"/>
          <w:right w:val="nil"/>
          <w:between w:val="nil"/>
        </w:pBdr>
        <w:spacing w:after="79"/>
        <w:ind w:left="3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</w:rPr>
        <w:t xml:space="preserve"> </w:t>
      </w:r>
    </w:p>
    <w:p w:rsidR="00C009A2" w:rsidRDefault="00C009A2">
      <w:pPr>
        <w:pBdr>
          <w:top w:val="nil"/>
          <w:left w:val="nil"/>
          <w:bottom w:val="nil"/>
          <w:right w:val="nil"/>
          <w:between w:val="nil"/>
        </w:pBdr>
        <w:spacing w:after="79"/>
        <w:ind w:left="31"/>
        <w:rPr>
          <w:rFonts w:ascii="Arial" w:eastAsia="Arial" w:hAnsi="Arial" w:cs="Arial"/>
          <w:color w:val="000000"/>
        </w:rPr>
      </w:pPr>
    </w:p>
    <w:p w:rsidR="00C009A2" w:rsidRDefault="00C009A2">
      <w:pPr>
        <w:pBdr>
          <w:top w:val="nil"/>
          <w:left w:val="nil"/>
          <w:bottom w:val="nil"/>
          <w:right w:val="nil"/>
          <w:between w:val="nil"/>
        </w:pBdr>
        <w:spacing w:after="79"/>
        <w:ind w:left="31"/>
        <w:rPr>
          <w:rFonts w:ascii="Arial" w:eastAsia="Arial" w:hAnsi="Arial" w:cs="Arial"/>
          <w:color w:val="000000"/>
        </w:rPr>
      </w:pPr>
    </w:p>
    <w:p w:rsidR="00C009A2" w:rsidRDefault="00BC4122">
      <w:pPr>
        <w:pBdr>
          <w:top w:val="nil"/>
          <w:left w:val="nil"/>
          <w:bottom w:val="nil"/>
          <w:right w:val="nil"/>
          <w:between w:val="nil"/>
        </w:pBdr>
        <w:spacing w:after="32" w:line="244" w:lineRule="auto"/>
        <w:ind w:left="26" w:right="253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For and on behalf of the Supplier:                            For and on behalf of the Customer:</w:t>
      </w:r>
      <w:r>
        <w:rPr>
          <w:rFonts w:ascii="Arial" w:eastAsia="Arial" w:hAnsi="Arial" w:cs="Arial"/>
          <w:color w:val="000000"/>
        </w:rPr>
        <w:t xml:space="preserve"> </w:t>
      </w:r>
    </w:p>
    <w:p w:rsidR="00C009A2" w:rsidRDefault="00BC4122">
      <w:pPr>
        <w:pBdr>
          <w:top w:val="nil"/>
          <w:left w:val="nil"/>
          <w:bottom w:val="nil"/>
          <w:right w:val="nil"/>
          <w:between w:val="nil"/>
        </w:pBdr>
        <w:spacing w:after="9" w:line="266" w:lineRule="auto"/>
        <w:ind w:left="41" w:right="266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Name and Title: </w:t>
      </w:r>
      <w:r>
        <w:rPr>
          <w:rFonts w:ascii="Arial" w:eastAsia="Arial" w:hAnsi="Arial" w:cs="Arial"/>
          <w:b/>
        </w:rPr>
        <w:t>[</w:t>
      </w:r>
      <w:proofErr w:type="gramStart"/>
      <w:r>
        <w:rPr>
          <w:rFonts w:ascii="Arial" w:eastAsia="Arial" w:hAnsi="Arial" w:cs="Arial"/>
          <w:b/>
        </w:rPr>
        <w:t>REDACTED]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Name and Title: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</w:rPr>
        <w:t>[REDACTED]</w:t>
      </w:r>
    </w:p>
    <w:p w:rsidR="00C009A2" w:rsidRDefault="00BC4122">
      <w:pPr>
        <w:pBdr>
          <w:top w:val="nil"/>
          <w:left w:val="nil"/>
          <w:bottom w:val="nil"/>
          <w:right w:val="nil"/>
          <w:between w:val="nil"/>
        </w:pBdr>
        <w:spacing w:after="14" w:line="266" w:lineRule="auto"/>
        <w:ind w:right="379" w:hanging="10"/>
        <w:rPr>
          <w:rFonts w:ascii="Arial" w:eastAsia="Arial" w:hAnsi="Arial" w:cs="Arial"/>
          <w:color w:val="00000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0"/>
          <w:szCs w:val="20"/>
        </w:rPr>
        <w:t>Signature: [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REDACTED]   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Signature: [REDACTED]                                                                           Date: </w:t>
      </w:r>
      <w:r>
        <w:rPr>
          <w:rFonts w:ascii="Arial" w:eastAsia="Arial" w:hAnsi="Arial" w:cs="Arial"/>
          <w:color w:val="000000"/>
        </w:rPr>
        <w:t xml:space="preserve"> </w:t>
      </w:r>
    </w:p>
    <w:p w:rsidR="00C009A2" w:rsidRDefault="00C009A2">
      <w:pPr>
        <w:pBdr>
          <w:top w:val="nil"/>
          <w:left w:val="nil"/>
          <w:bottom w:val="nil"/>
          <w:right w:val="nil"/>
          <w:between w:val="nil"/>
        </w:pBdr>
        <w:spacing w:after="112" w:line="244" w:lineRule="auto"/>
        <w:ind w:left="1743" w:right="264" w:hanging="860"/>
        <w:jc w:val="both"/>
        <w:rPr>
          <w:rFonts w:ascii="Arial" w:eastAsia="Arial" w:hAnsi="Arial" w:cs="Arial"/>
          <w:color w:val="000000"/>
        </w:rPr>
      </w:pPr>
    </w:p>
    <w:sectPr w:rsidR="00C009A2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A86E1A"/>
    <w:multiLevelType w:val="multilevel"/>
    <w:tmpl w:val="6122DDE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9A2"/>
    <w:rsid w:val="00BC4122"/>
    <w:rsid w:val="00C0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70910"/>
  <w15:docId w15:val="{1AC57491-78E0-472C-83E0-C169AD00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93" w:line="244" w:lineRule="auto"/>
      <w:ind w:left="10" w:hanging="10"/>
      <w:outlineLvl w:val="2"/>
    </w:pPr>
    <w:rPr>
      <w:rFonts w:ascii="Arial" w:eastAsia="Arial" w:hAnsi="Arial" w:cs="Arial"/>
      <w:b/>
      <w:color w:val="000000"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7" w:type="dxa"/>
        <w:left w:w="8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9" w:type="dxa"/>
        <w:left w:w="9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14" w:type="dxa"/>
        <w:left w:w="91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11" w:type="dxa"/>
        <w:left w:w="91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7" w:type="dxa"/>
        <w:left w:w="88" w:type="dxa"/>
        <w:right w:w="9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12" w:type="dxa"/>
        <w:left w:w="88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39A"/>
    <w:rPr>
      <w:rFonts w:ascii="Segoe UI" w:hAnsi="Segoe UI" w:cs="Segoe UI"/>
      <w:sz w:val="18"/>
      <w:szCs w:val="18"/>
    </w:rPr>
  </w:style>
  <w:style w:type="table" w:customStyle="1" w:styleId="a5">
    <w:basedOn w:val="TableNormal"/>
    <w:tblPr>
      <w:tblStyleRowBandSize w:val="1"/>
      <w:tblStyleColBandSize w:val="1"/>
      <w:tblCellMar>
        <w:top w:w="112" w:type="dxa"/>
        <w:left w:w="88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12" w:type="dxa"/>
        <w:left w:w="88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12" w:type="dxa"/>
        <w:left w:w="88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12" w:type="dxa"/>
        <w:left w:w="88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12" w:type="dxa"/>
        <w:left w:w="88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12" w:type="dxa"/>
        <w:left w:w="8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IOgdyfKETjIVyiXKiE2kuhjP4g==">AMUW2mXMU4YPa+9kWDE6hy/JeazzwhRoLsnFPGYWm6asuprCvcLGR//PU7A6vuMo2o5g3Q1/hOmxzokQ3ASGBGv8Bp8XFp2GGJHos/Q2Ue75T0bWHZT40n8/4tnKXPOGdAfwMmdbCWRq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Edwards</dc:creator>
  <cp:lastModifiedBy>Hannah Edwards</cp:lastModifiedBy>
  <cp:revision>2</cp:revision>
  <dcterms:created xsi:type="dcterms:W3CDTF">2021-08-11T10:44:00Z</dcterms:created>
  <dcterms:modified xsi:type="dcterms:W3CDTF">2021-08-11T10:44:00Z</dcterms:modified>
</cp:coreProperties>
</file>