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82A4" w14:textId="77777777" w:rsidR="00E420BC" w:rsidRPr="00091B0C" w:rsidRDefault="00E420BC" w:rsidP="00E420BC">
      <w:pPr>
        <w:pStyle w:val="GPSSchTitleandNumber"/>
        <w:jc w:val="left"/>
        <w:rPr>
          <w:rFonts w:ascii="Arial" w:hAnsi="Arial" w:cs="Arial"/>
          <w:caps w:val="0"/>
          <w:sz w:val="36"/>
          <w:szCs w:val="36"/>
        </w:rPr>
      </w:pPr>
    </w:p>
    <w:p w14:paraId="09BA8E3F" w14:textId="77777777" w:rsidR="00A10500" w:rsidRDefault="00AB2FD4" w:rsidP="009674CA">
      <w:pPr>
        <w:pStyle w:val="GPSSchTitleandNumber"/>
        <w:jc w:val="left"/>
        <w:rPr>
          <w:rFonts w:ascii="Arial" w:hAnsi="Arial" w:cs="Arial"/>
          <w:caps w:val="0"/>
          <w:sz w:val="36"/>
          <w:szCs w:val="36"/>
        </w:rPr>
      </w:pPr>
      <w:r>
        <w:rPr>
          <w:rFonts w:ascii="Arial" w:hAnsi="Arial" w:cs="Arial"/>
          <w:caps w:val="0"/>
          <w:sz w:val="36"/>
          <w:szCs w:val="36"/>
        </w:rPr>
        <w:t>Order</w:t>
      </w:r>
      <w:r w:rsidR="00091B0C" w:rsidRPr="00091B0C">
        <w:rPr>
          <w:rFonts w:ascii="Arial" w:hAnsi="Arial" w:cs="Arial"/>
          <w:caps w:val="0"/>
          <w:sz w:val="36"/>
          <w:szCs w:val="36"/>
        </w:rPr>
        <w:t xml:space="preserve"> Schedule 14 </w:t>
      </w:r>
      <w:r w:rsidR="00E420BC">
        <w:rPr>
          <w:rFonts w:ascii="Arial" w:hAnsi="Arial" w:cs="Arial"/>
          <w:caps w:val="0"/>
          <w:sz w:val="36"/>
          <w:szCs w:val="36"/>
        </w:rPr>
        <w:t>(</w:t>
      </w:r>
      <w:r w:rsidR="00091B0C" w:rsidRPr="00091B0C">
        <w:rPr>
          <w:rFonts w:ascii="Arial" w:hAnsi="Arial" w:cs="Arial"/>
          <w:caps w:val="0"/>
          <w:sz w:val="36"/>
          <w:szCs w:val="36"/>
        </w:rPr>
        <w:t xml:space="preserve">Service </w:t>
      </w:r>
      <w:r w:rsidR="00BC7C20">
        <w:rPr>
          <w:rFonts w:ascii="Arial" w:hAnsi="Arial" w:cs="Arial"/>
          <w:caps w:val="0"/>
          <w:sz w:val="36"/>
          <w:szCs w:val="36"/>
        </w:rPr>
        <w:t>Levels</w:t>
      </w:r>
      <w:r w:rsidR="00E420BC">
        <w:rPr>
          <w:rFonts w:ascii="Arial" w:hAnsi="Arial" w:cs="Arial"/>
          <w:caps w:val="0"/>
          <w:sz w:val="36"/>
          <w:szCs w:val="36"/>
        </w:rPr>
        <w:t>)</w:t>
      </w:r>
    </w:p>
    <w:p w14:paraId="54EFB0FF" w14:textId="77777777" w:rsidR="005D1C56" w:rsidRPr="00EF7368" w:rsidRDefault="00EF7368" w:rsidP="009674CA">
      <w:pPr>
        <w:pStyle w:val="GPSL1CLAUSEHEADING"/>
        <w:ind w:left="720" w:hanging="720"/>
        <w:jc w:val="left"/>
        <w:rPr>
          <w:rFonts w:ascii="Arial Bold" w:hAnsi="Arial Bold" w:hint="eastAsia"/>
          <w:caps w:val="0"/>
          <w:sz w:val="24"/>
          <w:szCs w:val="24"/>
        </w:rPr>
      </w:pPr>
      <w:r>
        <w:rPr>
          <w:rFonts w:ascii="Arial Bold" w:hAnsi="Arial Bold"/>
          <w:caps w:val="0"/>
          <w:sz w:val="24"/>
          <w:szCs w:val="24"/>
        </w:rPr>
        <w:t>Definitions</w:t>
      </w:r>
    </w:p>
    <w:p w14:paraId="0A6603A0" w14:textId="56470398" w:rsidR="005D1C56"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In this Schedule, the following words shall have the following meanings and they shall supplement </w:t>
      </w:r>
      <w:r w:rsidR="00BC7C20">
        <w:rPr>
          <w:rFonts w:ascii="Arial" w:hAnsi="Arial"/>
          <w:sz w:val="24"/>
          <w:szCs w:val="24"/>
        </w:rPr>
        <w:t>Joint Schedule 1</w:t>
      </w:r>
      <w:r w:rsidRPr="00091B0C">
        <w:rPr>
          <w:rFonts w:ascii="Arial" w:hAnsi="Arial"/>
          <w:sz w:val="24"/>
          <w:szCs w:val="24"/>
        </w:rPr>
        <w:t xml:space="preserve"> (Definitions):</w:t>
      </w:r>
    </w:p>
    <w:p w14:paraId="527A9CA3" w14:textId="77777777" w:rsidR="006B43FC" w:rsidRPr="006B43FC" w:rsidRDefault="006B43FC" w:rsidP="006B43FC">
      <w:pPr>
        <w:pStyle w:val="GPSL1CLAUSEHEADING"/>
        <w:numPr>
          <w:ilvl w:val="0"/>
          <w:numId w:val="0"/>
        </w:numPr>
        <w:ind w:left="360" w:hanging="360"/>
      </w:pPr>
    </w:p>
    <w:tbl>
      <w:tblPr>
        <w:tblW w:w="8363" w:type="dxa"/>
        <w:tblInd w:w="959" w:type="dxa"/>
        <w:tblLayout w:type="fixed"/>
        <w:tblLook w:val="04A0" w:firstRow="1" w:lastRow="0" w:firstColumn="1" w:lastColumn="0" w:noHBand="0" w:noVBand="1"/>
      </w:tblPr>
      <w:tblGrid>
        <w:gridCol w:w="2410"/>
        <w:gridCol w:w="5953"/>
      </w:tblGrid>
      <w:tr w:rsidR="006B43FC" w:rsidRPr="00091B0C" w14:paraId="24B0D775" w14:textId="77777777" w:rsidTr="00BD0A9B">
        <w:tc>
          <w:tcPr>
            <w:tcW w:w="2410" w:type="dxa"/>
            <w:shd w:val="clear" w:color="auto" w:fill="auto"/>
          </w:tcPr>
          <w:p w14:paraId="41826C86" w14:textId="619F34E2" w:rsidR="006B43FC" w:rsidRDefault="006B43FC" w:rsidP="00F115E2">
            <w:pPr>
              <w:pStyle w:val="GPSDefinitionTerm"/>
              <w:rPr>
                <w:sz w:val="24"/>
                <w:szCs w:val="24"/>
              </w:rPr>
            </w:pPr>
            <w:r>
              <w:rPr>
                <w:sz w:val="24"/>
                <w:szCs w:val="24"/>
              </w:rPr>
              <w:t>“Service Level”</w:t>
            </w:r>
          </w:p>
        </w:tc>
        <w:tc>
          <w:tcPr>
            <w:tcW w:w="5953" w:type="dxa"/>
            <w:shd w:val="clear" w:color="auto" w:fill="auto"/>
          </w:tcPr>
          <w:p w14:paraId="438A1E15" w14:textId="30C05864" w:rsidR="006B43FC" w:rsidRPr="00F115E2" w:rsidRDefault="00835F1E" w:rsidP="00F115E2">
            <w:pPr>
              <w:pStyle w:val="GPsDefinition"/>
              <w:tabs>
                <w:tab w:val="left" w:pos="-179"/>
              </w:tabs>
              <w:jc w:val="left"/>
              <w:rPr>
                <w:sz w:val="24"/>
                <w:szCs w:val="24"/>
              </w:rPr>
            </w:pPr>
            <w:r>
              <w:rPr>
                <w:sz w:val="24"/>
                <w:szCs w:val="24"/>
              </w:rPr>
              <w:t>means the expected standard to satisfactorily meet the deliverables specified;</w:t>
            </w:r>
          </w:p>
        </w:tc>
      </w:tr>
      <w:tr w:rsidR="006B43FC" w:rsidRPr="00091B0C" w14:paraId="13D6F806" w14:textId="77777777" w:rsidTr="00BD0A9B">
        <w:tc>
          <w:tcPr>
            <w:tcW w:w="2410" w:type="dxa"/>
            <w:shd w:val="clear" w:color="auto" w:fill="auto"/>
          </w:tcPr>
          <w:p w14:paraId="22D85E13" w14:textId="287A6E01" w:rsidR="006B43FC" w:rsidRPr="00091B0C" w:rsidRDefault="006B43FC" w:rsidP="009674CA">
            <w:pPr>
              <w:pStyle w:val="GPSDefinitionTerm"/>
              <w:rPr>
                <w:sz w:val="24"/>
                <w:szCs w:val="24"/>
              </w:rPr>
            </w:pPr>
            <w:r w:rsidRPr="00091B0C">
              <w:rPr>
                <w:sz w:val="24"/>
                <w:szCs w:val="24"/>
              </w:rPr>
              <w:t>"Service Level Failure"</w:t>
            </w:r>
          </w:p>
        </w:tc>
        <w:tc>
          <w:tcPr>
            <w:tcW w:w="5953" w:type="dxa"/>
            <w:shd w:val="clear" w:color="auto" w:fill="auto"/>
          </w:tcPr>
          <w:p w14:paraId="7A6F1DCB" w14:textId="0F068E11" w:rsidR="006B43FC" w:rsidRPr="00091B0C" w:rsidRDefault="006B43FC" w:rsidP="009674CA">
            <w:pPr>
              <w:pStyle w:val="GPsDefinition"/>
              <w:tabs>
                <w:tab w:val="left" w:pos="-179"/>
              </w:tabs>
              <w:jc w:val="left"/>
              <w:rPr>
                <w:sz w:val="24"/>
                <w:szCs w:val="24"/>
              </w:rPr>
            </w:pPr>
            <w:r w:rsidRPr="00091B0C">
              <w:rPr>
                <w:sz w:val="24"/>
                <w:szCs w:val="24"/>
              </w:rPr>
              <w:t xml:space="preserve">means a failure to meet the </w:t>
            </w:r>
            <w:r w:rsidR="00FA63E8">
              <w:rPr>
                <w:sz w:val="24"/>
                <w:szCs w:val="24"/>
              </w:rPr>
              <w:t>expected standard.</w:t>
            </w:r>
          </w:p>
        </w:tc>
      </w:tr>
      <w:tr w:rsidR="00835F1E" w:rsidRPr="00091B0C" w14:paraId="783FB4A8" w14:textId="77777777" w:rsidTr="00BD0A9B">
        <w:tc>
          <w:tcPr>
            <w:tcW w:w="2410" w:type="dxa"/>
            <w:shd w:val="clear" w:color="auto" w:fill="auto"/>
          </w:tcPr>
          <w:p w14:paraId="38F5BAA6" w14:textId="155EFD88" w:rsidR="00835F1E" w:rsidRPr="00091B0C" w:rsidRDefault="00835F1E" w:rsidP="009674CA">
            <w:pPr>
              <w:pStyle w:val="GPSDefinitionTerm"/>
              <w:rPr>
                <w:sz w:val="24"/>
                <w:szCs w:val="24"/>
              </w:rPr>
            </w:pPr>
          </w:p>
        </w:tc>
        <w:tc>
          <w:tcPr>
            <w:tcW w:w="5953" w:type="dxa"/>
            <w:shd w:val="clear" w:color="auto" w:fill="auto"/>
          </w:tcPr>
          <w:p w14:paraId="46063C2F" w14:textId="7831182E" w:rsidR="00835F1E" w:rsidRPr="00091B0C" w:rsidRDefault="00835F1E" w:rsidP="009674CA">
            <w:pPr>
              <w:pStyle w:val="GPsDefinition"/>
              <w:tabs>
                <w:tab w:val="left" w:pos="-179"/>
              </w:tabs>
              <w:jc w:val="left"/>
              <w:rPr>
                <w:sz w:val="24"/>
                <w:szCs w:val="24"/>
              </w:rPr>
            </w:pPr>
          </w:p>
        </w:tc>
      </w:tr>
    </w:tbl>
    <w:p w14:paraId="2BF6A87B" w14:textId="728C71EC" w:rsidR="00F115E2" w:rsidRPr="006B43FC" w:rsidRDefault="00F115E2" w:rsidP="00F115E2">
      <w:pPr>
        <w:pStyle w:val="GPSL1CLAUSEHEADING"/>
        <w:ind w:left="720" w:hanging="720"/>
        <w:jc w:val="left"/>
        <w:rPr>
          <w:rFonts w:ascii="Arial Bold" w:hAnsi="Arial Bold"/>
          <w:caps w:val="0"/>
          <w:sz w:val="24"/>
          <w:szCs w:val="24"/>
        </w:rPr>
      </w:pPr>
      <w:r>
        <w:rPr>
          <w:rFonts w:ascii="Arial Bold" w:hAnsi="Arial Bold"/>
          <w:caps w:val="0"/>
          <w:sz w:val="24"/>
          <w:szCs w:val="24"/>
        </w:rPr>
        <w:t xml:space="preserve">How will Service Levels be </w:t>
      </w:r>
      <w:r w:rsidR="00FA63E8">
        <w:rPr>
          <w:rFonts w:ascii="Arial Bold" w:hAnsi="Arial Bold"/>
          <w:caps w:val="0"/>
          <w:sz w:val="24"/>
          <w:szCs w:val="24"/>
        </w:rPr>
        <w:t>applied</w:t>
      </w:r>
    </w:p>
    <w:p w14:paraId="6BC58FAE" w14:textId="5E6F78E2" w:rsidR="00F115E2" w:rsidRPr="009E29BA" w:rsidRDefault="009E29BA" w:rsidP="00F115E2">
      <w:pPr>
        <w:pStyle w:val="GPSL2NumberedBoldHeading"/>
        <w:ind w:left="1440" w:hanging="720"/>
        <w:jc w:val="left"/>
        <w:rPr>
          <w:rFonts w:ascii="Arial" w:hAnsi="Arial"/>
          <w:b/>
          <w:sz w:val="24"/>
          <w:szCs w:val="24"/>
        </w:rPr>
      </w:pPr>
      <w:r>
        <w:rPr>
          <w:rFonts w:ascii="Arial" w:hAnsi="Arial"/>
          <w:sz w:val="24"/>
          <w:szCs w:val="24"/>
        </w:rPr>
        <w:t>The Buyer expects technical professional standards to be met through the project</w:t>
      </w:r>
      <w:r w:rsidR="00FA63E8">
        <w:rPr>
          <w:rFonts w:ascii="Arial" w:hAnsi="Arial"/>
          <w:sz w:val="24"/>
          <w:szCs w:val="24"/>
        </w:rPr>
        <w:t>.</w:t>
      </w:r>
    </w:p>
    <w:p w14:paraId="4D1DCAF8" w14:textId="6A6FCF45" w:rsidR="009E29BA" w:rsidRPr="009E29BA" w:rsidRDefault="009E29BA" w:rsidP="00F115E2">
      <w:pPr>
        <w:pStyle w:val="GPSL2NumberedBoldHeading"/>
        <w:ind w:left="1440" w:hanging="720"/>
        <w:jc w:val="left"/>
        <w:rPr>
          <w:rFonts w:ascii="Arial" w:hAnsi="Arial"/>
          <w:b/>
          <w:sz w:val="24"/>
          <w:szCs w:val="24"/>
        </w:rPr>
      </w:pPr>
      <w:r>
        <w:rPr>
          <w:rFonts w:ascii="Arial" w:hAnsi="Arial"/>
          <w:sz w:val="24"/>
          <w:szCs w:val="24"/>
        </w:rPr>
        <w:t>Any concerns relating to the standard of the research design, implementation or deliverables will be raised immediately by the Buyer</w:t>
      </w:r>
      <w:r w:rsidR="00FA63E8">
        <w:rPr>
          <w:rFonts w:ascii="Arial" w:hAnsi="Arial"/>
          <w:sz w:val="24"/>
          <w:szCs w:val="24"/>
        </w:rPr>
        <w:t>.</w:t>
      </w:r>
    </w:p>
    <w:p w14:paraId="3B865631" w14:textId="35FDF369" w:rsidR="009E29BA" w:rsidRPr="00F115E2" w:rsidRDefault="00FA63E8" w:rsidP="00F115E2">
      <w:pPr>
        <w:pStyle w:val="GPSL2NumberedBoldHeading"/>
        <w:ind w:left="1440" w:hanging="720"/>
        <w:jc w:val="left"/>
        <w:rPr>
          <w:rFonts w:ascii="Arial" w:hAnsi="Arial"/>
          <w:b/>
          <w:sz w:val="24"/>
          <w:szCs w:val="24"/>
        </w:rPr>
      </w:pPr>
      <w:r>
        <w:rPr>
          <w:rFonts w:ascii="Arial" w:hAnsi="Arial"/>
          <w:sz w:val="24"/>
          <w:szCs w:val="24"/>
        </w:rPr>
        <w:t>If a satisfactory course of action or explanation cannot be agreed, and The Buyer remains concerned by the standard of the work, the result is a Service Level Failure.</w:t>
      </w:r>
    </w:p>
    <w:p w14:paraId="4F8D4EEF" w14:textId="09ADEB34" w:rsidR="00835F1E" w:rsidRPr="006B43FC" w:rsidRDefault="00835F1E" w:rsidP="00835F1E">
      <w:pPr>
        <w:pStyle w:val="GPSL1CLAUSEHEADING"/>
        <w:ind w:left="720" w:hanging="720"/>
        <w:jc w:val="left"/>
        <w:rPr>
          <w:rFonts w:ascii="Arial Bold" w:hAnsi="Arial Bold"/>
          <w:caps w:val="0"/>
          <w:sz w:val="24"/>
          <w:szCs w:val="24"/>
        </w:rPr>
      </w:pPr>
      <w:r>
        <w:rPr>
          <w:rFonts w:ascii="Arial Bold" w:hAnsi="Arial Bold"/>
          <w:caps w:val="0"/>
          <w:sz w:val="24"/>
          <w:szCs w:val="24"/>
        </w:rPr>
        <w:t>Service Levels and payment</w:t>
      </w:r>
    </w:p>
    <w:p w14:paraId="5EE06078" w14:textId="3E8F35DE" w:rsidR="00835F1E" w:rsidRPr="000F33CB" w:rsidRDefault="00835F1E" w:rsidP="00835F1E">
      <w:pPr>
        <w:pStyle w:val="GPSL2NumberedBoldHeading"/>
        <w:ind w:left="1440" w:hanging="720"/>
        <w:jc w:val="left"/>
        <w:rPr>
          <w:rFonts w:ascii="Arial" w:hAnsi="Arial"/>
          <w:b/>
          <w:sz w:val="24"/>
          <w:szCs w:val="24"/>
        </w:rPr>
      </w:pPr>
      <w:r>
        <w:rPr>
          <w:rFonts w:ascii="Arial" w:hAnsi="Arial"/>
          <w:sz w:val="24"/>
          <w:szCs w:val="24"/>
        </w:rPr>
        <w:t xml:space="preserve">Payment to The Supplier will be made in 3 </w:t>
      </w:r>
      <w:r w:rsidR="000F33CB">
        <w:rPr>
          <w:rFonts w:ascii="Arial" w:hAnsi="Arial"/>
          <w:sz w:val="24"/>
          <w:szCs w:val="24"/>
        </w:rPr>
        <w:t>instalments</w:t>
      </w:r>
      <w:r>
        <w:rPr>
          <w:rFonts w:ascii="Arial" w:hAnsi="Arial"/>
          <w:sz w:val="24"/>
          <w:szCs w:val="24"/>
        </w:rPr>
        <w:t>, following satisfactory</w:t>
      </w:r>
      <w:r w:rsidR="000F33CB">
        <w:rPr>
          <w:rFonts w:ascii="Arial" w:hAnsi="Arial"/>
          <w:sz w:val="24"/>
          <w:szCs w:val="24"/>
        </w:rPr>
        <w:t xml:space="preserve"> delivery of pre-agreed products and deliverables.</w:t>
      </w:r>
    </w:p>
    <w:p w14:paraId="6598AA10" w14:textId="13DD4E64" w:rsidR="000F33CB" w:rsidRPr="00835F1E" w:rsidRDefault="000F33CB" w:rsidP="00835F1E">
      <w:pPr>
        <w:pStyle w:val="GPSL2NumberedBoldHeading"/>
        <w:ind w:left="1440" w:hanging="720"/>
        <w:jc w:val="left"/>
        <w:rPr>
          <w:rFonts w:ascii="Arial" w:hAnsi="Arial"/>
          <w:b/>
          <w:sz w:val="24"/>
          <w:szCs w:val="24"/>
        </w:rPr>
      </w:pPr>
      <w:r>
        <w:rPr>
          <w:rFonts w:ascii="Arial" w:hAnsi="Arial"/>
          <w:sz w:val="24"/>
          <w:szCs w:val="24"/>
        </w:rPr>
        <w:t>Before payment can be considered, each invoice must include a detailed elemental breakdown of work completed and the associated costs.</w:t>
      </w:r>
    </w:p>
    <w:p w14:paraId="7B1A1677" w14:textId="6FC5056E" w:rsidR="00835F1E" w:rsidRPr="000F33CB" w:rsidRDefault="000F33CB" w:rsidP="000F33CB">
      <w:pPr>
        <w:pStyle w:val="GPSL3numberedclause"/>
        <w:rPr>
          <w:b/>
        </w:rPr>
      </w:pPr>
      <w:r>
        <w:t>Payment Milestone 1 – Follows research design, sign</w:t>
      </w:r>
      <w:r w:rsidR="00F115E2">
        <w:t>ed</w:t>
      </w:r>
      <w:r>
        <w:t xml:space="preserve"> off materials and commencement of recruitment</w:t>
      </w:r>
    </w:p>
    <w:p w14:paraId="6540079A" w14:textId="6233C82A" w:rsidR="004708B6" w:rsidRPr="004708B6" w:rsidRDefault="000F33CB" w:rsidP="004708B6">
      <w:pPr>
        <w:pStyle w:val="GPSL3numberedclause"/>
        <w:rPr>
          <w:b/>
        </w:rPr>
      </w:pPr>
      <w:r>
        <w:t>Payment Milestone 2 – Follows the conclusion of field work</w:t>
      </w:r>
      <w:r w:rsidR="004708B6">
        <w:t>, with an achieved sample that reasonably meets agreed quotas and geographic spread,</w:t>
      </w:r>
      <w:r>
        <w:t xml:space="preserve"> a</w:t>
      </w:r>
      <w:r w:rsidR="004708B6">
        <w:t xml:space="preserve">s well as </w:t>
      </w:r>
      <w:r>
        <w:t>provision of interim findings</w:t>
      </w:r>
    </w:p>
    <w:p w14:paraId="498EE04A" w14:textId="2B8DDBFA" w:rsidR="00835F1E" w:rsidRPr="00F115E2" w:rsidRDefault="000F33CB" w:rsidP="00835F1E">
      <w:pPr>
        <w:pStyle w:val="GPSL3numberedclause"/>
        <w:rPr>
          <w:b/>
        </w:rPr>
      </w:pPr>
      <w:r>
        <w:t>Payment Milestone 3 – Follows the delivery of a final report signed off by The Buyer</w:t>
      </w:r>
    </w:p>
    <w:p w14:paraId="23A85E2E" w14:textId="4985A2EB" w:rsidR="006B43FC" w:rsidRPr="006B43FC" w:rsidRDefault="006B43FC" w:rsidP="006B43FC">
      <w:pPr>
        <w:pStyle w:val="GPSL1CLAUSEHEADING"/>
        <w:ind w:left="720" w:hanging="720"/>
        <w:jc w:val="left"/>
        <w:rPr>
          <w:rFonts w:ascii="Arial Bold" w:hAnsi="Arial Bold"/>
          <w:caps w:val="0"/>
          <w:sz w:val="24"/>
          <w:szCs w:val="24"/>
        </w:rPr>
      </w:pPr>
      <w:r>
        <w:rPr>
          <w:rFonts w:ascii="Arial Bold" w:hAnsi="Arial Bold"/>
          <w:caps w:val="0"/>
          <w:sz w:val="24"/>
          <w:szCs w:val="24"/>
        </w:rPr>
        <w:t xml:space="preserve">What happens if you don’t meet Service </w:t>
      </w:r>
      <w:r w:rsidR="00EF7368">
        <w:rPr>
          <w:rFonts w:ascii="Arial Bold" w:hAnsi="Arial Bold"/>
          <w:caps w:val="0"/>
          <w:sz w:val="24"/>
          <w:szCs w:val="24"/>
        </w:rPr>
        <w:t>Levels</w:t>
      </w:r>
    </w:p>
    <w:p w14:paraId="3EA86C39" w14:textId="13394687" w:rsidR="005D1C56" w:rsidRPr="00F115E2" w:rsidRDefault="005D1C56" w:rsidP="009674CA">
      <w:pPr>
        <w:pStyle w:val="GPSL2NumberedBoldHeading"/>
        <w:ind w:left="1440" w:hanging="720"/>
        <w:jc w:val="left"/>
        <w:rPr>
          <w:rFonts w:ascii="Arial" w:hAnsi="Arial"/>
          <w:b/>
          <w:sz w:val="24"/>
          <w:szCs w:val="24"/>
        </w:rPr>
      </w:pPr>
      <w:r w:rsidRPr="00091B0C">
        <w:rPr>
          <w:rFonts w:ascii="Arial" w:hAnsi="Arial"/>
          <w:sz w:val="24"/>
          <w:szCs w:val="24"/>
        </w:rPr>
        <w:t xml:space="preserve">The Supplier shall at all times provide the Deliverables to meet or exceed the </w:t>
      </w:r>
      <w:r w:rsidR="006B43FC">
        <w:rPr>
          <w:rFonts w:ascii="Arial" w:hAnsi="Arial"/>
          <w:sz w:val="24"/>
          <w:szCs w:val="24"/>
        </w:rPr>
        <w:t>standard</w:t>
      </w:r>
      <w:r w:rsidRPr="00091B0C">
        <w:rPr>
          <w:rFonts w:ascii="Arial" w:hAnsi="Arial"/>
          <w:sz w:val="24"/>
          <w:szCs w:val="24"/>
        </w:rPr>
        <w:t xml:space="preserve"> for each Service Level.</w:t>
      </w:r>
    </w:p>
    <w:p w14:paraId="175360B8" w14:textId="74B32A7F" w:rsidR="00F115E2" w:rsidRPr="00091B0C" w:rsidRDefault="00F115E2" w:rsidP="009674CA">
      <w:pPr>
        <w:pStyle w:val="GPSL2NumberedBoldHeading"/>
        <w:ind w:left="1440" w:hanging="720"/>
        <w:jc w:val="left"/>
        <w:rPr>
          <w:rFonts w:ascii="Arial" w:hAnsi="Arial"/>
          <w:b/>
          <w:sz w:val="24"/>
          <w:szCs w:val="24"/>
        </w:rPr>
      </w:pPr>
      <w:r>
        <w:rPr>
          <w:rFonts w:ascii="Arial" w:hAnsi="Arial"/>
          <w:sz w:val="24"/>
          <w:szCs w:val="24"/>
        </w:rPr>
        <w:lastRenderedPageBreak/>
        <w:t>If the level of performance of The Supplier is likely to or has resulted in a Service Level Failure, The Supplier shall immediately notify The Buyer.</w:t>
      </w:r>
    </w:p>
    <w:p w14:paraId="76AB928E" w14:textId="492E6082" w:rsidR="005D1C56" w:rsidRPr="00F115E2" w:rsidRDefault="00F115E2" w:rsidP="00F115E2">
      <w:pPr>
        <w:pStyle w:val="GPSL2NumberedBoldHeading"/>
        <w:ind w:left="1440" w:hanging="720"/>
        <w:jc w:val="left"/>
        <w:rPr>
          <w:rFonts w:ascii="Arial" w:hAnsi="Arial"/>
          <w:b/>
          <w:sz w:val="24"/>
          <w:szCs w:val="24"/>
        </w:rPr>
      </w:pPr>
      <w:r w:rsidRPr="00091B0C">
        <w:rPr>
          <w:rFonts w:ascii="Arial" w:hAnsi="Arial"/>
          <w:sz w:val="24"/>
          <w:szCs w:val="24"/>
        </w:rPr>
        <w:t xml:space="preserve">The Supplier acknowledges that any Service Level Failure shall entitle </w:t>
      </w:r>
      <w:r>
        <w:rPr>
          <w:rFonts w:ascii="Arial" w:hAnsi="Arial"/>
          <w:sz w:val="24"/>
          <w:szCs w:val="24"/>
        </w:rPr>
        <w:t>T</w:t>
      </w:r>
      <w:r w:rsidRPr="00091B0C">
        <w:rPr>
          <w:rFonts w:ascii="Arial" w:hAnsi="Arial"/>
          <w:sz w:val="24"/>
          <w:szCs w:val="24"/>
        </w:rPr>
        <w:t xml:space="preserve">he Buyer </w:t>
      </w:r>
      <w:r>
        <w:rPr>
          <w:rFonts w:ascii="Arial" w:hAnsi="Arial"/>
          <w:sz w:val="24"/>
          <w:szCs w:val="24"/>
        </w:rPr>
        <w:t xml:space="preserve">to withhold </w:t>
      </w:r>
      <w:r>
        <w:rPr>
          <w:rFonts w:ascii="Arial" w:hAnsi="Arial"/>
          <w:sz w:val="24"/>
          <w:szCs w:val="24"/>
        </w:rPr>
        <w:t>payment until deliverables up to and including the payment milestone are met.</w:t>
      </w:r>
    </w:p>
    <w:p w14:paraId="2F224354" w14:textId="77777777" w:rsidR="005D1C56" w:rsidRPr="00EF7368" w:rsidRDefault="005D1C56" w:rsidP="009674CA">
      <w:pPr>
        <w:pStyle w:val="GPSSchPart"/>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Part A: Service Levels and Service Credits</w:t>
      </w:r>
      <w:r w:rsidRPr="00EF7368">
        <w:rPr>
          <w:rFonts w:ascii="Arial Bold" w:hAnsi="Arial Bold" w:cs="Arial"/>
          <w:caps w:val="0"/>
          <w:sz w:val="36"/>
          <w:szCs w:val="36"/>
        </w:rPr>
        <w:t xml:space="preserve"> </w:t>
      </w:r>
    </w:p>
    <w:p w14:paraId="507DBD2A" w14:textId="77777777" w:rsidR="005D1C56" w:rsidRPr="00EF7368" w:rsidRDefault="00EF7368" w:rsidP="009674CA">
      <w:pPr>
        <w:pStyle w:val="GPSL1CLAUSEHEADING"/>
        <w:numPr>
          <w:ilvl w:val="0"/>
          <w:numId w:val="3"/>
        </w:numPr>
        <w:tabs>
          <w:tab w:val="clear" w:pos="142"/>
        </w:tabs>
        <w:jc w:val="left"/>
        <w:rPr>
          <w:rFonts w:ascii="Arial Bold" w:hAnsi="Arial Bold" w:hint="eastAsia"/>
          <w:caps w:val="0"/>
          <w:sz w:val="24"/>
          <w:szCs w:val="24"/>
        </w:rPr>
      </w:pPr>
      <w:r>
        <w:rPr>
          <w:rFonts w:ascii="Arial Bold" w:hAnsi="Arial Bold"/>
          <w:caps w:val="0"/>
          <w:sz w:val="24"/>
          <w:szCs w:val="24"/>
        </w:rPr>
        <w:t>Service Levels</w:t>
      </w:r>
    </w:p>
    <w:p w14:paraId="02CED153"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If the level of performance of the Supplier:</w:t>
      </w:r>
    </w:p>
    <w:p w14:paraId="53410131"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is likely to or fails to meet any Service Level Performance Measure; or</w:t>
      </w:r>
    </w:p>
    <w:p w14:paraId="7FD79CCD"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 xml:space="preserve">is likely to cause or causes a Critical Service Failure to occur, </w:t>
      </w:r>
    </w:p>
    <w:p w14:paraId="0DA759D0" w14:textId="77777777" w:rsidR="005D1C56" w:rsidRPr="00091B0C" w:rsidRDefault="005D1C56" w:rsidP="009674CA">
      <w:pPr>
        <w:pStyle w:val="GPSL2NumberedBoldHeading"/>
        <w:numPr>
          <w:ilvl w:val="0"/>
          <w:numId w:val="0"/>
        </w:numPr>
        <w:ind w:left="720"/>
        <w:jc w:val="left"/>
        <w:rPr>
          <w:rFonts w:ascii="Arial" w:hAnsi="Arial"/>
          <w:sz w:val="24"/>
          <w:szCs w:val="24"/>
        </w:rPr>
      </w:pPr>
      <w:r w:rsidRPr="00091B0C">
        <w:rPr>
          <w:rFonts w:ascii="Arial" w:hAnsi="Arial"/>
          <w:sz w:val="24"/>
          <w:szCs w:val="24"/>
        </w:rPr>
        <w:t>the Supplier shall immediately notify the Buyer in writing and the Buyer, in its absolute discretion and without limiting any other of its rights, may:</w:t>
      </w:r>
    </w:p>
    <w:p w14:paraId="682D456B"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2BCD174D"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 xml:space="preserve">instruct the Supplier to comply with the Rectification Plan Process; </w:t>
      </w:r>
    </w:p>
    <w:p w14:paraId="7603C15B" w14:textId="77777777" w:rsidR="005D1C56" w:rsidRPr="00091B0C" w:rsidRDefault="005D1C56" w:rsidP="009674CA">
      <w:pPr>
        <w:pStyle w:val="GPSL2NumberedBoldHeading"/>
        <w:numPr>
          <w:ilvl w:val="2"/>
          <w:numId w:val="44"/>
        </w:numPr>
        <w:jc w:val="left"/>
        <w:rPr>
          <w:rFonts w:ascii="Arial" w:hAnsi="Arial"/>
          <w:sz w:val="24"/>
          <w:szCs w:val="24"/>
        </w:rPr>
      </w:pPr>
      <w:r w:rsidRPr="00091B0C">
        <w:rPr>
          <w:rFonts w:ascii="Arial" w:hAnsi="Arial"/>
          <w:sz w:val="24"/>
          <w:szCs w:val="24"/>
        </w:rPr>
        <w:t>if a Service Level Failure has occurred, deduct the applicable Service Level Credits payable by the Supplier to the Buyer; and/or</w:t>
      </w:r>
    </w:p>
    <w:p w14:paraId="0C29EBCF" w14:textId="048F4CF5" w:rsidR="009D2097" w:rsidRPr="00835F1E" w:rsidRDefault="005D1C56" w:rsidP="00AE222F">
      <w:pPr>
        <w:pStyle w:val="GPSL2NumberedBoldHeading"/>
        <w:numPr>
          <w:ilvl w:val="2"/>
          <w:numId w:val="44"/>
        </w:numPr>
        <w:jc w:val="left"/>
        <w:rPr>
          <w:rFonts w:ascii="Arial" w:hAnsi="Arial"/>
          <w:sz w:val="24"/>
          <w:szCs w:val="24"/>
        </w:rPr>
      </w:pPr>
      <w:r w:rsidRPr="00091B0C">
        <w:rPr>
          <w:rFonts w:ascii="Arial" w:hAnsi="Arial"/>
          <w:sz w:val="24"/>
          <w:szCs w:val="24"/>
        </w:rPr>
        <w:t>if a Critical Service Level Failure has occurred, exercise its right to Compensation for Critical Service Level Failure (including the right to terminate for material Default)</w:t>
      </w:r>
      <w:r w:rsidRPr="00835F1E">
        <w:rPr>
          <w:rFonts w:ascii="Arial" w:hAnsi="Arial"/>
          <w:sz w:val="24"/>
          <w:szCs w:val="24"/>
        </w:rPr>
        <w:br w:type="page"/>
      </w:r>
      <w:r w:rsidR="00AE222F" w:rsidRPr="00835F1E">
        <w:rPr>
          <w:rFonts w:ascii="Arial" w:hAnsi="Arial"/>
          <w:color w:val="000000"/>
          <w:shd w:val="clear" w:color="auto" w:fill="FFFFFF"/>
        </w:rPr>
        <w:lastRenderedPageBreak/>
        <w:t xml:space="preserve">Payment can only be made following satisfactory delivery of pre-agreed certified products and deliverables. </w:t>
      </w:r>
    </w:p>
    <w:p w14:paraId="4A45AA97" w14:textId="77777777" w:rsidR="009D2097" w:rsidRDefault="009D2097" w:rsidP="00AE222F">
      <w:pPr>
        <w:pStyle w:val="GPSSchAnnexname"/>
        <w:jc w:val="left"/>
        <w:rPr>
          <w:rFonts w:ascii="Arial" w:hAnsi="Arial" w:cs="Arial"/>
          <w:color w:val="000000"/>
          <w:shd w:val="clear" w:color="auto" w:fill="FFFFFF"/>
        </w:rPr>
      </w:pPr>
    </w:p>
    <w:p w14:paraId="481CC91E" w14:textId="77777777" w:rsidR="009D2097" w:rsidRDefault="009D2097" w:rsidP="009D2097">
      <w:pPr>
        <w:pStyle w:val="NormalWeb"/>
        <w:numPr>
          <w:ilvl w:val="0"/>
          <w:numId w:val="82"/>
        </w:numPr>
        <w:spacing w:before="0" w:beforeAutospacing="0" w:after="120" w:afterAutospacing="0"/>
        <w:textAlignment w:val="baseline"/>
        <w:rPr>
          <w:rFonts w:ascii="Arial" w:hAnsi="Arial" w:cs="Arial"/>
          <w:color w:val="000000"/>
          <w:sz w:val="22"/>
          <w:szCs w:val="22"/>
        </w:rPr>
      </w:pPr>
      <w:r>
        <w:rPr>
          <w:rFonts w:ascii="Arial" w:hAnsi="Arial" w:cs="Arial"/>
          <w:color w:val="000000"/>
          <w:sz w:val="22"/>
          <w:szCs w:val="22"/>
        </w:rPr>
        <w:t>RDU will then fulfil invoicing from the supplier, on behalf of both parties.</w:t>
      </w:r>
    </w:p>
    <w:p w14:paraId="135C6948" w14:textId="77777777" w:rsidR="009D2097" w:rsidRDefault="009D2097" w:rsidP="009D2097">
      <w:pPr>
        <w:pStyle w:val="NormalWeb"/>
        <w:numPr>
          <w:ilvl w:val="1"/>
          <w:numId w:val="82"/>
        </w:numPr>
        <w:spacing w:before="0" w:beforeAutospacing="0" w:after="120" w:afterAutospacing="0"/>
        <w:ind w:left="1080"/>
        <w:textAlignment w:val="baseline"/>
        <w:rPr>
          <w:rFonts w:ascii="Arial" w:hAnsi="Arial" w:cs="Arial"/>
          <w:color w:val="000000"/>
          <w:sz w:val="22"/>
          <w:szCs w:val="22"/>
        </w:rPr>
      </w:pPr>
      <w:r>
        <w:rPr>
          <w:rFonts w:ascii="Arial" w:hAnsi="Arial" w:cs="Arial"/>
          <w:color w:val="000000"/>
          <w:sz w:val="22"/>
          <w:szCs w:val="22"/>
        </w:rPr>
        <w:t>Payments to the supplier will be made at 3 points, after delivery of key milestones. Payment milestone 1: recruitment of participants and sign off of field materials; payment milestone 2: provisional thematic analysis and identification of gaps; payment milestone 3: final report approved by both Parties for publication.</w:t>
      </w:r>
    </w:p>
    <w:p w14:paraId="5B3F996A" w14:textId="77777777" w:rsidR="009D2097" w:rsidRDefault="009D2097" w:rsidP="009D2097">
      <w:pPr>
        <w:pStyle w:val="NormalWeb"/>
        <w:numPr>
          <w:ilvl w:val="1"/>
          <w:numId w:val="82"/>
        </w:numPr>
        <w:spacing w:before="0" w:beforeAutospacing="0" w:after="120" w:afterAutospacing="0"/>
        <w:ind w:left="1080"/>
        <w:textAlignment w:val="baseline"/>
        <w:rPr>
          <w:rFonts w:ascii="Arial" w:hAnsi="Arial" w:cs="Arial"/>
          <w:color w:val="000000"/>
          <w:sz w:val="22"/>
          <w:szCs w:val="22"/>
        </w:rPr>
      </w:pPr>
      <w:r>
        <w:rPr>
          <w:rFonts w:ascii="Arial" w:hAnsi="Arial" w:cs="Arial"/>
          <w:color w:val="000000"/>
          <w:sz w:val="22"/>
          <w:szCs w:val="22"/>
        </w:rPr>
        <w:t>Payment can only be made following satisfactory delivery of pre-agreed certified products and deliverables.</w:t>
      </w:r>
    </w:p>
    <w:p w14:paraId="31ED626F" w14:textId="77777777" w:rsidR="009D2097" w:rsidRDefault="009D2097" w:rsidP="009D2097">
      <w:pPr>
        <w:pStyle w:val="NormalWeb"/>
        <w:numPr>
          <w:ilvl w:val="1"/>
          <w:numId w:val="82"/>
        </w:numPr>
        <w:spacing w:before="0" w:beforeAutospacing="0" w:after="120" w:afterAutospacing="0"/>
        <w:ind w:left="1080"/>
        <w:textAlignment w:val="baseline"/>
        <w:rPr>
          <w:rFonts w:ascii="Arial" w:hAnsi="Arial" w:cs="Arial"/>
          <w:color w:val="000000"/>
          <w:sz w:val="22"/>
          <w:szCs w:val="22"/>
        </w:rPr>
      </w:pPr>
      <w:r>
        <w:rPr>
          <w:rFonts w:ascii="Arial" w:hAnsi="Arial" w:cs="Arial"/>
          <w:color w:val="000000"/>
          <w:sz w:val="22"/>
          <w:szCs w:val="22"/>
        </w:rPr>
        <w:t>Before payment can be considered, each invoice must include a detailed elemental breakdown of work completed and the associated costs.</w:t>
      </w:r>
    </w:p>
    <w:p w14:paraId="6BC59927" w14:textId="77777777" w:rsidR="009D2097" w:rsidRDefault="009D2097" w:rsidP="00AE222F">
      <w:pPr>
        <w:pStyle w:val="GPSSchAnnexname"/>
        <w:jc w:val="left"/>
        <w:rPr>
          <w:rFonts w:ascii="Arial" w:hAnsi="Arial" w:cs="Arial"/>
          <w:sz w:val="24"/>
          <w:szCs w:val="24"/>
        </w:rPr>
      </w:pPr>
    </w:p>
    <w:p w14:paraId="4E50F0B8" w14:textId="77777777" w:rsidR="009D2097" w:rsidRDefault="009D2097" w:rsidP="00AE222F">
      <w:pPr>
        <w:pStyle w:val="GPSSchAnnexname"/>
        <w:jc w:val="left"/>
        <w:rPr>
          <w:rFonts w:ascii="Arial" w:hAnsi="Arial" w:cs="Arial"/>
          <w:sz w:val="24"/>
          <w:szCs w:val="24"/>
        </w:rPr>
      </w:pPr>
      <w:r>
        <w:rPr>
          <w:rFonts w:ascii="Arial" w:hAnsi="Arial" w:cs="Arial"/>
          <w:sz w:val="24"/>
          <w:szCs w:val="24"/>
        </w:rPr>
        <w:t>Payment milestone 1</w:t>
      </w:r>
    </w:p>
    <w:p w14:paraId="37B4C710" w14:textId="77777777" w:rsidR="009D2097" w:rsidRDefault="009D2097" w:rsidP="00AE222F">
      <w:pPr>
        <w:pStyle w:val="GPSSchAnnexname"/>
        <w:jc w:val="left"/>
        <w:rPr>
          <w:rFonts w:ascii="Arial" w:hAnsi="Arial" w:cs="Arial"/>
          <w:sz w:val="24"/>
          <w:szCs w:val="24"/>
        </w:rPr>
      </w:pPr>
      <w:r>
        <w:rPr>
          <w:rFonts w:ascii="Arial" w:hAnsi="Arial" w:cs="Arial"/>
          <w:sz w:val="24"/>
          <w:szCs w:val="24"/>
        </w:rPr>
        <w:t>Follows the research design, development of materials and commencement of recruitment</w:t>
      </w:r>
    </w:p>
    <w:p w14:paraId="5F32C25B" w14:textId="00EDB16D" w:rsidR="009D2097" w:rsidRDefault="009D2097" w:rsidP="00AE222F">
      <w:pPr>
        <w:pStyle w:val="GPSSchAnnexname"/>
        <w:jc w:val="left"/>
        <w:rPr>
          <w:rFonts w:ascii="Arial" w:hAnsi="Arial" w:cs="Arial"/>
          <w:sz w:val="24"/>
          <w:szCs w:val="24"/>
        </w:rPr>
      </w:pPr>
      <w:r>
        <w:rPr>
          <w:rFonts w:ascii="Arial" w:hAnsi="Arial" w:cs="Arial"/>
          <w:sz w:val="24"/>
          <w:szCs w:val="24"/>
        </w:rPr>
        <w:t>Payment milestone 2</w:t>
      </w:r>
    </w:p>
    <w:p w14:paraId="39BC59E5" w14:textId="7243D5B0" w:rsidR="009D2097" w:rsidRDefault="009D2097" w:rsidP="00AE222F">
      <w:pPr>
        <w:pStyle w:val="GPSSchAnnexname"/>
        <w:jc w:val="left"/>
        <w:rPr>
          <w:rFonts w:ascii="Arial" w:hAnsi="Arial" w:cs="Arial"/>
          <w:sz w:val="24"/>
          <w:szCs w:val="24"/>
        </w:rPr>
      </w:pPr>
      <w:r>
        <w:rPr>
          <w:rFonts w:ascii="Arial" w:hAnsi="Arial" w:cs="Arial"/>
          <w:sz w:val="24"/>
          <w:szCs w:val="24"/>
        </w:rPr>
        <w:t xml:space="preserve">Follows the conclusion of field work and </w:t>
      </w:r>
      <w:r w:rsidR="004D7BCA">
        <w:rPr>
          <w:rFonts w:ascii="Arial" w:hAnsi="Arial" w:cs="Arial"/>
          <w:sz w:val="24"/>
          <w:szCs w:val="24"/>
        </w:rPr>
        <w:t>provision of interim findings</w:t>
      </w:r>
    </w:p>
    <w:p w14:paraId="1EA97DBE" w14:textId="1F4E52CC" w:rsidR="004D7BCA" w:rsidRDefault="004D7BCA" w:rsidP="00AE222F">
      <w:pPr>
        <w:pStyle w:val="GPSSchAnnexname"/>
        <w:jc w:val="left"/>
        <w:rPr>
          <w:rFonts w:ascii="Arial" w:hAnsi="Arial" w:cs="Arial"/>
          <w:sz w:val="24"/>
          <w:szCs w:val="24"/>
        </w:rPr>
      </w:pPr>
      <w:r>
        <w:rPr>
          <w:rFonts w:ascii="Arial" w:hAnsi="Arial" w:cs="Arial"/>
          <w:sz w:val="24"/>
          <w:szCs w:val="24"/>
        </w:rPr>
        <w:t>Payment Milestone 3</w:t>
      </w:r>
    </w:p>
    <w:p w14:paraId="1ACB1BCD" w14:textId="0993EB63" w:rsidR="004D7BCA" w:rsidRDefault="004D7BCA" w:rsidP="00AE222F">
      <w:pPr>
        <w:pStyle w:val="GPSSchAnnexname"/>
        <w:jc w:val="left"/>
        <w:rPr>
          <w:rFonts w:ascii="Arial" w:hAnsi="Arial" w:cs="Arial"/>
          <w:sz w:val="24"/>
          <w:szCs w:val="24"/>
        </w:rPr>
      </w:pPr>
      <w:r>
        <w:rPr>
          <w:rFonts w:ascii="Arial" w:hAnsi="Arial" w:cs="Arial"/>
          <w:sz w:val="24"/>
          <w:szCs w:val="24"/>
        </w:rPr>
        <w:t>Follows the delivery of a final report signed off by both Cabinet Office and the Office for national statistics</w:t>
      </w:r>
    </w:p>
    <w:p w14:paraId="381BBF0C" w14:textId="2D458602" w:rsidR="005D1C56" w:rsidRPr="00EF7368" w:rsidRDefault="005D1C56" w:rsidP="00AE222F">
      <w:pPr>
        <w:pStyle w:val="GPSSchAnnexname"/>
        <w:jc w:val="left"/>
        <w:rPr>
          <w:rFonts w:ascii="Arial Bold" w:hAnsi="Arial Bold" w:cs="Arial" w:hint="eastAsia"/>
          <w:caps w:val="0"/>
          <w:sz w:val="36"/>
          <w:szCs w:val="36"/>
        </w:rPr>
      </w:pPr>
      <w:r w:rsidRPr="00091B0C">
        <w:rPr>
          <w:rFonts w:ascii="Arial" w:hAnsi="Arial" w:cs="Arial"/>
          <w:sz w:val="24"/>
          <w:szCs w:val="24"/>
        </w:rPr>
        <w:br w:type="page"/>
      </w:r>
      <w:r w:rsidR="00EF7368">
        <w:rPr>
          <w:rFonts w:ascii="Arial Bold" w:hAnsi="Arial Bold" w:cs="Arial"/>
          <w:caps w:val="0"/>
          <w:sz w:val="36"/>
          <w:szCs w:val="36"/>
        </w:rPr>
        <w:lastRenderedPageBreak/>
        <w:t xml:space="preserve">Part B: Performance Monitoring </w:t>
      </w:r>
    </w:p>
    <w:p w14:paraId="1B7D13C4" w14:textId="77777777" w:rsidR="005D1C56" w:rsidRPr="00EF7368" w:rsidRDefault="00EF7368" w:rsidP="009674CA">
      <w:pPr>
        <w:pStyle w:val="GPSL1CLAUSEHEADING"/>
        <w:numPr>
          <w:ilvl w:val="0"/>
          <w:numId w:val="3"/>
        </w:numPr>
        <w:jc w:val="left"/>
        <w:rPr>
          <w:rFonts w:ascii="Arial Bold" w:hAnsi="Arial Bold" w:hint="eastAsia"/>
          <w:caps w:val="0"/>
          <w:sz w:val="24"/>
          <w:szCs w:val="24"/>
        </w:rPr>
      </w:pPr>
      <w:r>
        <w:rPr>
          <w:rFonts w:ascii="Arial Bold" w:hAnsi="Arial Bold"/>
          <w:caps w:val="0"/>
          <w:sz w:val="24"/>
          <w:szCs w:val="24"/>
        </w:rPr>
        <w:t>Performance Monitoring and Performance Review</w:t>
      </w:r>
    </w:p>
    <w:p w14:paraId="286C08F7"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53A0BF80"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Supplier shall provide the Buyer with performance monitoring reports ("</w:t>
      </w:r>
      <w:r w:rsidRPr="00091B0C">
        <w:rPr>
          <w:rFonts w:ascii="Arial" w:hAnsi="Arial"/>
          <w:b/>
          <w:sz w:val="24"/>
          <w:szCs w:val="24"/>
        </w:rPr>
        <w:t>Performance Monitoring Reports</w:t>
      </w:r>
      <w:r w:rsidRPr="00091B0C">
        <w:rPr>
          <w:rFonts w:ascii="Arial" w:hAnsi="Arial"/>
          <w:sz w:val="24"/>
          <w:szCs w:val="24"/>
        </w:rPr>
        <w:t xml:space="preserve">") in accordance with the process and timescales agreed pursuant to paragraph </w:t>
      </w:r>
      <w:r w:rsidRPr="00091B0C">
        <w:rPr>
          <w:rFonts w:ascii="Arial" w:hAnsi="Arial"/>
          <w:sz w:val="24"/>
          <w:szCs w:val="24"/>
        </w:rPr>
        <w:fldChar w:fldCharType="begin"/>
      </w:r>
      <w:r w:rsidRPr="00091B0C">
        <w:rPr>
          <w:rFonts w:ascii="Arial" w:hAnsi="Arial"/>
          <w:sz w:val="24"/>
          <w:szCs w:val="24"/>
        </w:rPr>
        <w:instrText xml:space="preserve"> REF _Ref492315123 \r \h </w:instrText>
      </w:r>
      <w:r w:rsidR="00091B0C" w:rsidRPr="00091B0C">
        <w:rPr>
          <w:rFonts w:ascii="Arial" w:hAnsi="Arial"/>
          <w:sz w:val="24"/>
          <w:szCs w:val="24"/>
        </w:rPr>
        <w:instrText xml:space="preserve"> \* MERGEFORMAT </w:instrText>
      </w:r>
      <w:r w:rsidRPr="00091B0C">
        <w:rPr>
          <w:rFonts w:ascii="Arial" w:hAnsi="Arial"/>
          <w:sz w:val="24"/>
          <w:szCs w:val="24"/>
        </w:rPr>
      </w:r>
      <w:r w:rsidRPr="00091B0C">
        <w:rPr>
          <w:rFonts w:ascii="Arial" w:hAnsi="Arial"/>
          <w:sz w:val="24"/>
          <w:szCs w:val="24"/>
        </w:rPr>
        <w:fldChar w:fldCharType="separate"/>
      </w:r>
      <w:r w:rsidRPr="00091B0C">
        <w:rPr>
          <w:rFonts w:ascii="Arial" w:hAnsi="Arial"/>
          <w:sz w:val="24"/>
          <w:szCs w:val="24"/>
        </w:rPr>
        <w:t>1.1</w:t>
      </w:r>
      <w:r w:rsidRPr="00091B0C">
        <w:rPr>
          <w:rFonts w:ascii="Arial" w:hAnsi="Arial"/>
          <w:sz w:val="24"/>
          <w:szCs w:val="24"/>
        </w:rPr>
        <w:fldChar w:fldCharType="end"/>
      </w:r>
      <w:r w:rsidRPr="00091B0C">
        <w:rPr>
          <w:rFonts w:ascii="Arial" w:hAnsi="Arial"/>
          <w:sz w:val="24"/>
          <w:szCs w:val="24"/>
        </w:rPr>
        <w:t xml:space="preserve"> of Part B of this Schedule which shall contain, as a minimum, the following information in respect of the relevant Service Period just ended:</w:t>
      </w:r>
    </w:p>
    <w:p w14:paraId="58DF6E2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each Service Level, the actual performance achieved over the Service Level for the relevant Service Period;</w:t>
      </w:r>
    </w:p>
    <w:p w14:paraId="0E92F55E"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a summary of all failures to achieve Service Levels that occurred during that Service Period;</w:t>
      </w:r>
    </w:p>
    <w:p w14:paraId="36DBC707"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details of any Critical Service Level Failures;</w:t>
      </w:r>
    </w:p>
    <w:p w14:paraId="286F3402"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for any repeat failures, actions taken to resolve the underlying cause and prevent recurrence;</w:t>
      </w:r>
    </w:p>
    <w:p w14:paraId="4D2AE9B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the Service Credits to be applied in respect of the relevant period indicating the failures and Service Levels to which the Service Credits relate; and</w:t>
      </w:r>
    </w:p>
    <w:p w14:paraId="025626F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such other details as the Buyer may reasonably require from time to time.</w:t>
      </w:r>
    </w:p>
    <w:p w14:paraId="3E22B99D" w14:textId="77777777" w:rsidR="005D1C56" w:rsidRPr="00091B0C" w:rsidRDefault="005D1C56" w:rsidP="009674CA">
      <w:pPr>
        <w:pStyle w:val="GPSL2NumberedBoldHeading"/>
        <w:keepNext/>
        <w:ind w:left="1440" w:hanging="720"/>
        <w:jc w:val="left"/>
        <w:rPr>
          <w:rFonts w:ascii="Arial" w:hAnsi="Arial"/>
          <w:sz w:val="24"/>
          <w:szCs w:val="24"/>
        </w:rPr>
      </w:pPr>
      <w:r w:rsidRPr="00091B0C">
        <w:rPr>
          <w:rFonts w:ascii="Arial" w:hAnsi="Arial"/>
          <w:sz w:val="24"/>
          <w:szCs w:val="24"/>
        </w:rPr>
        <w:t>The Parties shall attend meetings to discuss Performance Monitoring Reports ("</w:t>
      </w:r>
      <w:r w:rsidRPr="00091B0C">
        <w:rPr>
          <w:rFonts w:ascii="Arial" w:hAnsi="Arial"/>
          <w:b/>
          <w:sz w:val="24"/>
          <w:szCs w:val="24"/>
        </w:rPr>
        <w:t>Performance Review Meetings</w:t>
      </w:r>
      <w:r w:rsidRPr="00091B0C">
        <w:rPr>
          <w:rFonts w:ascii="Arial" w:hAnsi="Arial"/>
          <w:sz w:val="24"/>
          <w:szCs w:val="24"/>
        </w:rPr>
        <w:t>") on a Monthly basis. The Performance Review Meetings will be the forum for the review by the Supplier and the Buyer of the Performance Monitoring Reports.  The Performance Review Meetings shall:</w:t>
      </w:r>
    </w:p>
    <w:p w14:paraId="55377F9F"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take place within one (1) week of the Performance Monitoring Reports being issued by the Supplier at such location and time (within normal business hours) as the Buyer shall reasonably require;</w:t>
      </w:r>
    </w:p>
    <w:p w14:paraId="4D27E17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be attended by the Supplier's Representative and the Buyer’s Representative; and</w:t>
      </w:r>
    </w:p>
    <w:p w14:paraId="0E013886" w14:textId="77777777" w:rsidR="005D1C56" w:rsidRPr="00091B0C" w:rsidRDefault="005D1C56" w:rsidP="009674CA">
      <w:pPr>
        <w:pStyle w:val="GPSL3numberedclause"/>
        <w:jc w:val="left"/>
        <w:rPr>
          <w:rFonts w:ascii="Arial" w:hAnsi="Arial"/>
          <w:sz w:val="24"/>
          <w:szCs w:val="24"/>
        </w:rPr>
      </w:pPr>
      <w:r w:rsidRPr="00091B0C">
        <w:rPr>
          <w:rFonts w:ascii="Arial" w:hAnsi="Arial"/>
          <w:sz w:val="24"/>
          <w:szCs w:val="24"/>
        </w:rPr>
        <w:t xml:space="preserve">be fully </w:t>
      </w:r>
      <w:proofErr w:type="spellStart"/>
      <w:r w:rsidRPr="00091B0C">
        <w:rPr>
          <w:rFonts w:ascii="Arial" w:hAnsi="Arial"/>
          <w:sz w:val="24"/>
          <w:szCs w:val="24"/>
        </w:rPr>
        <w:t>minuted</w:t>
      </w:r>
      <w:proofErr w:type="spellEnd"/>
      <w:r w:rsidRPr="00091B0C">
        <w:rPr>
          <w:rFonts w:ascii="Arial" w:hAnsi="Arial"/>
          <w:sz w:val="24"/>
          <w:szCs w:val="24"/>
        </w:rPr>
        <w:t xml:space="preserve"> by the Supplier and the minutes will be circulated by the Supplier to all attendees at the relevant meeting and also to the Buyer’s Representative and any other recipients agreed at the relevant meeting.  </w:t>
      </w:r>
    </w:p>
    <w:p w14:paraId="5FE2192F"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lastRenderedPageBreak/>
        <w:t>The minutes of the preceding Month's Performance Review Meeting will be agreed and signed by both the Supplier's Representative and the Buyer’s Representative at each meeting.</w:t>
      </w:r>
    </w:p>
    <w:p w14:paraId="7FED1C3A"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4660DC73" w14:textId="77777777" w:rsidR="000E6EDE" w:rsidRPr="00091B0C" w:rsidRDefault="000E6EDE" w:rsidP="009674CA">
      <w:pPr>
        <w:pStyle w:val="GPSL2NumberedBoldHeading"/>
        <w:numPr>
          <w:ilvl w:val="0"/>
          <w:numId w:val="0"/>
        </w:numPr>
        <w:ind w:left="1440"/>
        <w:jc w:val="left"/>
        <w:rPr>
          <w:rFonts w:ascii="Arial" w:hAnsi="Arial"/>
          <w:sz w:val="24"/>
          <w:szCs w:val="24"/>
        </w:rPr>
      </w:pPr>
    </w:p>
    <w:p w14:paraId="0CF5F987" w14:textId="77777777" w:rsidR="005D1C56" w:rsidRPr="00EF7368" w:rsidRDefault="00EF7368" w:rsidP="009674CA">
      <w:pPr>
        <w:pStyle w:val="GPSL1CLAUSEHEADING"/>
        <w:tabs>
          <w:tab w:val="clear" w:pos="142"/>
        </w:tabs>
        <w:ind w:left="720" w:hanging="720"/>
        <w:jc w:val="left"/>
        <w:rPr>
          <w:rFonts w:ascii="Arial Bold" w:hAnsi="Arial Bold" w:hint="eastAsia"/>
          <w:caps w:val="0"/>
          <w:sz w:val="24"/>
          <w:szCs w:val="24"/>
        </w:rPr>
      </w:pPr>
      <w:r>
        <w:rPr>
          <w:rFonts w:ascii="Arial Bold" w:hAnsi="Arial Bold"/>
          <w:caps w:val="0"/>
          <w:sz w:val="24"/>
          <w:szCs w:val="24"/>
        </w:rPr>
        <w:t>Satisfaction Surveys</w:t>
      </w:r>
    </w:p>
    <w:p w14:paraId="53726A09" w14:textId="77777777" w:rsidR="005D1C56" w:rsidRPr="00091B0C" w:rsidRDefault="005D1C56" w:rsidP="009674CA">
      <w:pPr>
        <w:pStyle w:val="GPSL2NumberedBoldHeading"/>
        <w:ind w:left="1440" w:hanging="720"/>
        <w:jc w:val="left"/>
        <w:rPr>
          <w:rFonts w:ascii="Arial" w:hAnsi="Arial"/>
          <w:sz w:val="24"/>
          <w:szCs w:val="24"/>
        </w:rPr>
      </w:pPr>
      <w:r w:rsidRPr="00091B0C">
        <w:rPr>
          <w:rFonts w:ascii="Arial" w:hAnsi="Arial"/>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675ACBBC" w14:textId="77777777" w:rsidR="00A10500" w:rsidRPr="00091B0C" w:rsidRDefault="00A10500" w:rsidP="000E6EDE">
      <w:pPr>
        <w:pStyle w:val="GPSL2NumberedBoldHeading"/>
        <w:numPr>
          <w:ilvl w:val="0"/>
          <w:numId w:val="0"/>
        </w:numPr>
        <w:ind w:left="936"/>
        <w:rPr>
          <w:rFonts w:ascii="Arial" w:hAnsi="Arial"/>
          <w:sz w:val="24"/>
          <w:szCs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sectPr w:rsidR="00A10500" w:rsidRPr="00091B0C" w:rsidSect="00E420BC">
      <w:headerReference w:type="default" r:id="rId8"/>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4001D" w14:textId="77777777" w:rsidR="008C6160" w:rsidRDefault="008C6160">
      <w:pPr>
        <w:spacing w:after="0" w:line="240" w:lineRule="auto"/>
      </w:pPr>
      <w:r>
        <w:separator/>
      </w:r>
    </w:p>
  </w:endnote>
  <w:endnote w:type="continuationSeparator" w:id="0">
    <w:p w14:paraId="48418F2C" w14:textId="77777777" w:rsidR="008C6160" w:rsidRDefault="008C61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978E7" w14:textId="77777777" w:rsidR="000E6EDE" w:rsidRDefault="000E6EDE" w:rsidP="000E6EDE">
    <w:pPr>
      <w:tabs>
        <w:tab w:val="center" w:pos="4513"/>
        <w:tab w:val="right" w:pos="9026"/>
      </w:tabs>
      <w:overflowPunct w:val="0"/>
      <w:autoSpaceDE w:val="0"/>
      <w:autoSpaceDN w:val="0"/>
      <w:adjustRightInd w:val="0"/>
      <w:spacing w:after="0" w:line="240" w:lineRule="auto"/>
      <w:jc w:val="both"/>
    </w:pPr>
  </w:p>
  <w:p w14:paraId="57101774" w14:textId="77777777" w:rsidR="00BE41E9" w:rsidRDefault="00BE41E9" w:rsidP="00BE41E9">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1F60B1E2"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BE41E9">
      <w:rPr>
        <w:rFonts w:ascii="Arial" w:hAnsi="Arial" w:cs="Arial"/>
        <w:noProof/>
        <w:sz w:val="20"/>
      </w:rPr>
      <w:t>4</w:t>
    </w:r>
    <w:r w:rsidRPr="008979D7">
      <w:rPr>
        <w:rFonts w:ascii="Arial" w:hAnsi="Arial" w:cs="Arial"/>
        <w:noProof/>
        <w:sz w:val="20"/>
      </w:rPr>
      <w:fldChar w:fldCharType="end"/>
    </w:r>
  </w:p>
  <w:p w14:paraId="5B94DE6D" w14:textId="77777777" w:rsidR="00693E96" w:rsidRPr="00091B0C" w:rsidRDefault="00091B0C" w:rsidP="00091B0C">
    <w:pPr>
      <w:pStyle w:val="Footer"/>
      <w:rPr>
        <w:rFonts w:ascii="Arial" w:hAnsi="Arial" w:cs="Arial"/>
        <w:sz w:val="20"/>
      </w:rPr>
    </w:pPr>
    <w:r w:rsidRPr="008979D7">
      <w:rPr>
        <w:rFonts w:ascii="Arial" w:hAnsi="Arial" w:cs="Arial"/>
        <w:sz w:val="20"/>
      </w:rPr>
      <w:t xml:space="preserve">Model Version: </w:t>
    </w:r>
    <w:r w:rsidR="005B6F5F">
      <w:rPr>
        <w:rFonts w:ascii="Arial" w:hAnsi="Arial" w:cs="Arial"/>
        <w:sz w:val="20"/>
      </w:rPr>
      <w:t>v1</w:t>
    </w:r>
    <w:r w:rsidR="00EF7368">
      <w:rPr>
        <w:rFonts w:ascii="Arial" w:hAnsi="Arial" w:cs="Arial"/>
        <w:sz w:val="20"/>
      </w:rPr>
      <w:t>.</w:t>
    </w:r>
    <w:r w:rsidR="00693E96">
      <w:rPr>
        <w:rFonts w:ascii="Arial" w:hAnsi="Arial" w:cs="Arial"/>
        <w:sz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BF4C" w14:textId="77777777" w:rsidR="00091B0C" w:rsidRDefault="00091B0C" w:rsidP="00091B0C">
    <w:pPr>
      <w:tabs>
        <w:tab w:val="center" w:pos="4513"/>
        <w:tab w:val="right" w:pos="9026"/>
      </w:tabs>
      <w:overflowPunct w:val="0"/>
      <w:autoSpaceDE w:val="0"/>
      <w:autoSpaceDN w:val="0"/>
      <w:adjustRightInd w:val="0"/>
      <w:spacing w:after="0" w:line="240" w:lineRule="auto"/>
      <w:jc w:val="both"/>
    </w:pPr>
  </w:p>
  <w:p w14:paraId="4B5C9429" w14:textId="77777777" w:rsidR="00091B0C" w:rsidRPr="008979D7" w:rsidRDefault="00AB2FD4" w:rsidP="00091B0C">
    <w:pPr>
      <w:pStyle w:val="Footer"/>
      <w:rPr>
        <w:rFonts w:ascii="Arial" w:hAnsi="Arial" w:cs="Arial"/>
        <w:sz w:val="20"/>
      </w:rPr>
    </w:pPr>
    <w:r>
      <w:rPr>
        <w:rFonts w:ascii="Arial" w:hAnsi="Arial" w:cs="Arial"/>
        <w:sz w:val="20"/>
      </w:rPr>
      <w:t>DPS</w:t>
    </w:r>
    <w:r w:rsidR="00091B0C" w:rsidRPr="008979D7">
      <w:rPr>
        <w:rFonts w:ascii="Arial" w:hAnsi="Arial" w:cs="Arial"/>
        <w:sz w:val="20"/>
      </w:rPr>
      <w:t xml:space="preserve"> Ref: RM</w:t>
    </w:r>
    <w:r w:rsidR="00091B0C" w:rsidRPr="008979D7">
      <w:rPr>
        <w:rFonts w:ascii="Arial" w:hAnsi="Arial" w:cs="Arial"/>
        <w:sz w:val="20"/>
      </w:rPr>
      <w:tab/>
      <w:t xml:space="preserve">                                           </w:t>
    </w:r>
  </w:p>
  <w:p w14:paraId="39ACC2A9" w14:textId="77777777" w:rsidR="00091B0C" w:rsidRPr="008979D7" w:rsidRDefault="00091B0C" w:rsidP="00091B0C">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E420BC">
      <w:rPr>
        <w:rFonts w:ascii="Arial" w:hAnsi="Arial" w:cs="Arial"/>
        <w:noProof/>
        <w:sz w:val="20"/>
      </w:rPr>
      <w:t>1</w:t>
    </w:r>
    <w:r w:rsidRPr="008979D7">
      <w:rPr>
        <w:rFonts w:ascii="Arial" w:hAnsi="Arial" w:cs="Arial"/>
        <w:noProof/>
        <w:sz w:val="20"/>
      </w:rPr>
      <w:fldChar w:fldCharType="end"/>
    </w:r>
  </w:p>
  <w:p w14:paraId="33B49819" w14:textId="77777777" w:rsidR="00091B0C" w:rsidRDefault="00091B0C" w:rsidP="00091B0C">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B7121" w14:textId="77777777" w:rsidR="008C6160" w:rsidRDefault="008C6160">
      <w:pPr>
        <w:spacing w:after="0" w:line="240" w:lineRule="auto"/>
      </w:pPr>
      <w:r>
        <w:separator/>
      </w:r>
    </w:p>
  </w:footnote>
  <w:footnote w:type="continuationSeparator" w:id="0">
    <w:p w14:paraId="672EA62C" w14:textId="77777777" w:rsidR="008C6160" w:rsidRDefault="008C61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09AEC" w14:textId="77777777" w:rsidR="00A10500" w:rsidRPr="00091B0C" w:rsidRDefault="00AB2FD4">
    <w:pPr>
      <w:pStyle w:val="Header"/>
      <w:rPr>
        <w:rFonts w:ascii="Arial" w:hAnsi="Arial" w:cs="Arial"/>
        <w:sz w:val="20"/>
      </w:rPr>
    </w:pPr>
    <w:r>
      <w:rPr>
        <w:rFonts w:ascii="Arial" w:hAnsi="Arial" w:cs="Arial"/>
        <w:b/>
        <w:sz w:val="20"/>
      </w:rPr>
      <w:t>Order</w:t>
    </w:r>
    <w:r w:rsidR="00091B0C" w:rsidRPr="00091B0C">
      <w:rPr>
        <w:rFonts w:ascii="Arial" w:hAnsi="Arial" w:cs="Arial"/>
        <w:b/>
        <w:sz w:val="20"/>
      </w:rPr>
      <w:t xml:space="preserve"> S</w:t>
    </w:r>
    <w:r w:rsidR="00B415E4" w:rsidRPr="00091B0C">
      <w:rPr>
        <w:rFonts w:ascii="Arial" w:hAnsi="Arial" w:cs="Arial"/>
        <w:b/>
        <w:sz w:val="20"/>
      </w:rPr>
      <w:t>chedule 14 (</w:t>
    </w:r>
    <w:r w:rsidR="00F043AA" w:rsidRPr="00091B0C">
      <w:rPr>
        <w:rFonts w:ascii="Arial" w:hAnsi="Arial" w:cs="Arial"/>
        <w:b/>
        <w:sz w:val="20"/>
      </w:rPr>
      <w:t xml:space="preserve">Service </w:t>
    </w:r>
    <w:r w:rsidR="000654EE">
      <w:rPr>
        <w:rFonts w:ascii="Arial" w:hAnsi="Arial" w:cs="Arial"/>
        <w:b/>
        <w:sz w:val="20"/>
      </w:rPr>
      <w:t>Levels</w:t>
    </w:r>
    <w:r w:rsidR="00B415E4" w:rsidRPr="00091B0C">
      <w:rPr>
        <w:rFonts w:ascii="Arial" w:hAnsi="Arial" w:cs="Arial"/>
        <w:b/>
        <w:sz w:val="20"/>
      </w:rPr>
      <w:t>)</w:t>
    </w:r>
  </w:p>
  <w:p w14:paraId="25F4272D" w14:textId="77777777" w:rsidR="00FF0B0D" w:rsidRDefault="00AB2FD4">
    <w:pPr>
      <w:pStyle w:val="Header"/>
      <w:rPr>
        <w:rFonts w:ascii="Arial" w:hAnsi="Arial" w:cs="Arial"/>
        <w:sz w:val="20"/>
      </w:rPr>
    </w:pPr>
    <w:r>
      <w:rPr>
        <w:rFonts w:ascii="Arial" w:hAnsi="Arial" w:cs="Arial"/>
        <w:sz w:val="20"/>
      </w:rPr>
      <w:t>Order</w:t>
    </w:r>
    <w:r w:rsidR="00FF0B0D">
      <w:rPr>
        <w:rFonts w:ascii="Arial" w:hAnsi="Arial" w:cs="Arial"/>
        <w:sz w:val="20"/>
      </w:rPr>
      <w:t xml:space="preserve"> Ref:</w:t>
    </w:r>
  </w:p>
  <w:p w14:paraId="228FC237" w14:textId="77777777" w:rsidR="00A10500" w:rsidRPr="00091B0C" w:rsidRDefault="00BE41E9">
    <w:pPr>
      <w:pStyle w:val="Header"/>
      <w:rPr>
        <w:rFonts w:ascii="Arial" w:hAnsi="Arial" w:cs="Arial"/>
        <w:sz w:val="20"/>
      </w:rPr>
    </w:pPr>
    <w:r>
      <w:rPr>
        <w:rFonts w:ascii="Arial" w:hAnsi="Arial" w:cs="Arial"/>
        <w:sz w:val="20"/>
      </w:rPr>
      <w:t>Crown Copyright 2021</w:t>
    </w:r>
  </w:p>
  <w:p w14:paraId="001A7BCB" w14:textId="77777777" w:rsidR="00091B0C" w:rsidRDefault="00091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40235C6"/>
    <w:multiLevelType w:val="multilevel"/>
    <w:tmpl w:val="43DCCDA2"/>
    <w:lvl w:ilvl="0">
      <w:start w:val="1"/>
      <w:numFmt w:val="decimal"/>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7" w15:restartNumberingAfterBreak="0">
    <w:nsid w:val="64E61458"/>
    <w:multiLevelType w:val="multilevel"/>
    <w:tmpl w:val="3E8E4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2936E4"/>
    <w:multiLevelType w:val="multilevel"/>
    <w:tmpl w:val="E58836E0"/>
    <w:lvl w:ilvl="0">
      <w:start w:val="1"/>
      <w:numFmt w:val="decimal"/>
      <w:pStyle w:val="GPSL1CLAUSEHEADING"/>
      <w:lvlText w:val="%1."/>
      <w:lvlJc w:val="left"/>
      <w:pPr>
        <w:tabs>
          <w:tab w:val="num" w:pos="720"/>
        </w:tabs>
        <w:ind w:left="720" w:hanging="72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564019454">
    <w:abstractNumId w:val="9"/>
  </w:num>
  <w:num w:numId="2" w16cid:durableId="1497384088">
    <w:abstractNumId w:val="1"/>
  </w:num>
  <w:num w:numId="3" w16cid:durableId="15106813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0085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9725509">
    <w:abstractNumId w:val="0"/>
  </w:num>
  <w:num w:numId="6" w16cid:durableId="247006613">
    <w:abstractNumId w:val="9"/>
  </w:num>
  <w:num w:numId="7" w16cid:durableId="383335498">
    <w:abstractNumId w:val="9"/>
  </w:num>
  <w:num w:numId="8" w16cid:durableId="20210201">
    <w:abstractNumId w:val="9"/>
  </w:num>
  <w:num w:numId="9" w16cid:durableId="1575124776">
    <w:abstractNumId w:val="9"/>
  </w:num>
  <w:num w:numId="10" w16cid:durableId="1641765992">
    <w:abstractNumId w:val="9"/>
  </w:num>
  <w:num w:numId="11" w16cid:durableId="21231892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1547628">
    <w:abstractNumId w:val="2"/>
  </w:num>
  <w:num w:numId="13" w16cid:durableId="1674143061">
    <w:abstractNumId w:val="9"/>
  </w:num>
  <w:num w:numId="14" w16cid:durableId="1128278431">
    <w:abstractNumId w:val="9"/>
  </w:num>
  <w:num w:numId="15" w16cid:durableId="390034975">
    <w:abstractNumId w:val="9"/>
  </w:num>
  <w:num w:numId="16" w16cid:durableId="324284484">
    <w:abstractNumId w:val="9"/>
  </w:num>
  <w:num w:numId="17" w16cid:durableId="1530140852">
    <w:abstractNumId w:val="9"/>
  </w:num>
  <w:num w:numId="18" w16cid:durableId="768082758">
    <w:abstractNumId w:val="9"/>
  </w:num>
  <w:num w:numId="19" w16cid:durableId="352148469">
    <w:abstractNumId w:val="9"/>
  </w:num>
  <w:num w:numId="20" w16cid:durableId="1677071216">
    <w:abstractNumId w:val="9"/>
  </w:num>
  <w:num w:numId="21" w16cid:durableId="4672577">
    <w:abstractNumId w:val="9"/>
  </w:num>
  <w:num w:numId="22" w16cid:durableId="1671369517">
    <w:abstractNumId w:val="9"/>
  </w:num>
  <w:num w:numId="23" w16cid:durableId="1185097520">
    <w:abstractNumId w:val="9"/>
  </w:num>
  <w:num w:numId="24" w16cid:durableId="960458536">
    <w:abstractNumId w:val="9"/>
  </w:num>
  <w:num w:numId="25" w16cid:durableId="1077559741">
    <w:abstractNumId w:val="9"/>
  </w:num>
  <w:num w:numId="26" w16cid:durableId="1333794373">
    <w:abstractNumId w:val="9"/>
  </w:num>
  <w:num w:numId="27" w16cid:durableId="296692958">
    <w:abstractNumId w:val="9"/>
  </w:num>
  <w:num w:numId="28" w16cid:durableId="910625092">
    <w:abstractNumId w:val="9"/>
  </w:num>
  <w:num w:numId="29" w16cid:durableId="1780291620">
    <w:abstractNumId w:val="9"/>
  </w:num>
  <w:num w:numId="30" w16cid:durableId="838228680">
    <w:abstractNumId w:val="9"/>
  </w:num>
  <w:num w:numId="31" w16cid:durableId="1447431665">
    <w:abstractNumId w:val="9"/>
  </w:num>
  <w:num w:numId="32" w16cid:durableId="1787895129">
    <w:abstractNumId w:val="9"/>
  </w:num>
  <w:num w:numId="33" w16cid:durableId="1916549841">
    <w:abstractNumId w:val="9"/>
  </w:num>
  <w:num w:numId="34" w16cid:durableId="1091318989">
    <w:abstractNumId w:val="9"/>
  </w:num>
  <w:num w:numId="35" w16cid:durableId="181631114">
    <w:abstractNumId w:val="9"/>
  </w:num>
  <w:num w:numId="36" w16cid:durableId="84885672">
    <w:abstractNumId w:val="9"/>
  </w:num>
  <w:num w:numId="37" w16cid:durableId="167328010">
    <w:abstractNumId w:val="9"/>
  </w:num>
  <w:num w:numId="38" w16cid:durableId="1231119548">
    <w:abstractNumId w:val="9"/>
  </w:num>
  <w:num w:numId="39" w16cid:durableId="639313211">
    <w:abstractNumId w:val="9"/>
  </w:num>
  <w:num w:numId="40" w16cid:durableId="1364937588">
    <w:abstractNumId w:val="9"/>
  </w:num>
  <w:num w:numId="41" w16cid:durableId="747726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1839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45641738">
    <w:abstractNumId w:val="9"/>
  </w:num>
  <w:num w:numId="44" w16cid:durableId="1841776627">
    <w:abstractNumId w:val="5"/>
  </w:num>
  <w:num w:numId="45" w16cid:durableId="1385518105">
    <w:abstractNumId w:val="9"/>
  </w:num>
  <w:num w:numId="46" w16cid:durableId="1867712157">
    <w:abstractNumId w:val="9"/>
  </w:num>
  <w:num w:numId="47" w16cid:durableId="492378436">
    <w:abstractNumId w:val="3"/>
  </w:num>
  <w:num w:numId="48" w16cid:durableId="2131969428">
    <w:abstractNumId w:val="9"/>
  </w:num>
  <w:num w:numId="49" w16cid:durableId="975454949">
    <w:abstractNumId w:val="9"/>
  </w:num>
  <w:num w:numId="50" w16cid:durableId="2050914946">
    <w:abstractNumId w:val="9"/>
  </w:num>
  <w:num w:numId="51" w16cid:durableId="473448220">
    <w:abstractNumId w:val="9"/>
  </w:num>
  <w:num w:numId="52" w16cid:durableId="1093042103">
    <w:abstractNumId w:val="9"/>
  </w:num>
  <w:num w:numId="53" w16cid:durableId="475146031">
    <w:abstractNumId w:val="9"/>
  </w:num>
  <w:num w:numId="54" w16cid:durableId="200827775">
    <w:abstractNumId w:val="9"/>
  </w:num>
  <w:num w:numId="55" w16cid:durableId="1117139853">
    <w:abstractNumId w:val="9"/>
  </w:num>
  <w:num w:numId="56" w16cid:durableId="1228298682">
    <w:abstractNumId w:val="9"/>
  </w:num>
  <w:num w:numId="57" w16cid:durableId="1953895541">
    <w:abstractNumId w:val="9"/>
  </w:num>
  <w:num w:numId="58" w16cid:durableId="1834367014">
    <w:abstractNumId w:val="9"/>
  </w:num>
  <w:num w:numId="59" w16cid:durableId="1817337205">
    <w:abstractNumId w:val="9"/>
  </w:num>
  <w:num w:numId="60" w16cid:durableId="884175428">
    <w:abstractNumId w:val="9"/>
  </w:num>
  <w:num w:numId="61" w16cid:durableId="1848206455">
    <w:abstractNumId w:val="9"/>
  </w:num>
  <w:num w:numId="62" w16cid:durableId="1296905971">
    <w:abstractNumId w:val="9"/>
  </w:num>
  <w:num w:numId="63" w16cid:durableId="1193377094">
    <w:abstractNumId w:val="9"/>
  </w:num>
  <w:num w:numId="64" w16cid:durableId="745344684">
    <w:abstractNumId w:val="9"/>
  </w:num>
  <w:num w:numId="65" w16cid:durableId="625158439">
    <w:abstractNumId w:val="9"/>
  </w:num>
  <w:num w:numId="66" w16cid:durableId="1647660450">
    <w:abstractNumId w:val="9"/>
  </w:num>
  <w:num w:numId="67" w16cid:durableId="1092434707">
    <w:abstractNumId w:val="9"/>
  </w:num>
  <w:num w:numId="68" w16cid:durableId="51587676">
    <w:abstractNumId w:val="8"/>
  </w:num>
  <w:num w:numId="69" w16cid:durableId="2024237242">
    <w:abstractNumId w:val="9"/>
  </w:num>
  <w:num w:numId="70" w16cid:durableId="1088234816">
    <w:abstractNumId w:val="1"/>
  </w:num>
  <w:num w:numId="71" w16cid:durableId="212086073">
    <w:abstractNumId w:val="9"/>
  </w:num>
  <w:num w:numId="72" w16cid:durableId="509878049">
    <w:abstractNumId w:val="9"/>
  </w:num>
  <w:num w:numId="73" w16cid:durableId="1970436048">
    <w:abstractNumId w:val="9"/>
  </w:num>
  <w:num w:numId="74" w16cid:durableId="739520522">
    <w:abstractNumId w:val="9"/>
  </w:num>
  <w:num w:numId="75" w16cid:durableId="866331986">
    <w:abstractNumId w:val="9"/>
  </w:num>
  <w:num w:numId="76" w16cid:durableId="363753967">
    <w:abstractNumId w:val="6"/>
  </w:num>
  <w:num w:numId="77" w16cid:durableId="1275796001">
    <w:abstractNumId w:val="9"/>
  </w:num>
  <w:num w:numId="78" w16cid:durableId="200896412">
    <w:abstractNumId w:val="9"/>
  </w:num>
  <w:num w:numId="79" w16cid:durableId="932737593">
    <w:abstractNumId w:val="9"/>
  </w:num>
  <w:num w:numId="80" w16cid:durableId="165481648">
    <w:abstractNumId w:val="1"/>
  </w:num>
  <w:num w:numId="81" w16cid:durableId="1148009033">
    <w:abstractNumId w:val="4"/>
  </w:num>
  <w:num w:numId="82" w16cid:durableId="669597967">
    <w:abstractNumId w:val="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500"/>
    <w:rsid w:val="00033324"/>
    <w:rsid w:val="000654EE"/>
    <w:rsid w:val="00091B0C"/>
    <w:rsid w:val="000E6EDE"/>
    <w:rsid w:val="000F33CB"/>
    <w:rsid w:val="00110DCC"/>
    <w:rsid w:val="004708B6"/>
    <w:rsid w:val="004D7BCA"/>
    <w:rsid w:val="00513AA2"/>
    <w:rsid w:val="005B6F5F"/>
    <w:rsid w:val="005D1C56"/>
    <w:rsid w:val="005E1751"/>
    <w:rsid w:val="00693E96"/>
    <w:rsid w:val="006A11C8"/>
    <w:rsid w:val="006B43FC"/>
    <w:rsid w:val="006D5E4C"/>
    <w:rsid w:val="006D74B7"/>
    <w:rsid w:val="006F25A9"/>
    <w:rsid w:val="007D14F5"/>
    <w:rsid w:val="007D6D10"/>
    <w:rsid w:val="00812463"/>
    <w:rsid w:val="00835F1E"/>
    <w:rsid w:val="008C6160"/>
    <w:rsid w:val="009674CA"/>
    <w:rsid w:val="009D2097"/>
    <w:rsid w:val="009E29BA"/>
    <w:rsid w:val="00A10500"/>
    <w:rsid w:val="00AB2FD4"/>
    <w:rsid w:val="00AE222F"/>
    <w:rsid w:val="00AE7B8A"/>
    <w:rsid w:val="00AF2064"/>
    <w:rsid w:val="00B415E4"/>
    <w:rsid w:val="00B82633"/>
    <w:rsid w:val="00BC7C20"/>
    <w:rsid w:val="00BE41E9"/>
    <w:rsid w:val="00C20902"/>
    <w:rsid w:val="00C42F87"/>
    <w:rsid w:val="00CB349E"/>
    <w:rsid w:val="00DF60B4"/>
    <w:rsid w:val="00E420BC"/>
    <w:rsid w:val="00E42944"/>
    <w:rsid w:val="00E96923"/>
    <w:rsid w:val="00EF0EA0"/>
    <w:rsid w:val="00EF7368"/>
    <w:rsid w:val="00F043AA"/>
    <w:rsid w:val="00F115E2"/>
    <w:rsid w:val="00FA63E8"/>
    <w:rsid w:val="00FD2E82"/>
    <w:rsid w:val="00FF0B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B00A24"/>
  <w15:docId w15:val="{208FEFFA-3160-4A48-815F-80163F37F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ind w:left="360" w:hanging="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DefinitionNumbering1">
    <w:name w:val="Definition Numbering 1"/>
    <w:basedOn w:val="Normal"/>
    <w:pPr>
      <w:adjustRightInd w:val="0"/>
      <w:spacing w:after="240" w:line="240" w:lineRule="auto"/>
      <w:jc w:val="both"/>
      <w:outlineLvl w:val="0"/>
    </w:pPr>
    <w:rPr>
      <w:rFonts w:ascii="Times New Roman" w:eastAsia="STZhongsong" w:hAnsi="Times New Roman"/>
      <w:szCs w:val="20"/>
      <w:lang w:eastAsia="zh-CN"/>
    </w:rPr>
  </w:style>
  <w:style w:type="paragraph" w:styleId="Revision">
    <w:name w:val="Revision"/>
    <w:hidden/>
    <w:uiPriority w:val="99"/>
    <w:semiHidden/>
    <w:rsid w:val="00CB349E"/>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9D2097"/>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57011523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45504098">
      <w:bodyDiv w:val="1"/>
      <w:marLeft w:val="0"/>
      <w:marRight w:val="0"/>
      <w:marTop w:val="0"/>
      <w:marBottom w:val="0"/>
      <w:divBdr>
        <w:top w:val="none" w:sz="0" w:space="0" w:color="auto"/>
        <w:left w:val="none" w:sz="0" w:space="0" w:color="auto"/>
        <w:bottom w:val="none" w:sz="0" w:space="0" w:color="auto"/>
        <w:right w:val="none" w:sz="0" w:space="0" w:color="auto"/>
      </w:divBdr>
      <w:divsChild>
        <w:div w:id="2050564464">
          <w:marLeft w:val="0"/>
          <w:marRight w:val="0"/>
          <w:marTop w:val="0"/>
          <w:marBottom w:val="0"/>
          <w:divBdr>
            <w:top w:val="none" w:sz="0" w:space="0" w:color="auto"/>
            <w:left w:val="none" w:sz="0" w:space="0" w:color="auto"/>
            <w:bottom w:val="none" w:sz="0" w:space="0" w:color="auto"/>
            <w:right w:val="none" w:sz="0" w:space="0" w:color="auto"/>
          </w:divBdr>
        </w:div>
        <w:div w:id="1656452506">
          <w:marLeft w:val="0"/>
          <w:marRight w:val="0"/>
          <w:marTop w:val="0"/>
          <w:marBottom w:val="0"/>
          <w:divBdr>
            <w:top w:val="none" w:sz="0" w:space="0" w:color="auto"/>
            <w:left w:val="none" w:sz="0" w:space="0" w:color="auto"/>
            <w:bottom w:val="none" w:sz="0" w:space="0" w:color="auto"/>
            <w:right w:val="none" w:sz="0" w:space="0" w:color="auto"/>
          </w:divBdr>
        </w:div>
      </w:divsChild>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22729784">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8DA1F-DB4C-47C9-A4F0-358482E1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1030</Words>
  <Characters>5874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Microsoft Office User</cp:lastModifiedBy>
  <cp:revision>5</cp:revision>
  <dcterms:created xsi:type="dcterms:W3CDTF">2019-08-12T10:46:00Z</dcterms:created>
  <dcterms:modified xsi:type="dcterms:W3CDTF">2022-09-29T09:02:00Z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