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67" w:rsidRDefault="00B82126" w:rsidP="00620AD1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AD550A">
        <w:rPr>
          <w:rFonts w:ascii="Arial" w:hAnsi="Arial" w:cs="Arial"/>
          <w:b/>
          <w:sz w:val="28"/>
          <w:szCs w:val="28"/>
        </w:rPr>
        <w:t>CHEDULE 4 -</w:t>
      </w:r>
      <w:r w:rsidR="00CC2567" w:rsidRPr="00745FF1">
        <w:rPr>
          <w:rFonts w:ascii="Arial" w:hAnsi="Arial" w:cs="Arial"/>
          <w:b/>
          <w:sz w:val="28"/>
          <w:szCs w:val="28"/>
        </w:rPr>
        <w:t xml:space="preserve"> QUALITY REQUIREMENTS</w:t>
      </w:r>
    </w:p>
    <w:p w:rsidR="00F336F9" w:rsidRDefault="00F336F9" w:rsidP="00C52C23">
      <w:pPr>
        <w:spacing w:after="0"/>
        <w:rPr>
          <w:rFonts w:ascii="Arial" w:hAnsi="Arial" w:cs="Arial"/>
          <w:sz w:val="20"/>
        </w:rPr>
      </w:pPr>
    </w:p>
    <w:p w:rsidR="00C52C23" w:rsidRDefault="00C52C23" w:rsidP="00DC70BE">
      <w:pPr>
        <w:pStyle w:val="ListParagraph"/>
        <w:numPr>
          <w:ilvl w:val="0"/>
          <w:numId w:val="7"/>
        </w:numPr>
        <w:ind w:left="1066" w:hanging="357"/>
        <w:contextualSpacing/>
        <w:jc w:val="center"/>
        <w:outlineLvl w:val="1"/>
        <w:rPr>
          <w:rFonts w:ascii="Arial" w:hAnsi="Arial" w:cs="Arial"/>
          <w:b/>
        </w:rPr>
      </w:pPr>
      <w:bookmarkStart w:id="0" w:name="_Toc343591401"/>
      <w:r w:rsidRPr="00232D57">
        <w:rPr>
          <w:rFonts w:ascii="Arial" w:hAnsi="Arial" w:cs="Arial"/>
          <w:b/>
        </w:rPr>
        <w:t>Local Quality Requirements</w:t>
      </w:r>
      <w:bookmarkEnd w:id="0"/>
    </w:p>
    <w:p w:rsidR="00872D3B" w:rsidRPr="004F0D3F" w:rsidRDefault="00872D3B" w:rsidP="00872D3B">
      <w:pPr>
        <w:pStyle w:val="ListParagraph"/>
        <w:spacing w:line="276" w:lineRule="auto"/>
        <w:ind w:left="1070"/>
        <w:contextualSpacing/>
        <w:outlineLvl w:val="1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2978"/>
        <w:gridCol w:w="2969"/>
        <w:gridCol w:w="2980"/>
        <w:gridCol w:w="2981"/>
        <w:gridCol w:w="2982"/>
      </w:tblGrid>
      <w:tr w:rsidR="00B855B1" w:rsidTr="009A5B08">
        <w:tc>
          <w:tcPr>
            <w:tcW w:w="500" w:type="dxa"/>
            <w:vAlign w:val="center"/>
          </w:tcPr>
          <w:p w:rsidR="00B855B1" w:rsidRPr="00407D27" w:rsidRDefault="002F4109" w:rsidP="007F1121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#</w:t>
            </w:r>
          </w:p>
        </w:tc>
        <w:tc>
          <w:tcPr>
            <w:tcW w:w="2978" w:type="dxa"/>
            <w:vAlign w:val="center"/>
          </w:tcPr>
          <w:p w:rsidR="00B855B1" w:rsidRPr="00171A25" w:rsidRDefault="00B855B1" w:rsidP="007F11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71A25">
              <w:rPr>
                <w:rFonts w:ascii="Arial" w:hAnsi="Arial" w:cs="Arial"/>
                <w:b/>
                <w:bCs/>
                <w:sz w:val="20"/>
              </w:rPr>
              <w:t>Quality Requirement</w:t>
            </w:r>
          </w:p>
        </w:tc>
        <w:tc>
          <w:tcPr>
            <w:tcW w:w="2969" w:type="dxa"/>
            <w:vAlign w:val="center"/>
          </w:tcPr>
          <w:p w:rsidR="00B855B1" w:rsidRPr="00171A25" w:rsidRDefault="00B855B1" w:rsidP="007F1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80" w:type="dxa"/>
            <w:vAlign w:val="center"/>
          </w:tcPr>
          <w:p w:rsidR="00B855B1" w:rsidRPr="00171A25" w:rsidRDefault="00B855B1" w:rsidP="007F1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81" w:type="dxa"/>
            <w:vAlign w:val="center"/>
          </w:tcPr>
          <w:p w:rsidR="00B855B1" w:rsidRPr="00171A25" w:rsidRDefault="00D35217" w:rsidP="007F1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2982" w:type="dxa"/>
            <w:vAlign w:val="center"/>
          </w:tcPr>
          <w:p w:rsidR="00B855B1" w:rsidRDefault="00B855B1" w:rsidP="007F11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BD73AA" w:rsidTr="007203AD">
        <w:tc>
          <w:tcPr>
            <w:tcW w:w="505" w:type="dxa"/>
          </w:tcPr>
          <w:p w:rsidR="00BD73AA" w:rsidRPr="00AC5FE2" w:rsidRDefault="00AC5FE2" w:rsidP="007203AD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022" w:type="dxa"/>
            <w:shd w:val="clear" w:color="auto" w:fill="auto"/>
          </w:tcPr>
          <w:p w:rsidR="00BD73AA" w:rsidRDefault="00BD73AA" w:rsidP="00BD73AA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Percentage of Service Users reporting an improvement in their conditions via a validated clinical outcome survey(e.g. MSK-HQ, PROMS) at the end of their care pathway compared to the star </w:t>
            </w:r>
          </w:p>
        </w:tc>
        <w:tc>
          <w:tcPr>
            <w:tcW w:w="3020" w:type="dxa"/>
          </w:tcPr>
          <w:p w:rsidR="00BD73AA" w:rsidRDefault="00C76C84" w:rsidP="00D526F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95</w:t>
            </w:r>
            <w:r w:rsidR="00BD73AA">
              <w:rPr>
                <w:rFonts w:ascii="Arial" w:hAnsi="Arial" w:cs="Arial"/>
                <w:i/>
                <w:sz w:val="20"/>
              </w:rPr>
              <w:t>%</w:t>
            </w:r>
          </w:p>
        </w:tc>
        <w:tc>
          <w:tcPr>
            <w:tcW w:w="3022" w:type="dxa"/>
          </w:tcPr>
          <w:p w:rsidR="00BD73AA" w:rsidRDefault="00BD73AA" w:rsidP="00D81269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BD73AA" w:rsidRPr="00407D27" w:rsidRDefault="00BD73AA" w:rsidP="00D81269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23" w:type="dxa"/>
            <w:shd w:val="clear" w:color="auto" w:fill="auto"/>
          </w:tcPr>
          <w:p w:rsidR="00BD73AA" w:rsidRPr="00407D27" w:rsidRDefault="00BD73AA" w:rsidP="007E5542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Service Users </w:t>
            </w:r>
            <w:r w:rsidR="007E5542">
              <w:rPr>
                <w:rFonts w:ascii="Arial" w:hAnsi="Arial" w:cs="Arial"/>
                <w:i/>
                <w:sz w:val="20"/>
              </w:rPr>
              <w:t xml:space="preserve">reporting an improvement in their conditions via a validated clinical outcome survey(e.g. MSK-HQ, PROMS) at the end of their care pathway compared to the star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achieves or </w:t>
            </w:r>
            <w:r w:rsidR="007E5542">
              <w:rPr>
                <w:rFonts w:ascii="Arial" w:hAnsi="Arial" w:cs="Arial"/>
                <w:i/>
                <w:sz w:val="20"/>
              </w:rPr>
              <w:t>exceeds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3024" w:type="dxa"/>
            <w:shd w:val="clear" w:color="auto" w:fill="auto"/>
          </w:tcPr>
          <w:p w:rsidR="00BD73AA" w:rsidRDefault="009A5B08" w:rsidP="00D81269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9A5B08" w:rsidTr="007203AD">
        <w:tc>
          <w:tcPr>
            <w:tcW w:w="505" w:type="dxa"/>
          </w:tcPr>
          <w:p w:rsidR="009A5B08" w:rsidRPr="00AC5FE2" w:rsidRDefault="009A5B08" w:rsidP="009A5B0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022" w:type="dxa"/>
            <w:shd w:val="clear" w:color="auto" w:fill="auto"/>
          </w:tcPr>
          <w:p w:rsidR="009A5B08" w:rsidRPr="00407D27" w:rsidRDefault="009A5B08" w:rsidP="009A5B08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Percentage of 200 randomly chosen Service Users who indicate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they ha</w:t>
            </w:r>
            <w:r>
              <w:rPr>
                <w:rFonts w:ascii="Arial" w:hAnsi="Arial" w:cs="Arial"/>
                <w:i/>
                <w:sz w:val="20"/>
              </w:rPr>
              <w:t>ve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been actively involved in developing their care plan (including goal setting, preferences and treatment)</w:t>
            </w:r>
            <w:r>
              <w:rPr>
                <w:rFonts w:ascii="Arial" w:hAnsi="Arial" w:cs="Arial"/>
                <w:i/>
                <w:sz w:val="20"/>
              </w:rPr>
              <w:t xml:space="preserve"> (Shared Decision M</w:t>
            </w:r>
            <w:r w:rsidRPr="00C8240C">
              <w:rPr>
                <w:rFonts w:ascii="Arial" w:hAnsi="Arial" w:cs="Arial"/>
                <w:i/>
                <w:sz w:val="20"/>
              </w:rPr>
              <w:t>aking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020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100%</w:t>
            </w:r>
          </w:p>
        </w:tc>
        <w:tc>
          <w:tcPr>
            <w:tcW w:w="3022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</w:t>
            </w:r>
            <w:r>
              <w:rPr>
                <w:rFonts w:ascii="Arial" w:hAnsi="Arial" w:cs="Arial"/>
                <w:i/>
                <w:sz w:val="20"/>
              </w:rPr>
              <w:t>bi-annually (April &amp; September)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</w:t>
            </w:r>
            <w:r>
              <w:rPr>
                <w:rFonts w:ascii="Arial" w:hAnsi="Arial" w:cs="Arial"/>
                <w:i/>
                <w:sz w:val="20"/>
              </w:rPr>
              <w:t xml:space="preserve"> audit and reported via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3023" w:type="dxa"/>
            <w:shd w:val="clear" w:color="auto" w:fill="auto"/>
          </w:tcPr>
          <w:p w:rsidR="009A5B08" w:rsidRPr="00407D27" w:rsidRDefault="009A5B08" w:rsidP="009A5B0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</w:t>
            </w:r>
            <w:r>
              <w:rPr>
                <w:rFonts w:ascii="Arial" w:hAnsi="Arial" w:cs="Arial"/>
                <w:i/>
                <w:sz w:val="20"/>
              </w:rPr>
              <w:t>randomly chosen Service Users who indicate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they ha</w:t>
            </w:r>
            <w:r>
              <w:rPr>
                <w:rFonts w:ascii="Arial" w:hAnsi="Arial" w:cs="Arial"/>
                <w:i/>
                <w:sz w:val="20"/>
              </w:rPr>
              <w:t>ve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been actively involved in developing their care plan (including goal setting, preferences and treatment)</w:t>
            </w:r>
            <w:r>
              <w:rPr>
                <w:rFonts w:ascii="Arial" w:hAnsi="Arial" w:cs="Arial"/>
                <w:i/>
                <w:sz w:val="20"/>
              </w:rPr>
              <w:t xml:space="preserve"> (Shared Decision M</w:t>
            </w:r>
            <w:r w:rsidRPr="00C8240C">
              <w:rPr>
                <w:rFonts w:ascii="Arial" w:hAnsi="Arial" w:cs="Arial"/>
                <w:i/>
                <w:sz w:val="20"/>
              </w:rPr>
              <w:t>aking</w:t>
            </w:r>
            <w:r>
              <w:rPr>
                <w:rFonts w:ascii="Arial" w:hAnsi="Arial" w:cs="Arial"/>
                <w:i/>
                <w:sz w:val="20"/>
              </w:rPr>
              <w:t xml:space="preserve">)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achieves </w:t>
            </w:r>
            <w:r>
              <w:rPr>
                <w:rFonts w:ascii="Arial" w:hAnsi="Arial" w:cs="Arial"/>
                <w:i/>
                <w:sz w:val="20"/>
              </w:rPr>
              <w:t>the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threshold in any </w:t>
            </w:r>
            <w:r>
              <w:rPr>
                <w:rFonts w:ascii="Arial" w:hAnsi="Arial" w:cs="Arial"/>
                <w:i/>
                <w:sz w:val="20"/>
              </w:rPr>
              <w:t>6 month period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3024" w:type="dxa"/>
            <w:shd w:val="clear" w:color="auto" w:fill="auto"/>
          </w:tcPr>
          <w:p w:rsidR="009A5B08" w:rsidRDefault="009A5B08" w:rsidP="009A5B08">
            <w:r w:rsidRPr="00282808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9A5B08" w:rsidTr="009A5B08">
        <w:tc>
          <w:tcPr>
            <w:tcW w:w="500" w:type="dxa"/>
          </w:tcPr>
          <w:p w:rsidR="009A5B08" w:rsidRPr="00AC5FE2" w:rsidRDefault="009A5B08" w:rsidP="009A5B0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9A5B08" w:rsidRPr="00407D27" w:rsidRDefault="009A5B08" w:rsidP="009A5B08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Percentage of 200 randomly chosen Service Users who indicate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they ha</w:t>
            </w:r>
            <w:r>
              <w:rPr>
                <w:rFonts w:ascii="Arial" w:hAnsi="Arial" w:cs="Arial"/>
                <w:i/>
                <w:sz w:val="20"/>
              </w:rPr>
              <w:t xml:space="preserve">ve been given 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self-care and self-management </w:t>
            </w:r>
            <w:r>
              <w:rPr>
                <w:rFonts w:ascii="Arial" w:hAnsi="Arial" w:cs="Arial"/>
                <w:i/>
                <w:sz w:val="20"/>
              </w:rPr>
              <w:t>advice and guidance</w:t>
            </w:r>
          </w:p>
        </w:tc>
        <w:tc>
          <w:tcPr>
            <w:tcW w:w="2969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100%</w:t>
            </w:r>
          </w:p>
        </w:tc>
        <w:tc>
          <w:tcPr>
            <w:tcW w:w="2980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</w:t>
            </w:r>
            <w:r>
              <w:rPr>
                <w:rFonts w:ascii="Arial" w:hAnsi="Arial" w:cs="Arial"/>
                <w:i/>
                <w:sz w:val="20"/>
              </w:rPr>
              <w:t>bi-annually (April &amp; September)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</w:t>
            </w:r>
            <w:r>
              <w:rPr>
                <w:rFonts w:ascii="Arial" w:hAnsi="Arial" w:cs="Arial"/>
                <w:i/>
                <w:sz w:val="20"/>
              </w:rPr>
              <w:t xml:space="preserve"> audit and reported via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81" w:type="dxa"/>
            <w:shd w:val="clear" w:color="auto" w:fill="auto"/>
          </w:tcPr>
          <w:p w:rsidR="009A5B08" w:rsidRPr="00407D27" w:rsidRDefault="009A5B08" w:rsidP="009A5B0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</w:t>
            </w:r>
            <w:r>
              <w:rPr>
                <w:rFonts w:ascii="Arial" w:hAnsi="Arial" w:cs="Arial"/>
                <w:i/>
                <w:sz w:val="20"/>
              </w:rPr>
              <w:t>randomly chosen Service Users who indicate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they ha</w:t>
            </w:r>
            <w:r>
              <w:rPr>
                <w:rFonts w:ascii="Arial" w:hAnsi="Arial" w:cs="Arial"/>
                <w:i/>
                <w:sz w:val="20"/>
              </w:rPr>
              <w:t>ve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been given </w:t>
            </w:r>
            <w:r w:rsidRPr="00C8240C">
              <w:rPr>
                <w:rFonts w:ascii="Arial" w:hAnsi="Arial" w:cs="Arial"/>
                <w:i/>
                <w:sz w:val="20"/>
              </w:rPr>
              <w:t xml:space="preserve">self-care and self-management </w:t>
            </w:r>
            <w:r>
              <w:rPr>
                <w:rFonts w:ascii="Arial" w:hAnsi="Arial" w:cs="Arial"/>
                <w:i/>
                <w:sz w:val="20"/>
              </w:rPr>
              <w:t>advice and guidance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achieves </w:t>
            </w:r>
            <w:r>
              <w:rPr>
                <w:rFonts w:ascii="Arial" w:hAnsi="Arial" w:cs="Arial"/>
                <w:i/>
                <w:sz w:val="20"/>
              </w:rPr>
              <w:t>the threshold at the end of the six months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82" w:type="dxa"/>
            <w:shd w:val="clear" w:color="auto" w:fill="auto"/>
          </w:tcPr>
          <w:p w:rsidR="009A5B08" w:rsidRDefault="009A5B08" w:rsidP="009A5B08">
            <w:r w:rsidRPr="00282808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</w:tbl>
    <w:p w:rsidR="00AC5FE2" w:rsidRDefault="00AC5FE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2978"/>
        <w:gridCol w:w="2969"/>
        <w:gridCol w:w="2980"/>
        <w:gridCol w:w="2981"/>
        <w:gridCol w:w="2982"/>
      </w:tblGrid>
      <w:tr w:rsidR="007203AD" w:rsidTr="009A5B08">
        <w:tc>
          <w:tcPr>
            <w:tcW w:w="500" w:type="dxa"/>
            <w:vAlign w:val="center"/>
          </w:tcPr>
          <w:p w:rsidR="007203AD" w:rsidRPr="00407D27" w:rsidRDefault="007203AD" w:rsidP="00EB785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#</w:t>
            </w:r>
          </w:p>
        </w:tc>
        <w:tc>
          <w:tcPr>
            <w:tcW w:w="2978" w:type="dxa"/>
            <w:vAlign w:val="center"/>
          </w:tcPr>
          <w:p w:rsidR="007203AD" w:rsidRPr="00171A25" w:rsidRDefault="007203AD" w:rsidP="00EB78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71A25">
              <w:rPr>
                <w:rFonts w:ascii="Arial" w:hAnsi="Arial" w:cs="Arial"/>
                <w:b/>
                <w:bCs/>
                <w:sz w:val="20"/>
              </w:rPr>
              <w:t>Quality Requirement</w:t>
            </w:r>
          </w:p>
        </w:tc>
        <w:tc>
          <w:tcPr>
            <w:tcW w:w="2969" w:type="dxa"/>
            <w:vAlign w:val="center"/>
          </w:tcPr>
          <w:p w:rsidR="007203AD" w:rsidRPr="00171A25" w:rsidRDefault="007203AD" w:rsidP="00EB78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80" w:type="dxa"/>
            <w:vAlign w:val="center"/>
          </w:tcPr>
          <w:p w:rsidR="007203AD" w:rsidRPr="00171A25" w:rsidRDefault="007203AD" w:rsidP="00EB78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81" w:type="dxa"/>
            <w:vAlign w:val="center"/>
          </w:tcPr>
          <w:p w:rsidR="007203AD" w:rsidRPr="00171A25" w:rsidRDefault="007203AD" w:rsidP="00EB78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2982" w:type="dxa"/>
            <w:vAlign w:val="center"/>
          </w:tcPr>
          <w:p w:rsidR="007203AD" w:rsidRDefault="007203AD" w:rsidP="00EB785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9A5B08" w:rsidTr="00983142">
        <w:tc>
          <w:tcPr>
            <w:tcW w:w="505" w:type="dxa"/>
          </w:tcPr>
          <w:p w:rsidR="009A5B08" w:rsidRPr="00AC5FE2" w:rsidRDefault="009A5B08" w:rsidP="009A5B0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022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 answering “Extremely Likely” or “Likely” to recommend the Service to a friend or family member via the Family &amp; Friends Test</w:t>
            </w:r>
          </w:p>
        </w:tc>
        <w:tc>
          <w:tcPr>
            <w:tcW w:w="3020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85</w:t>
            </w:r>
            <w:r w:rsidRPr="00407D27">
              <w:rPr>
                <w:rFonts w:ascii="Arial" w:hAnsi="Arial" w:cs="Arial"/>
                <w:i/>
                <w:sz w:val="20"/>
              </w:rPr>
              <w:t>%</w:t>
            </w:r>
          </w:p>
        </w:tc>
        <w:tc>
          <w:tcPr>
            <w:tcW w:w="3022" w:type="dxa"/>
          </w:tcPr>
          <w:p w:rsidR="009A5B08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9A5B08" w:rsidRPr="00407D27" w:rsidRDefault="009A5B08" w:rsidP="009A5B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3" w:type="dxa"/>
          </w:tcPr>
          <w:p w:rsidR="009A5B08" w:rsidRDefault="009A5B08" w:rsidP="009A5B0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Service Users answering “Extremely Likely” or “Likely” to recommend the Service to a friend or family member via the Family &amp; Friends Test </w:t>
            </w:r>
          </w:p>
          <w:p w:rsidR="009A5B08" w:rsidRPr="00407D27" w:rsidRDefault="009A5B08" w:rsidP="009A5B0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achieves or exceeds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3024" w:type="dxa"/>
          </w:tcPr>
          <w:p w:rsidR="009A5B08" w:rsidRDefault="009A5B08" w:rsidP="009A5B08">
            <w:r w:rsidRPr="003826DA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9A5B08" w:rsidTr="009A5B08">
        <w:tc>
          <w:tcPr>
            <w:tcW w:w="500" w:type="dxa"/>
          </w:tcPr>
          <w:p w:rsidR="009A5B08" w:rsidRPr="00AC5FE2" w:rsidRDefault="009A5B08" w:rsidP="009A5B0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 answering</w:t>
            </w:r>
            <w:r>
              <w:rPr>
                <w:rFonts w:ascii="Arial" w:hAnsi="Arial" w:cs="Arial"/>
                <w:i/>
                <w:sz w:val="20"/>
              </w:rPr>
              <w:t xml:space="preserve"> “Extremely Unl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ikely” or </w:t>
            </w:r>
            <w:r>
              <w:rPr>
                <w:rFonts w:ascii="Arial" w:hAnsi="Arial" w:cs="Arial"/>
                <w:i/>
                <w:sz w:val="20"/>
              </w:rPr>
              <w:t>“Unl</w:t>
            </w:r>
            <w:r w:rsidRPr="00407D27">
              <w:rPr>
                <w:rFonts w:ascii="Arial" w:hAnsi="Arial" w:cs="Arial"/>
                <w:i/>
                <w:sz w:val="20"/>
              </w:rPr>
              <w:t>ikely” to recommend the Service to a friend or family member via the Family &amp; Friends Test</w:t>
            </w:r>
          </w:p>
        </w:tc>
        <w:tc>
          <w:tcPr>
            <w:tcW w:w="2969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5%</w:t>
            </w:r>
          </w:p>
        </w:tc>
        <w:tc>
          <w:tcPr>
            <w:tcW w:w="2980" w:type="dxa"/>
          </w:tcPr>
          <w:p w:rsidR="009A5B08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1" w:type="dxa"/>
          </w:tcPr>
          <w:p w:rsidR="009A5B08" w:rsidRPr="00407D27" w:rsidRDefault="009A5B08" w:rsidP="009A5B0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Service Users answering “Extremely </w:t>
            </w:r>
            <w:r>
              <w:rPr>
                <w:rFonts w:ascii="Arial" w:hAnsi="Arial" w:cs="Arial"/>
                <w:i/>
                <w:sz w:val="20"/>
              </w:rPr>
              <w:t>Unlikely” or “Unli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kely” to recommend the Service to a friend or family member via the Family &amp; Friends Test achieves or </w:t>
            </w:r>
            <w:r>
              <w:rPr>
                <w:rFonts w:ascii="Arial" w:hAnsi="Arial" w:cs="Arial"/>
                <w:i/>
                <w:sz w:val="20"/>
              </w:rPr>
              <w:t xml:space="preserve">is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below 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0.xxx%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82" w:type="dxa"/>
          </w:tcPr>
          <w:p w:rsidR="009A5B08" w:rsidRDefault="009A5B08" w:rsidP="009A5B08">
            <w:r w:rsidRPr="003826DA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9A5B08" w:rsidTr="009A5B08">
        <w:tc>
          <w:tcPr>
            <w:tcW w:w="500" w:type="dxa"/>
          </w:tcPr>
          <w:p w:rsidR="009A5B08" w:rsidRDefault="009A5B08" w:rsidP="009A5B0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:rsidR="009A5B08" w:rsidRPr="00407D27" w:rsidRDefault="009A5B08" w:rsidP="009A5B0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referring practices answering “Extremely Satisfied” or “Satisfied” with the Service</w:t>
            </w:r>
          </w:p>
        </w:tc>
        <w:tc>
          <w:tcPr>
            <w:tcW w:w="2969" w:type="dxa"/>
          </w:tcPr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85</w:t>
            </w:r>
            <w:r w:rsidRPr="00407D27">
              <w:rPr>
                <w:rFonts w:ascii="Arial" w:hAnsi="Arial" w:cs="Arial"/>
                <w:i/>
                <w:sz w:val="20"/>
              </w:rPr>
              <w:t>%</w:t>
            </w:r>
          </w:p>
        </w:tc>
        <w:tc>
          <w:tcPr>
            <w:tcW w:w="2980" w:type="dxa"/>
          </w:tcPr>
          <w:p w:rsidR="009A5B08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</w:t>
            </w:r>
            <w:r>
              <w:rPr>
                <w:rFonts w:ascii="Arial" w:hAnsi="Arial" w:cs="Arial"/>
                <w:i/>
                <w:sz w:val="20"/>
              </w:rPr>
              <w:t xml:space="preserve">each six </w:t>
            </w:r>
            <w:r w:rsidRPr="00407D27">
              <w:rPr>
                <w:rFonts w:ascii="Arial" w:hAnsi="Arial" w:cs="Arial"/>
                <w:i/>
                <w:sz w:val="20"/>
              </w:rPr>
              <w:t>month</w:t>
            </w:r>
            <w:r>
              <w:rPr>
                <w:rFonts w:ascii="Arial" w:hAnsi="Arial" w:cs="Arial"/>
                <w:i/>
                <w:sz w:val="20"/>
              </w:rPr>
              <w:t>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1" w:type="dxa"/>
          </w:tcPr>
          <w:p w:rsidR="009A5B08" w:rsidRPr="00407D27" w:rsidRDefault="009A5B08" w:rsidP="009A5B0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referring practices </w:t>
            </w:r>
          </w:p>
          <w:p w:rsidR="009A5B08" w:rsidRPr="00407D27" w:rsidRDefault="009A5B08" w:rsidP="009A5B0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answering “Extremely Satisfied” or “Satisfied” with the Service via the referrers </w:t>
            </w:r>
            <w:r>
              <w:rPr>
                <w:rFonts w:ascii="Arial" w:hAnsi="Arial" w:cs="Arial"/>
                <w:i/>
                <w:sz w:val="20"/>
              </w:rPr>
              <w:t xml:space="preserve">achieves or </w:t>
            </w:r>
            <w:r w:rsidRPr="00407D27">
              <w:rPr>
                <w:rFonts w:ascii="Arial" w:hAnsi="Arial" w:cs="Arial"/>
                <w:i/>
                <w:sz w:val="20"/>
              </w:rPr>
              <w:t>exceeds the threshold at the end of the six months</w:t>
            </w:r>
            <w:r>
              <w:rPr>
                <w:rFonts w:ascii="Arial" w:hAnsi="Arial" w:cs="Arial"/>
                <w:i/>
                <w:sz w:val="20"/>
              </w:rPr>
              <w:t xml:space="preserve">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82" w:type="dxa"/>
          </w:tcPr>
          <w:p w:rsidR="009A5B08" w:rsidRDefault="009A5B08" w:rsidP="009A5B08">
            <w:r w:rsidRPr="003826DA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</w:tbl>
    <w:p w:rsidR="00AC5FE2" w:rsidRDefault="00AC5FE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p w:rsidR="007E5542" w:rsidRDefault="007E5542" w:rsidP="008260EC">
      <w:pPr>
        <w:contextualSpacing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2978"/>
        <w:gridCol w:w="2969"/>
        <w:gridCol w:w="2980"/>
        <w:gridCol w:w="2981"/>
        <w:gridCol w:w="2982"/>
      </w:tblGrid>
      <w:tr w:rsidR="007E5542" w:rsidTr="006816AD">
        <w:tc>
          <w:tcPr>
            <w:tcW w:w="505" w:type="dxa"/>
            <w:vAlign w:val="center"/>
          </w:tcPr>
          <w:p w:rsidR="007E5542" w:rsidRPr="00407D27" w:rsidRDefault="007E5542" w:rsidP="006816AD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#</w:t>
            </w:r>
          </w:p>
        </w:tc>
        <w:tc>
          <w:tcPr>
            <w:tcW w:w="3022" w:type="dxa"/>
            <w:vAlign w:val="center"/>
          </w:tcPr>
          <w:p w:rsidR="007E5542" w:rsidRPr="00171A25" w:rsidRDefault="007E5542" w:rsidP="006816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71A25">
              <w:rPr>
                <w:rFonts w:ascii="Arial" w:hAnsi="Arial" w:cs="Arial"/>
                <w:b/>
                <w:bCs/>
                <w:sz w:val="20"/>
              </w:rPr>
              <w:t>Quality Requirement</w:t>
            </w:r>
          </w:p>
        </w:tc>
        <w:tc>
          <w:tcPr>
            <w:tcW w:w="3020" w:type="dxa"/>
            <w:vAlign w:val="center"/>
          </w:tcPr>
          <w:p w:rsidR="007E5542" w:rsidRPr="00171A25" w:rsidRDefault="007E5542" w:rsidP="006816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3022" w:type="dxa"/>
            <w:vAlign w:val="center"/>
          </w:tcPr>
          <w:p w:rsidR="007E5542" w:rsidRPr="00171A25" w:rsidRDefault="007E5542" w:rsidP="006816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3023" w:type="dxa"/>
            <w:vAlign w:val="center"/>
          </w:tcPr>
          <w:p w:rsidR="007E5542" w:rsidRPr="00171A25" w:rsidRDefault="007E5542" w:rsidP="006816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3024" w:type="dxa"/>
            <w:vAlign w:val="center"/>
          </w:tcPr>
          <w:p w:rsidR="007E5542" w:rsidRDefault="007E5542" w:rsidP="006816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7E5542" w:rsidTr="007E5542">
        <w:tc>
          <w:tcPr>
            <w:tcW w:w="505" w:type="dxa"/>
          </w:tcPr>
          <w:p w:rsidR="007E5542" w:rsidRDefault="007E5542" w:rsidP="006816AD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022" w:type="dxa"/>
          </w:tcPr>
          <w:p w:rsidR="007E5542" w:rsidRPr="00407D27" w:rsidRDefault="007E5542" w:rsidP="006816AD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referring practices answering “Extremely </w:t>
            </w:r>
            <w:r>
              <w:rPr>
                <w:rFonts w:ascii="Arial" w:hAnsi="Arial" w:cs="Arial"/>
                <w:i/>
                <w:sz w:val="20"/>
              </w:rPr>
              <w:t>Diss</w:t>
            </w:r>
            <w:r w:rsidRPr="00407D27">
              <w:rPr>
                <w:rFonts w:ascii="Arial" w:hAnsi="Arial" w:cs="Arial"/>
                <w:i/>
                <w:sz w:val="20"/>
              </w:rPr>
              <w:t>atisfied” or “</w:t>
            </w:r>
            <w:r>
              <w:rPr>
                <w:rFonts w:ascii="Arial" w:hAnsi="Arial" w:cs="Arial"/>
                <w:i/>
                <w:sz w:val="20"/>
              </w:rPr>
              <w:t>Diss</w:t>
            </w:r>
            <w:r w:rsidRPr="00407D27">
              <w:rPr>
                <w:rFonts w:ascii="Arial" w:hAnsi="Arial" w:cs="Arial"/>
                <w:i/>
                <w:sz w:val="20"/>
              </w:rPr>
              <w:t>atisfied” with the Service</w:t>
            </w:r>
          </w:p>
        </w:tc>
        <w:tc>
          <w:tcPr>
            <w:tcW w:w="3020" w:type="dxa"/>
          </w:tcPr>
          <w:p w:rsidR="007E5542" w:rsidRPr="00407D27" w:rsidRDefault="007E5542" w:rsidP="006816A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5%</w:t>
            </w:r>
          </w:p>
        </w:tc>
        <w:tc>
          <w:tcPr>
            <w:tcW w:w="3022" w:type="dxa"/>
          </w:tcPr>
          <w:p w:rsidR="007E5542" w:rsidRDefault="007E5542" w:rsidP="006816AD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each </w:t>
            </w:r>
            <w:r>
              <w:rPr>
                <w:rFonts w:ascii="Arial" w:hAnsi="Arial" w:cs="Arial"/>
                <w:i/>
                <w:sz w:val="20"/>
              </w:rPr>
              <w:t xml:space="preserve">six </w:t>
            </w:r>
            <w:r w:rsidRPr="00407D27">
              <w:rPr>
                <w:rFonts w:ascii="Arial" w:hAnsi="Arial" w:cs="Arial"/>
                <w:i/>
                <w:sz w:val="20"/>
              </w:rPr>
              <w:t>month</w:t>
            </w:r>
            <w:r>
              <w:rPr>
                <w:rFonts w:ascii="Arial" w:hAnsi="Arial" w:cs="Arial"/>
                <w:i/>
                <w:sz w:val="20"/>
              </w:rPr>
              <w:t>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7E5542" w:rsidRPr="00407D27" w:rsidRDefault="007E5542" w:rsidP="006816A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23" w:type="dxa"/>
          </w:tcPr>
          <w:p w:rsidR="007E5542" w:rsidRPr="00407D27" w:rsidRDefault="007E5542" w:rsidP="006816AD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referring practices </w:t>
            </w:r>
          </w:p>
          <w:p w:rsidR="007E5542" w:rsidRPr="00407D27" w:rsidRDefault="007E5542" w:rsidP="006816AD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answering </w:t>
            </w:r>
            <w:r>
              <w:rPr>
                <w:rFonts w:ascii="Arial" w:hAnsi="Arial" w:cs="Arial"/>
                <w:i/>
                <w:sz w:val="20"/>
              </w:rPr>
              <w:t>“Extremely Dissatisfied” or “Dissa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tisfied” with the Service via the referrers </w:t>
            </w:r>
            <w:r>
              <w:rPr>
                <w:rFonts w:ascii="Arial" w:hAnsi="Arial" w:cs="Arial"/>
                <w:i/>
                <w:sz w:val="20"/>
              </w:rPr>
              <w:t xml:space="preserve">achieves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or </w:t>
            </w:r>
            <w:r>
              <w:rPr>
                <w:rFonts w:ascii="Arial" w:hAnsi="Arial" w:cs="Arial"/>
                <w:i/>
                <w:sz w:val="20"/>
              </w:rPr>
              <w:t xml:space="preserve">is </w:t>
            </w:r>
            <w:r w:rsidRPr="00407D27">
              <w:rPr>
                <w:rFonts w:ascii="Arial" w:hAnsi="Arial" w:cs="Arial"/>
                <w:i/>
                <w:sz w:val="20"/>
              </w:rPr>
              <w:t>below the threshold at the end of the six months</w:t>
            </w:r>
            <w:r>
              <w:rPr>
                <w:rFonts w:ascii="Arial" w:hAnsi="Arial" w:cs="Arial"/>
                <w:i/>
                <w:sz w:val="20"/>
              </w:rPr>
              <w:t xml:space="preserve">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3024" w:type="dxa"/>
          </w:tcPr>
          <w:p w:rsidR="007E5542" w:rsidRDefault="009A5B08" w:rsidP="009A5B08">
            <w:r>
              <w:rPr>
                <w:rFonts w:ascii="Arial" w:hAnsi="Arial" w:cs="Arial"/>
                <w:i/>
                <w:sz w:val="20"/>
              </w:rPr>
              <w:t>To be confirmed</w:t>
            </w:r>
            <w:bookmarkStart w:id="1" w:name="_GoBack"/>
            <w:bookmarkEnd w:id="1"/>
          </w:p>
        </w:tc>
      </w:tr>
    </w:tbl>
    <w:p w:rsidR="00B855B1" w:rsidRDefault="00B855B1" w:rsidP="00B855B1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B855B1" w:rsidRPr="00A2750B" w:rsidRDefault="00B855B1" w:rsidP="00B855B1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532F04" w:rsidRPr="009F4EE1" w:rsidRDefault="00532F04" w:rsidP="002B129E">
      <w:pPr>
        <w:pStyle w:val="Heading1"/>
        <w:spacing w:line="240" w:lineRule="auto"/>
        <w:jc w:val="left"/>
      </w:pPr>
    </w:p>
    <w:sectPr w:rsidR="00532F04" w:rsidRPr="009F4EE1" w:rsidSect="00872D3B">
      <w:headerReference w:type="default" r:id="rId13"/>
      <w:pgSz w:w="16840" w:h="11900" w:orient="landscape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B8" w:rsidRDefault="00EB79B8" w:rsidP="00674BEC">
      <w:pPr>
        <w:spacing w:after="0"/>
      </w:pPr>
      <w:r>
        <w:separator/>
      </w:r>
    </w:p>
  </w:endnote>
  <w:endnote w:type="continuationSeparator" w:id="0">
    <w:p w:rsidR="00EB79B8" w:rsidRDefault="00EB79B8" w:rsidP="00674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B8" w:rsidRDefault="00EB79B8" w:rsidP="00674BEC">
      <w:pPr>
        <w:spacing w:after="0"/>
      </w:pPr>
      <w:r>
        <w:separator/>
      </w:r>
    </w:p>
  </w:footnote>
  <w:footnote w:type="continuationSeparator" w:id="0">
    <w:p w:rsidR="00EB79B8" w:rsidRDefault="00EB79B8" w:rsidP="00674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B8" w:rsidRDefault="009A5B08" w:rsidP="00276BA7">
    <w:pPr>
      <w:pStyle w:val="Header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134038217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16"/>
            <w:szCs w:val="16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01839" o:spid="_x0000_s71681" type="#_x0000_t136" style="position:absolute;left:0;text-align:left;margin-left:0;margin-top:0;width:507.9pt;height:203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DRAFT"/>
              <w10:wrap anchorx="margin" anchory="margin"/>
            </v:shape>
          </w:pict>
        </w:r>
      </w:sdtContent>
    </w:sdt>
    <w:r w:rsidR="00EB79B8">
      <w:rPr>
        <w:rFonts w:ascii="Arial" w:hAnsi="Arial" w:cs="Arial"/>
        <w:sz w:val="16"/>
        <w:szCs w:val="16"/>
      </w:rPr>
      <w:t>N</w:t>
    </w:r>
    <w:r w:rsidR="00EB79B8" w:rsidRPr="00276BA7">
      <w:rPr>
        <w:rFonts w:ascii="Arial" w:hAnsi="Arial" w:cs="Arial"/>
        <w:sz w:val="16"/>
        <w:szCs w:val="16"/>
      </w:rPr>
      <w:t>HS STANDARD CONTRACT 2017/18 and 2018/19 PARTICULARS (Full Length)</w:t>
    </w:r>
  </w:p>
  <w:p w:rsidR="00EB79B8" w:rsidRPr="00276BA7" w:rsidRDefault="00EB79B8" w:rsidP="00276BA7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102"/>
    <w:multiLevelType w:val="hybridMultilevel"/>
    <w:tmpl w:val="BBE24566"/>
    <w:lvl w:ilvl="0" w:tplc="D47C0FC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BA0"/>
    <w:multiLevelType w:val="multilevel"/>
    <w:tmpl w:val="388844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TitleV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57322"/>
    <w:multiLevelType w:val="hybridMultilevel"/>
    <w:tmpl w:val="95F0A25C"/>
    <w:lvl w:ilvl="0" w:tplc="1480C37C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513B51"/>
    <w:multiLevelType w:val="hybridMultilevel"/>
    <w:tmpl w:val="3030226C"/>
    <w:lvl w:ilvl="0" w:tplc="09BEFF8A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DA65458"/>
    <w:multiLevelType w:val="hybridMultilevel"/>
    <w:tmpl w:val="9006E280"/>
    <w:lvl w:ilvl="0" w:tplc="08090015">
      <w:start w:val="1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016"/>
    <w:multiLevelType w:val="hybridMultilevel"/>
    <w:tmpl w:val="7116B6FC"/>
    <w:lvl w:ilvl="0" w:tplc="6A107A1C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3404458"/>
    <w:multiLevelType w:val="hybridMultilevel"/>
    <w:tmpl w:val="DB025656"/>
    <w:lvl w:ilvl="0" w:tplc="3CDA07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09A4"/>
    <w:multiLevelType w:val="hybridMultilevel"/>
    <w:tmpl w:val="16728C9A"/>
    <w:lvl w:ilvl="0" w:tplc="C354E2D2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76A29"/>
    <w:multiLevelType w:val="hybridMultilevel"/>
    <w:tmpl w:val="F938790A"/>
    <w:lvl w:ilvl="0" w:tplc="D8C49576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7942E4C"/>
    <w:multiLevelType w:val="hybridMultilevel"/>
    <w:tmpl w:val="95C418C2"/>
    <w:lvl w:ilvl="0" w:tplc="A6FA4B0C">
      <w:start w:val="3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E2E5A"/>
    <w:multiLevelType w:val="hybridMultilevel"/>
    <w:tmpl w:val="6D664E00"/>
    <w:lvl w:ilvl="0" w:tplc="E7CAB7F2">
      <w:start w:val="2"/>
      <w:numFmt w:val="upperLetter"/>
      <w:lvlText w:val="%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E6A16"/>
    <w:multiLevelType w:val="hybridMultilevel"/>
    <w:tmpl w:val="B23AFB10"/>
    <w:lvl w:ilvl="0" w:tplc="2D2C4E5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529B"/>
    <w:multiLevelType w:val="hybridMultilevel"/>
    <w:tmpl w:val="62C6D08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5A26B6"/>
    <w:multiLevelType w:val="multilevel"/>
    <w:tmpl w:val="892E228C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95597A"/>
    <w:multiLevelType w:val="multilevel"/>
    <w:tmpl w:val="E21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46574"/>
    <w:multiLevelType w:val="hybridMultilevel"/>
    <w:tmpl w:val="592C4290"/>
    <w:lvl w:ilvl="0" w:tplc="1974C376">
      <w:start w:val="1"/>
      <w:numFmt w:val="lowerLetter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316E58"/>
    <w:multiLevelType w:val="multilevel"/>
    <w:tmpl w:val="CB40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D03F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D61368"/>
    <w:multiLevelType w:val="hybridMultilevel"/>
    <w:tmpl w:val="7CC04C80"/>
    <w:lvl w:ilvl="0" w:tplc="F9FCC620">
      <w:start w:val="3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6727"/>
    <w:multiLevelType w:val="hybridMultilevel"/>
    <w:tmpl w:val="2A36DB9E"/>
    <w:lvl w:ilvl="0" w:tplc="2D048114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213D2C"/>
    <w:multiLevelType w:val="hybridMultilevel"/>
    <w:tmpl w:val="F72E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F6BD8"/>
    <w:multiLevelType w:val="hybridMultilevel"/>
    <w:tmpl w:val="C5FE3BB8"/>
    <w:lvl w:ilvl="0" w:tplc="4D620A90">
      <w:start w:val="1"/>
      <w:numFmt w:val="upperLetter"/>
      <w:lvlText w:val="%1."/>
      <w:lvlJc w:val="left"/>
      <w:pPr>
        <w:ind w:left="720" w:hanging="48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4BD3301C"/>
    <w:multiLevelType w:val="hybridMultilevel"/>
    <w:tmpl w:val="6A5E1CE8"/>
    <w:lvl w:ilvl="0" w:tplc="A6DE17C6">
      <w:start w:val="1"/>
      <w:numFmt w:val="upperLetter"/>
      <w:lvlText w:val="%1."/>
      <w:lvlJc w:val="left"/>
      <w:pPr>
        <w:ind w:left="737" w:hanging="37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434B9"/>
    <w:multiLevelType w:val="hybridMultilevel"/>
    <w:tmpl w:val="93D034E6"/>
    <w:lvl w:ilvl="0" w:tplc="6F60540C">
      <w:start w:val="1"/>
      <w:numFmt w:val="upperLetter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7671"/>
    <w:multiLevelType w:val="hybridMultilevel"/>
    <w:tmpl w:val="4D36789E"/>
    <w:lvl w:ilvl="0" w:tplc="EAE607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86202A">
      <w:start w:val="1"/>
      <w:numFmt w:val="upperLetter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82891"/>
    <w:multiLevelType w:val="hybridMultilevel"/>
    <w:tmpl w:val="4F62B444"/>
    <w:lvl w:ilvl="0" w:tplc="7FE6065C">
      <w:start w:val="6"/>
      <w:numFmt w:val="upperLetter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9142C86"/>
    <w:multiLevelType w:val="hybridMultilevel"/>
    <w:tmpl w:val="DC4E50C2"/>
    <w:lvl w:ilvl="0" w:tplc="54BE74BC">
      <w:start w:val="1"/>
      <w:numFmt w:val="bullet"/>
      <w:pStyle w:val="DHSecondaryHeadingO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9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A380C"/>
    <w:multiLevelType w:val="hybridMultilevel"/>
    <w:tmpl w:val="32902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9B7B55"/>
    <w:multiLevelType w:val="hybridMultilevel"/>
    <w:tmpl w:val="E4E849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B64AD"/>
    <w:multiLevelType w:val="hybridMultilevel"/>
    <w:tmpl w:val="E14A689C"/>
    <w:lvl w:ilvl="0" w:tplc="067870FC">
      <w:start w:val="2"/>
      <w:numFmt w:val="upperLetter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33431"/>
    <w:multiLevelType w:val="multilevel"/>
    <w:tmpl w:val="D5B86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BF6237"/>
    <w:multiLevelType w:val="hybridMultilevel"/>
    <w:tmpl w:val="389075DC"/>
    <w:lvl w:ilvl="0" w:tplc="F5F0ADC0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28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12"/>
  </w:num>
  <w:num w:numId="10">
    <w:abstractNumId w:val="13"/>
  </w:num>
  <w:num w:numId="11">
    <w:abstractNumId w:val="30"/>
  </w:num>
  <w:num w:numId="12">
    <w:abstractNumId w:val="0"/>
  </w:num>
  <w:num w:numId="13">
    <w:abstractNumId w:val="16"/>
  </w:num>
  <w:num w:numId="14">
    <w:abstractNumId w:val="25"/>
  </w:num>
  <w:num w:numId="15">
    <w:abstractNumId w:val="2"/>
  </w:num>
  <w:num w:numId="16">
    <w:abstractNumId w:val="5"/>
  </w:num>
  <w:num w:numId="17">
    <w:abstractNumId w:val="8"/>
  </w:num>
  <w:num w:numId="18">
    <w:abstractNumId w:val="21"/>
  </w:num>
  <w:num w:numId="19">
    <w:abstractNumId w:val="3"/>
  </w:num>
  <w:num w:numId="20">
    <w:abstractNumId w:val="20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  <w:num w:numId="25">
    <w:abstractNumId w:val="29"/>
  </w:num>
  <w:num w:numId="26">
    <w:abstractNumId w:val="23"/>
  </w:num>
  <w:num w:numId="27">
    <w:abstractNumId w:val="24"/>
  </w:num>
  <w:num w:numId="28">
    <w:abstractNumId w:val="10"/>
  </w:num>
  <w:num w:numId="29">
    <w:abstractNumId w:val="27"/>
  </w:num>
  <w:num w:numId="30">
    <w:abstractNumId w:val="31"/>
  </w:num>
  <w:num w:numId="31">
    <w:abstractNumId w:val="19"/>
  </w:num>
  <w:num w:numId="32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82"/>
    <o:shapelayout v:ext="edit">
      <o:idmap v:ext="edit" data="7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C3"/>
    <w:rsid w:val="0000597D"/>
    <w:rsid w:val="00006052"/>
    <w:rsid w:val="00012203"/>
    <w:rsid w:val="00012257"/>
    <w:rsid w:val="0002079D"/>
    <w:rsid w:val="000352D5"/>
    <w:rsid w:val="000364F2"/>
    <w:rsid w:val="00041C53"/>
    <w:rsid w:val="00042282"/>
    <w:rsid w:val="0004407B"/>
    <w:rsid w:val="00044B01"/>
    <w:rsid w:val="00046225"/>
    <w:rsid w:val="00056F52"/>
    <w:rsid w:val="0006130A"/>
    <w:rsid w:val="0007012A"/>
    <w:rsid w:val="00070CD3"/>
    <w:rsid w:val="0007751D"/>
    <w:rsid w:val="00084259"/>
    <w:rsid w:val="000929B6"/>
    <w:rsid w:val="000939B9"/>
    <w:rsid w:val="000961D3"/>
    <w:rsid w:val="000A4638"/>
    <w:rsid w:val="000A5766"/>
    <w:rsid w:val="000A72CF"/>
    <w:rsid w:val="000B328E"/>
    <w:rsid w:val="000B66F1"/>
    <w:rsid w:val="000B6AF5"/>
    <w:rsid w:val="000C69E3"/>
    <w:rsid w:val="000D00D1"/>
    <w:rsid w:val="000D0976"/>
    <w:rsid w:val="000D0BB4"/>
    <w:rsid w:val="000D2E92"/>
    <w:rsid w:val="000E1364"/>
    <w:rsid w:val="000E5E4F"/>
    <w:rsid w:val="000E7285"/>
    <w:rsid w:val="000F1928"/>
    <w:rsid w:val="000F4A2E"/>
    <w:rsid w:val="000F62E1"/>
    <w:rsid w:val="0010025C"/>
    <w:rsid w:val="00102633"/>
    <w:rsid w:val="001104AB"/>
    <w:rsid w:val="00111475"/>
    <w:rsid w:val="00124089"/>
    <w:rsid w:val="001335A7"/>
    <w:rsid w:val="001337F5"/>
    <w:rsid w:val="00134C16"/>
    <w:rsid w:val="001370B9"/>
    <w:rsid w:val="00137789"/>
    <w:rsid w:val="001422A8"/>
    <w:rsid w:val="0014314D"/>
    <w:rsid w:val="00156E33"/>
    <w:rsid w:val="00162906"/>
    <w:rsid w:val="0016400C"/>
    <w:rsid w:val="00164137"/>
    <w:rsid w:val="00164E47"/>
    <w:rsid w:val="0017017B"/>
    <w:rsid w:val="00172F1A"/>
    <w:rsid w:val="00183369"/>
    <w:rsid w:val="001837B1"/>
    <w:rsid w:val="00187EA3"/>
    <w:rsid w:val="00193A70"/>
    <w:rsid w:val="00194E19"/>
    <w:rsid w:val="00195267"/>
    <w:rsid w:val="00196C53"/>
    <w:rsid w:val="001A1B78"/>
    <w:rsid w:val="001A1FE3"/>
    <w:rsid w:val="001A2493"/>
    <w:rsid w:val="001A2964"/>
    <w:rsid w:val="001A38F5"/>
    <w:rsid w:val="001C00D7"/>
    <w:rsid w:val="001C0F5E"/>
    <w:rsid w:val="001C1BEB"/>
    <w:rsid w:val="001C2C32"/>
    <w:rsid w:val="001C51FA"/>
    <w:rsid w:val="001C677A"/>
    <w:rsid w:val="001C6935"/>
    <w:rsid w:val="001D0099"/>
    <w:rsid w:val="001D0C60"/>
    <w:rsid w:val="001D1A4F"/>
    <w:rsid w:val="001D3FD6"/>
    <w:rsid w:val="001D6F38"/>
    <w:rsid w:val="001E0CA5"/>
    <w:rsid w:val="001E39ED"/>
    <w:rsid w:val="001F2726"/>
    <w:rsid w:val="001F38EB"/>
    <w:rsid w:val="00204766"/>
    <w:rsid w:val="00205A30"/>
    <w:rsid w:val="00205F96"/>
    <w:rsid w:val="002278CF"/>
    <w:rsid w:val="00230D91"/>
    <w:rsid w:val="00233197"/>
    <w:rsid w:val="00233471"/>
    <w:rsid w:val="00236601"/>
    <w:rsid w:val="002403E6"/>
    <w:rsid w:val="00241450"/>
    <w:rsid w:val="00256C7C"/>
    <w:rsid w:val="00264D2A"/>
    <w:rsid w:val="002651FC"/>
    <w:rsid w:val="00270192"/>
    <w:rsid w:val="00276BA7"/>
    <w:rsid w:val="00276EBA"/>
    <w:rsid w:val="00283036"/>
    <w:rsid w:val="00293DFC"/>
    <w:rsid w:val="0029688E"/>
    <w:rsid w:val="002A2F6A"/>
    <w:rsid w:val="002A3B6B"/>
    <w:rsid w:val="002A3D88"/>
    <w:rsid w:val="002A575B"/>
    <w:rsid w:val="002A6A86"/>
    <w:rsid w:val="002B129E"/>
    <w:rsid w:val="002B2787"/>
    <w:rsid w:val="002B2AF4"/>
    <w:rsid w:val="002B5402"/>
    <w:rsid w:val="002C0C12"/>
    <w:rsid w:val="002C3B2A"/>
    <w:rsid w:val="002C503C"/>
    <w:rsid w:val="002C6F54"/>
    <w:rsid w:val="002C7D95"/>
    <w:rsid w:val="002D5E7D"/>
    <w:rsid w:val="002D71A0"/>
    <w:rsid w:val="002E081D"/>
    <w:rsid w:val="002F0B28"/>
    <w:rsid w:val="002F4109"/>
    <w:rsid w:val="002F6772"/>
    <w:rsid w:val="00301A96"/>
    <w:rsid w:val="003025CD"/>
    <w:rsid w:val="00304796"/>
    <w:rsid w:val="00313897"/>
    <w:rsid w:val="003172AE"/>
    <w:rsid w:val="00317663"/>
    <w:rsid w:val="00317D41"/>
    <w:rsid w:val="00325915"/>
    <w:rsid w:val="00326C1F"/>
    <w:rsid w:val="00332316"/>
    <w:rsid w:val="00332A43"/>
    <w:rsid w:val="00336612"/>
    <w:rsid w:val="00341302"/>
    <w:rsid w:val="00341DA8"/>
    <w:rsid w:val="003428BA"/>
    <w:rsid w:val="00342C42"/>
    <w:rsid w:val="00344839"/>
    <w:rsid w:val="003503F0"/>
    <w:rsid w:val="00351404"/>
    <w:rsid w:val="0035426C"/>
    <w:rsid w:val="003555C9"/>
    <w:rsid w:val="00360502"/>
    <w:rsid w:val="00361670"/>
    <w:rsid w:val="0036254D"/>
    <w:rsid w:val="0036540D"/>
    <w:rsid w:val="00366A3A"/>
    <w:rsid w:val="003677AC"/>
    <w:rsid w:val="00371B7D"/>
    <w:rsid w:val="003742B7"/>
    <w:rsid w:val="0037573D"/>
    <w:rsid w:val="003809DA"/>
    <w:rsid w:val="00386A20"/>
    <w:rsid w:val="00387AA8"/>
    <w:rsid w:val="0039386B"/>
    <w:rsid w:val="00396A11"/>
    <w:rsid w:val="003A0624"/>
    <w:rsid w:val="003A2446"/>
    <w:rsid w:val="003A2E1E"/>
    <w:rsid w:val="003A2E32"/>
    <w:rsid w:val="003A3BF7"/>
    <w:rsid w:val="003A4D35"/>
    <w:rsid w:val="003A4EAB"/>
    <w:rsid w:val="003A733C"/>
    <w:rsid w:val="003B2926"/>
    <w:rsid w:val="003B35C3"/>
    <w:rsid w:val="003B58D0"/>
    <w:rsid w:val="003D2472"/>
    <w:rsid w:val="003D7645"/>
    <w:rsid w:val="003D7EA2"/>
    <w:rsid w:val="003E2BDC"/>
    <w:rsid w:val="003E470C"/>
    <w:rsid w:val="003E5E42"/>
    <w:rsid w:val="003F6CC9"/>
    <w:rsid w:val="004021C7"/>
    <w:rsid w:val="00407605"/>
    <w:rsid w:val="00407D27"/>
    <w:rsid w:val="0041131D"/>
    <w:rsid w:val="004131AC"/>
    <w:rsid w:val="00414475"/>
    <w:rsid w:val="00420CC1"/>
    <w:rsid w:val="0042168B"/>
    <w:rsid w:val="0042447C"/>
    <w:rsid w:val="00431CA5"/>
    <w:rsid w:val="00432159"/>
    <w:rsid w:val="0043276F"/>
    <w:rsid w:val="004363CD"/>
    <w:rsid w:val="0043682A"/>
    <w:rsid w:val="00436980"/>
    <w:rsid w:val="0043790A"/>
    <w:rsid w:val="00443CDD"/>
    <w:rsid w:val="00446E29"/>
    <w:rsid w:val="00447A3E"/>
    <w:rsid w:val="0045467A"/>
    <w:rsid w:val="00456FA4"/>
    <w:rsid w:val="004660CE"/>
    <w:rsid w:val="00467E9C"/>
    <w:rsid w:val="004708C3"/>
    <w:rsid w:val="00474983"/>
    <w:rsid w:val="00491F7A"/>
    <w:rsid w:val="00492D25"/>
    <w:rsid w:val="004967DB"/>
    <w:rsid w:val="00497D24"/>
    <w:rsid w:val="00497FBB"/>
    <w:rsid w:val="004A0D0F"/>
    <w:rsid w:val="004A77C7"/>
    <w:rsid w:val="004B1D05"/>
    <w:rsid w:val="004B49D9"/>
    <w:rsid w:val="004C0020"/>
    <w:rsid w:val="004C0AF2"/>
    <w:rsid w:val="004C139A"/>
    <w:rsid w:val="004C26FB"/>
    <w:rsid w:val="004C328F"/>
    <w:rsid w:val="004C4CEC"/>
    <w:rsid w:val="004C5C35"/>
    <w:rsid w:val="004C75A9"/>
    <w:rsid w:val="004D1CE9"/>
    <w:rsid w:val="004D2741"/>
    <w:rsid w:val="004D2A9E"/>
    <w:rsid w:val="004D4CEF"/>
    <w:rsid w:val="004E16F7"/>
    <w:rsid w:val="004E1D43"/>
    <w:rsid w:val="004E465C"/>
    <w:rsid w:val="004E5E18"/>
    <w:rsid w:val="004E6B9E"/>
    <w:rsid w:val="004F0504"/>
    <w:rsid w:val="004F0D3F"/>
    <w:rsid w:val="004F425B"/>
    <w:rsid w:val="004F5DAE"/>
    <w:rsid w:val="004F7EFB"/>
    <w:rsid w:val="005057CC"/>
    <w:rsid w:val="00507F9C"/>
    <w:rsid w:val="00514BF2"/>
    <w:rsid w:val="00515525"/>
    <w:rsid w:val="005166B0"/>
    <w:rsid w:val="00520F65"/>
    <w:rsid w:val="005217DA"/>
    <w:rsid w:val="00521E97"/>
    <w:rsid w:val="00524DCC"/>
    <w:rsid w:val="00525739"/>
    <w:rsid w:val="005258DB"/>
    <w:rsid w:val="00526843"/>
    <w:rsid w:val="00530761"/>
    <w:rsid w:val="0053176B"/>
    <w:rsid w:val="0053271B"/>
    <w:rsid w:val="00532F04"/>
    <w:rsid w:val="00541625"/>
    <w:rsid w:val="005430F7"/>
    <w:rsid w:val="0055197C"/>
    <w:rsid w:val="005524F0"/>
    <w:rsid w:val="00552F3A"/>
    <w:rsid w:val="00554325"/>
    <w:rsid w:val="00560077"/>
    <w:rsid w:val="0056068D"/>
    <w:rsid w:val="00561D60"/>
    <w:rsid w:val="00563827"/>
    <w:rsid w:val="00563DB2"/>
    <w:rsid w:val="005669DA"/>
    <w:rsid w:val="00566EF5"/>
    <w:rsid w:val="005731E1"/>
    <w:rsid w:val="005742AE"/>
    <w:rsid w:val="0057502F"/>
    <w:rsid w:val="00585428"/>
    <w:rsid w:val="005A0C28"/>
    <w:rsid w:val="005A159F"/>
    <w:rsid w:val="005A258D"/>
    <w:rsid w:val="005A5163"/>
    <w:rsid w:val="005B09C7"/>
    <w:rsid w:val="005B2636"/>
    <w:rsid w:val="005B2F69"/>
    <w:rsid w:val="005B346B"/>
    <w:rsid w:val="005B39BE"/>
    <w:rsid w:val="005B7989"/>
    <w:rsid w:val="005C0B32"/>
    <w:rsid w:val="005C1E8C"/>
    <w:rsid w:val="005C2684"/>
    <w:rsid w:val="005C26DF"/>
    <w:rsid w:val="005C4CA9"/>
    <w:rsid w:val="005D3582"/>
    <w:rsid w:val="005D398D"/>
    <w:rsid w:val="005D5398"/>
    <w:rsid w:val="005E4E2C"/>
    <w:rsid w:val="005E4E88"/>
    <w:rsid w:val="005F092A"/>
    <w:rsid w:val="005F23B4"/>
    <w:rsid w:val="005F3C72"/>
    <w:rsid w:val="005F61E8"/>
    <w:rsid w:val="005F7F41"/>
    <w:rsid w:val="006023CA"/>
    <w:rsid w:val="00611204"/>
    <w:rsid w:val="00611856"/>
    <w:rsid w:val="00612ED2"/>
    <w:rsid w:val="00616E24"/>
    <w:rsid w:val="00620AD1"/>
    <w:rsid w:val="00621DE4"/>
    <w:rsid w:val="00624D73"/>
    <w:rsid w:val="00635EC2"/>
    <w:rsid w:val="00636203"/>
    <w:rsid w:val="00640B09"/>
    <w:rsid w:val="00642D75"/>
    <w:rsid w:val="00643E46"/>
    <w:rsid w:val="006600A0"/>
    <w:rsid w:val="0066039C"/>
    <w:rsid w:val="00661BFE"/>
    <w:rsid w:val="00661F63"/>
    <w:rsid w:val="006624DB"/>
    <w:rsid w:val="00664F14"/>
    <w:rsid w:val="00666A4F"/>
    <w:rsid w:val="00666F1D"/>
    <w:rsid w:val="0066721A"/>
    <w:rsid w:val="00671864"/>
    <w:rsid w:val="00674BEC"/>
    <w:rsid w:val="00676090"/>
    <w:rsid w:val="006777E7"/>
    <w:rsid w:val="006958DD"/>
    <w:rsid w:val="006A0F5C"/>
    <w:rsid w:val="006A69E9"/>
    <w:rsid w:val="006A6F70"/>
    <w:rsid w:val="006B156A"/>
    <w:rsid w:val="006B29D3"/>
    <w:rsid w:val="006B3781"/>
    <w:rsid w:val="006C033E"/>
    <w:rsid w:val="006C46F9"/>
    <w:rsid w:val="006C6147"/>
    <w:rsid w:val="006C6FB8"/>
    <w:rsid w:val="006D04D9"/>
    <w:rsid w:val="006D0B7F"/>
    <w:rsid w:val="006D5A50"/>
    <w:rsid w:val="006D61D3"/>
    <w:rsid w:val="006D740A"/>
    <w:rsid w:val="006F047F"/>
    <w:rsid w:val="006F12B6"/>
    <w:rsid w:val="006F403F"/>
    <w:rsid w:val="006F4940"/>
    <w:rsid w:val="00704097"/>
    <w:rsid w:val="00704A18"/>
    <w:rsid w:val="00704F9D"/>
    <w:rsid w:val="0070619A"/>
    <w:rsid w:val="007062CC"/>
    <w:rsid w:val="00706628"/>
    <w:rsid w:val="00710D6A"/>
    <w:rsid w:val="00715F8D"/>
    <w:rsid w:val="007203AD"/>
    <w:rsid w:val="00721332"/>
    <w:rsid w:val="0072652B"/>
    <w:rsid w:val="007313D8"/>
    <w:rsid w:val="00741EE2"/>
    <w:rsid w:val="00742336"/>
    <w:rsid w:val="00743104"/>
    <w:rsid w:val="00743EFF"/>
    <w:rsid w:val="00744D53"/>
    <w:rsid w:val="007450EC"/>
    <w:rsid w:val="00747930"/>
    <w:rsid w:val="00753509"/>
    <w:rsid w:val="00755BF4"/>
    <w:rsid w:val="00761E1B"/>
    <w:rsid w:val="00762250"/>
    <w:rsid w:val="00765470"/>
    <w:rsid w:val="0076623B"/>
    <w:rsid w:val="00766A86"/>
    <w:rsid w:val="00781BE5"/>
    <w:rsid w:val="00786047"/>
    <w:rsid w:val="007877BC"/>
    <w:rsid w:val="00792EB0"/>
    <w:rsid w:val="00793523"/>
    <w:rsid w:val="00793F4A"/>
    <w:rsid w:val="00793FF8"/>
    <w:rsid w:val="00796B88"/>
    <w:rsid w:val="007A135C"/>
    <w:rsid w:val="007A32D3"/>
    <w:rsid w:val="007A5BCC"/>
    <w:rsid w:val="007A7235"/>
    <w:rsid w:val="007B0555"/>
    <w:rsid w:val="007B3370"/>
    <w:rsid w:val="007B5D6D"/>
    <w:rsid w:val="007D49E1"/>
    <w:rsid w:val="007D4F05"/>
    <w:rsid w:val="007D7AB5"/>
    <w:rsid w:val="007E1AB9"/>
    <w:rsid w:val="007E240B"/>
    <w:rsid w:val="007E5542"/>
    <w:rsid w:val="007F1747"/>
    <w:rsid w:val="007F3364"/>
    <w:rsid w:val="007F40AF"/>
    <w:rsid w:val="00802F3C"/>
    <w:rsid w:val="00804196"/>
    <w:rsid w:val="008066BA"/>
    <w:rsid w:val="00807C8B"/>
    <w:rsid w:val="00810B94"/>
    <w:rsid w:val="00810BE8"/>
    <w:rsid w:val="00816A3A"/>
    <w:rsid w:val="008210C2"/>
    <w:rsid w:val="00821E76"/>
    <w:rsid w:val="00823C12"/>
    <w:rsid w:val="00823F0C"/>
    <w:rsid w:val="008243CF"/>
    <w:rsid w:val="0082447B"/>
    <w:rsid w:val="008260EC"/>
    <w:rsid w:val="00827AB6"/>
    <w:rsid w:val="00830CE6"/>
    <w:rsid w:val="00830DAA"/>
    <w:rsid w:val="00832AB2"/>
    <w:rsid w:val="00836259"/>
    <w:rsid w:val="00843A55"/>
    <w:rsid w:val="0084588C"/>
    <w:rsid w:val="008509AF"/>
    <w:rsid w:val="0085479D"/>
    <w:rsid w:val="00854FAB"/>
    <w:rsid w:val="00856F9D"/>
    <w:rsid w:val="008572BC"/>
    <w:rsid w:val="00860383"/>
    <w:rsid w:val="00860D73"/>
    <w:rsid w:val="008617E9"/>
    <w:rsid w:val="00864612"/>
    <w:rsid w:val="00872D3B"/>
    <w:rsid w:val="008733AC"/>
    <w:rsid w:val="00873484"/>
    <w:rsid w:val="0087623F"/>
    <w:rsid w:val="0088132A"/>
    <w:rsid w:val="00884CD6"/>
    <w:rsid w:val="00892628"/>
    <w:rsid w:val="008941D5"/>
    <w:rsid w:val="00896739"/>
    <w:rsid w:val="008A4390"/>
    <w:rsid w:val="008A69CC"/>
    <w:rsid w:val="008B0522"/>
    <w:rsid w:val="008B6896"/>
    <w:rsid w:val="008C410A"/>
    <w:rsid w:val="008D6EA8"/>
    <w:rsid w:val="008D71E2"/>
    <w:rsid w:val="008E0522"/>
    <w:rsid w:val="008E2CAB"/>
    <w:rsid w:val="008E3E6A"/>
    <w:rsid w:val="008E47C8"/>
    <w:rsid w:val="008F7CB2"/>
    <w:rsid w:val="00900783"/>
    <w:rsid w:val="0090503C"/>
    <w:rsid w:val="00913D7A"/>
    <w:rsid w:val="00921151"/>
    <w:rsid w:val="00921957"/>
    <w:rsid w:val="00921DB9"/>
    <w:rsid w:val="00926523"/>
    <w:rsid w:val="009313F8"/>
    <w:rsid w:val="009333FF"/>
    <w:rsid w:val="00936E3C"/>
    <w:rsid w:val="009413BE"/>
    <w:rsid w:val="0094179C"/>
    <w:rsid w:val="00941959"/>
    <w:rsid w:val="00944D35"/>
    <w:rsid w:val="0095356F"/>
    <w:rsid w:val="009559D5"/>
    <w:rsid w:val="00956899"/>
    <w:rsid w:val="00960EC3"/>
    <w:rsid w:val="00961F55"/>
    <w:rsid w:val="00963785"/>
    <w:rsid w:val="009662D1"/>
    <w:rsid w:val="009714B3"/>
    <w:rsid w:val="00976003"/>
    <w:rsid w:val="0098123F"/>
    <w:rsid w:val="00982453"/>
    <w:rsid w:val="0098289B"/>
    <w:rsid w:val="009858D0"/>
    <w:rsid w:val="00991FF5"/>
    <w:rsid w:val="00994D7D"/>
    <w:rsid w:val="009974A5"/>
    <w:rsid w:val="009A25BD"/>
    <w:rsid w:val="009A25DD"/>
    <w:rsid w:val="009A5B08"/>
    <w:rsid w:val="009A7842"/>
    <w:rsid w:val="009B055D"/>
    <w:rsid w:val="009C0BFB"/>
    <w:rsid w:val="009C3738"/>
    <w:rsid w:val="009C4B0C"/>
    <w:rsid w:val="009C7A14"/>
    <w:rsid w:val="009E67AA"/>
    <w:rsid w:val="009F1063"/>
    <w:rsid w:val="009F16B0"/>
    <w:rsid w:val="009F2A15"/>
    <w:rsid w:val="009F4EE1"/>
    <w:rsid w:val="009F5BCF"/>
    <w:rsid w:val="009F7E1A"/>
    <w:rsid w:val="00A01609"/>
    <w:rsid w:val="00A03428"/>
    <w:rsid w:val="00A0728F"/>
    <w:rsid w:val="00A23D68"/>
    <w:rsid w:val="00A2750B"/>
    <w:rsid w:val="00A4013E"/>
    <w:rsid w:val="00A43779"/>
    <w:rsid w:val="00A43BE1"/>
    <w:rsid w:val="00A45A5A"/>
    <w:rsid w:val="00A519D6"/>
    <w:rsid w:val="00A52DAB"/>
    <w:rsid w:val="00A52E19"/>
    <w:rsid w:val="00A535DA"/>
    <w:rsid w:val="00A53722"/>
    <w:rsid w:val="00A53ED7"/>
    <w:rsid w:val="00A558B4"/>
    <w:rsid w:val="00A57417"/>
    <w:rsid w:val="00A57E46"/>
    <w:rsid w:val="00A64B24"/>
    <w:rsid w:val="00A70D35"/>
    <w:rsid w:val="00A72671"/>
    <w:rsid w:val="00A734C2"/>
    <w:rsid w:val="00A745BD"/>
    <w:rsid w:val="00A810D5"/>
    <w:rsid w:val="00A85DF4"/>
    <w:rsid w:val="00A87BB2"/>
    <w:rsid w:val="00A90EA0"/>
    <w:rsid w:val="00AA4EC5"/>
    <w:rsid w:val="00AA68A9"/>
    <w:rsid w:val="00AB29EF"/>
    <w:rsid w:val="00AC5FE2"/>
    <w:rsid w:val="00AC68DD"/>
    <w:rsid w:val="00AD550A"/>
    <w:rsid w:val="00AD5D99"/>
    <w:rsid w:val="00AD6201"/>
    <w:rsid w:val="00AE1BF3"/>
    <w:rsid w:val="00AE23F9"/>
    <w:rsid w:val="00AE7682"/>
    <w:rsid w:val="00AF0B3D"/>
    <w:rsid w:val="00AF545D"/>
    <w:rsid w:val="00AF56C2"/>
    <w:rsid w:val="00AF6FC2"/>
    <w:rsid w:val="00B051EE"/>
    <w:rsid w:val="00B0677D"/>
    <w:rsid w:val="00B16A19"/>
    <w:rsid w:val="00B21A51"/>
    <w:rsid w:val="00B21F18"/>
    <w:rsid w:val="00B24E7B"/>
    <w:rsid w:val="00B26BF0"/>
    <w:rsid w:val="00B27A3F"/>
    <w:rsid w:val="00B3216C"/>
    <w:rsid w:val="00B34351"/>
    <w:rsid w:val="00B44C0D"/>
    <w:rsid w:val="00B50B96"/>
    <w:rsid w:val="00B51A46"/>
    <w:rsid w:val="00B51E1A"/>
    <w:rsid w:val="00B567D0"/>
    <w:rsid w:val="00B609E4"/>
    <w:rsid w:val="00B65D94"/>
    <w:rsid w:val="00B70DD4"/>
    <w:rsid w:val="00B74B5E"/>
    <w:rsid w:val="00B82126"/>
    <w:rsid w:val="00B855B1"/>
    <w:rsid w:val="00B97D0A"/>
    <w:rsid w:val="00BA35BF"/>
    <w:rsid w:val="00BA38BB"/>
    <w:rsid w:val="00BB02B7"/>
    <w:rsid w:val="00BB3065"/>
    <w:rsid w:val="00BB458D"/>
    <w:rsid w:val="00BC2A70"/>
    <w:rsid w:val="00BC3E00"/>
    <w:rsid w:val="00BC49E0"/>
    <w:rsid w:val="00BC56A3"/>
    <w:rsid w:val="00BD06EC"/>
    <w:rsid w:val="00BD229C"/>
    <w:rsid w:val="00BD5015"/>
    <w:rsid w:val="00BD73AA"/>
    <w:rsid w:val="00BE3C47"/>
    <w:rsid w:val="00BE6142"/>
    <w:rsid w:val="00BF02D2"/>
    <w:rsid w:val="00BF1A7B"/>
    <w:rsid w:val="00BF1FD1"/>
    <w:rsid w:val="00BF232C"/>
    <w:rsid w:val="00C07981"/>
    <w:rsid w:val="00C13795"/>
    <w:rsid w:val="00C17EA5"/>
    <w:rsid w:val="00C26331"/>
    <w:rsid w:val="00C2682E"/>
    <w:rsid w:val="00C2742F"/>
    <w:rsid w:val="00C30080"/>
    <w:rsid w:val="00C36728"/>
    <w:rsid w:val="00C36D3D"/>
    <w:rsid w:val="00C44AFF"/>
    <w:rsid w:val="00C45348"/>
    <w:rsid w:val="00C52C23"/>
    <w:rsid w:val="00C71331"/>
    <w:rsid w:val="00C7530C"/>
    <w:rsid w:val="00C76C84"/>
    <w:rsid w:val="00C8240C"/>
    <w:rsid w:val="00C83BD7"/>
    <w:rsid w:val="00C83E6E"/>
    <w:rsid w:val="00C859B0"/>
    <w:rsid w:val="00C85AC8"/>
    <w:rsid w:val="00C90BED"/>
    <w:rsid w:val="00C927C6"/>
    <w:rsid w:val="00C9385D"/>
    <w:rsid w:val="00C93C0B"/>
    <w:rsid w:val="00C94087"/>
    <w:rsid w:val="00CB02F1"/>
    <w:rsid w:val="00CC2567"/>
    <w:rsid w:val="00CC310F"/>
    <w:rsid w:val="00CD06DD"/>
    <w:rsid w:val="00CD245B"/>
    <w:rsid w:val="00CD25FC"/>
    <w:rsid w:val="00CD3272"/>
    <w:rsid w:val="00CD4CB9"/>
    <w:rsid w:val="00CD6CA2"/>
    <w:rsid w:val="00CD72A3"/>
    <w:rsid w:val="00CE0D33"/>
    <w:rsid w:val="00CF2999"/>
    <w:rsid w:val="00CF3159"/>
    <w:rsid w:val="00CF4F09"/>
    <w:rsid w:val="00CF6307"/>
    <w:rsid w:val="00CF662F"/>
    <w:rsid w:val="00D04A72"/>
    <w:rsid w:val="00D07D15"/>
    <w:rsid w:val="00D115DE"/>
    <w:rsid w:val="00D20027"/>
    <w:rsid w:val="00D215DF"/>
    <w:rsid w:val="00D23C4C"/>
    <w:rsid w:val="00D27581"/>
    <w:rsid w:val="00D35217"/>
    <w:rsid w:val="00D37A0E"/>
    <w:rsid w:val="00D37B5D"/>
    <w:rsid w:val="00D41418"/>
    <w:rsid w:val="00D44926"/>
    <w:rsid w:val="00D45E4B"/>
    <w:rsid w:val="00D506C6"/>
    <w:rsid w:val="00D5215F"/>
    <w:rsid w:val="00D53684"/>
    <w:rsid w:val="00D5785E"/>
    <w:rsid w:val="00D62421"/>
    <w:rsid w:val="00D6696F"/>
    <w:rsid w:val="00D746A8"/>
    <w:rsid w:val="00D81A18"/>
    <w:rsid w:val="00D86456"/>
    <w:rsid w:val="00D87F03"/>
    <w:rsid w:val="00D90813"/>
    <w:rsid w:val="00D9172E"/>
    <w:rsid w:val="00D9550B"/>
    <w:rsid w:val="00D964E3"/>
    <w:rsid w:val="00D96739"/>
    <w:rsid w:val="00D97516"/>
    <w:rsid w:val="00DA0ADA"/>
    <w:rsid w:val="00DA20BC"/>
    <w:rsid w:val="00DA37F5"/>
    <w:rsid w:val="00DA439E"/>
    <w:rsid w:val="00DB08ED"/>
    <w:rsid w:val="00DC146B"/>
    <w:rsid w:val="00DC1E54"/>
    <w:rsid w:val="00DC48D6"/>
    <w:rsid w:val="00DC5B67"/>
    <w:rsid w:val="00DC70BE"/>
    <w:rsid w:val="00DD0DDC"/>
    <w:rsid w:val="00DD4EB2"/>
    <w:rsid w:val="00DD593D"/>
    <w:rsid w:val="00DD7332"/>
    <w:rsid w:val="00DF0D81"/>
    <w:rsid w:val="00DF15B5"/>
    <w:rsid w:val="00DF6457"/>
    <w:rsid w:val="00DF733F"/>
    <w:rsid w:val="00E008BA"/>
    <w:rsid w:val="00E011A3"/>
    <w:rsid w:val="00E14644"/>
    <w:rsid w:val="00E14662"/>
    <w:rsid w:val="00E1469E"/>
    <w:rsid w:val="00E1616F"/>
    <w:rsid w:val="00E1790F"/>
    <w:rsid w:val="00E214B6"/>
    <w:rsid w:val="00E21DB5"/>
    <w:rsid w:val="00E332AD"/>
    <w:rsid w:val="00E42B30"/>
    <w:rsid w:val="00E440D4"/>
    <w:rsid w:val="00E47C99"/>
    <w:rsid w:val="00E514DA"/>
    <w:rsid w:val="00E56131"/>
    <w:rsid w:val="00E575FC"/>
    <w:rsid w:val="00E60BCA"/>
    <w:rsid w:val="00E613CF"/>
    <w:rsid w:val="00E62D1B"/>
    <w:rsid w:val="00E62F5C"/>
    <w:rsid w:val="00E67415"/>
    <w:rsid w:val="00E721FA"/>
    <w:rsid w:val="00E83402"/>
    <w:rsid w:val="00E910B7"/>
    <w:rsid w:val="00E916C4"/>
    <w:rsid w:val="00E93E38"/>
    <w:rsid w:val="00E93EC8"/>
    <w:rsid w:val="00E95B99"/>
    <w:rsid w:val="00EA54B6"/>
    <w:rsid w:val="00EB2AE7"/>
    <w:rsid w:val="00EB2FCA"/>
    <w:rsid w:val="00EB4C0C"/>
    <w:rsid w:val="00EB5E20"/>
    <w:rsid w:val="00EB79B8"/>
    <w:rsid w:val="00EC4333"/>
    <w:rsid w:val="00EC543C"/>
    <w:rsid w:val="00EC6B21"/>
    <w:rsid w:val="00ED35D0"/>
    <w:rsid w:val="00ED620C"/>
    <w:rsid w:val="00EE3973"/>
    <w:rsid w:val="00EE3EFB"/>
    <w:rsid w:val="00EE53F5"/>
    <w:rsid w:val="00F03501"/>
    <w:rsid w:val="00F07E77"/>
    <w:rsid w:val="00F07EA8"/>
    <w:rsid w:val="00F167F3"/>
    <w:rsid w:val="00F22531"/>
    <w:rsid w:val="00F26D49"/>
    <w:rsid w:val="00F3044D"/>
    <w:rsid w:val="00F3080E"/>
    <w:rsid w:val="00F30C09"/>
    <w:rsid w:val="00F336F9"/>
    <w:rsid w:val="00F37314"/>
    <w:rsid w:val="00F37F20"/>
    <w:rsid w:val="00F420E5"/>
    <w:rsid w:val="00F45454"/>
    <w:rsid w:val="00F50FC6"/>
    <w:rsid w:val="00F544B3"/>
    <w:rsid w:val="00F57546"/>
    <w:rsid w:val="00F60EB4"/>
    <w:rsid w:val="00F6625C"/>
    <w:rsid w:val="00F672F0"/>
    <w:rsid w:val="00F67CBF"/>
    <w:rsid w:val="00F772D9"/>
    <w:rsid w:val="00F81492"/>
    <w:rsid w:val="00F85778"/>
    <w:rsid w:val="00F8690D"/>
    <w:rsid w:val="00F86946"/>
    <w:rsid w:val="00F911B9"/>
    <w:rsid w:val="00F94FF6"/>
    <w:rsid w:val="00FA2EA9"/>
    <w:rsid w:val="00FB068C"/>
    <w:rsid w:val="00FB23CA"/>
    <w:rsid w:val="00FB35CE"/>
    <w:rsid w:val="00FB693E"/>
    <w:rsid w:val="00FC5BBB"/>
    <w:rsid w:val="00FC7CE1"/>
    <w:rsid w:val="00FC7E35"/>
    <w:rsid w:val="00FD1D59"/>
    <w:rsid w:val="00FD1F5F"/>
    <w:rsid w:val="00FD20F7"/>
    <w:rsid w:val="00FD47D7"/>
    <w:rsid w:val="00FD5287"/>
    <w:rsid w:val="00FD5985"/>
    <w:rsid w:val="00FD6545"/>
    <w:rsid w:val="00FE079E"/>
    <w:rsid w:val="00FE3B04"/>
    <w:rsid w:val="00FE5FA1"/>
    <w:rsid w:val="00FE60F4"/>
    <w:rsid w:val="00FE746F"/>
    <w:rsid w:val="00FF03A6"/>
    <w:rsid w:val="00FF20D3"/>
    <w:rsid w:val="00FF42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2"/>
    <o:shapelayout v:ext="edit">
      <o:idmap v:ext="edit" data="1"/>
    </o:shapelayout>
  </w:shapeDefaults>
  <w:doNotEmbedSmartTags/>
  <w:decimalSymbol w:val="."/>
  <w:listSeparator w:val=","/>
  <w15:docId w15:val="{A2006D8C-BE82-4770-80C5-BCB0C720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364"/>
    <w:rPr>
      <w:sz w:val="24"/>
      <w:lang w:val="en-US"/>
    </w:rPr>
  </w:style>
  <w:style w:type="paragraph" w:styleId="Heading1">
    <w:name w:val="heading 1"/>
    <w:basedOn w:val="DHChapterHead"/>
    <w:next w:val="Normal"/>
    <w:link w:val="Heading1Char"/>
    <w:uiPriority w:val="9"/>
    <w:qFormat/>
    <w:rsid w:val="001D1A4F"/>
    <w:pPr>
      <w:jc w:val="center"/>
      <w:outlineLvl w:val="0"/>
    </w:pPr>
    <w:rPr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ChapterHead">
    <w:name w:val="DH Chapter Head"/>
    <w:basedOn w:val="DHTitle"/>
    <w:rsid w:val="00532F04"/>
    <w:rPr>
      <w:b w:val="0"/>
    </w:rPr>
  </w:style>
  <w:style w:type="paragraph" w:customStyle="1" w:styleId="DHTitle">
    <w:name w:val="DH Title"/>
    <w:basedOn w:val="Normal"/>
    <w:link w:val="DHTitleChar"/>
    <w:rsid w:val="00532F04"/>
    <w:pPr>
      <w:spacing w:after="0" w:line="660" w:lineRule="exact"/>
    </w:pPr>
    <w:rPr>
      <w:rFonts w:ascii="Arial" w:hAnsi="Arial" w:cs="Arial"/>
      <w:b/>
      <w:color w:val="009966"/>
      <w:sz w:val="60"/>
      <w:lang w:val="en-GB" w:eastAsia="en-US"/>
    </w:rPr>
  </w:style>
  <w:style w:type="character" w:customStyle="1" w:styleId="DHTitleChar">
    <w:name w:val="DH Title Char"/>
    <w:link w:val="DHTitle"/>
    <w:locked/>
    <w:rsid w:val="00532F04"/>
    <w:rPr>
      <w:rFonts w:ascii="Arial" w:hAnsi="Arial" w:cs="Arial"/>
      <w:b/>
      <w:color w:val="009966"/>
      <w:sz w:val="6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D1A4F"/>
    <w:rPr>
      <w:rFonts w:ascii="Arial" w:hAnsi="Arial" w:cs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C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C3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532F0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F04"/>
    <w:pPr>
      <w:spacing w:after="0"/>
    </w:pPr>
    <w:rPr>
      <w:rFonts w:ascii="Arial" w:eastAsia="Times New Roman" w:hAnsi="Arial" w:cs="Arial"/>
      <w:lang w:val="en-GB" w:eastAsia="en-US"/>
    </w:rPr>
  </w:style>
  <w:style w:type="paragraph" w:customStyle="1" w:styleId="DHBodycopy">
    <w:name w:val="DH Body copy"/>
    <w:basedOn w:val="Normal"/>
    <w:rsid w:val="00532F04"/>
    <w:pPr>
      <w:spacing w:after="0" w:line="320" w:lineRule="exact"/>
    </w:pPr>
    <w:rPr>
      <w:rFonts w:ascii="Arial" w:eastAsia="Times New Roman" w:hAnsi="Arial" w:cs="Times New Roman"/>
      <w:lang w:val="en-GB" w:eastAsia="en-US"/>
    </w:rPr>
  </w:style>
  <w:style w:type="paragraph" w:customStyle="1" w:styleId="DHtitlepagetext">
    <w:name w:val="DH title page text"/>
    <w:basedOn w:val="DHTitle"/>
    <w:rsid w:val="00532F04"/>
    <w:rPr>
      <w:color w:val="auto"/>
      <w:sz w:val="24"/>
    </w:rPr>
  </w:style>
  <w:style w:type="paragraph" w:customStyle="1" w:styleId="DHBulletlist">
    <w:name w:val="DH Bullet list"/>
    <w:basedOn w:val="Normal"/>
    <w:rsid w:val="00532F04"/>
    <w:pPr>
      <w:tabs>
        <w:tab w:val="num" w:pos="360"/>
      </w:tabs>
      <w:spacing w:after="0" w:line="320" w:lineRule="exact"/>
    </w:pPr>
    <w:rPr>
      <w:rFonts w:ascii="Arial" w:eastAsia="Times New Roman" w:hAnsi="Arial" w:cs="Times New Roman"/>
      <w:lang w:val="en-GB" w:eastAsia="en-US"/>
    </w:rPr>
  </w:style>
  <w:style w:type="paragraph" w:customStyle="1" w:styleId="DHSubtitle">
    <w:name w:val="DH Subtitle"/>
    <w:basedOn w:val="Normal"/>
    <w:rsid w:val="00532F04"/>
    <w:pPr>
      <w:spacing w:after="0" w:line="500" w:lineRule="exact"/>
    </w:pPr>
    <w:rPr>
      <w:rFonts w:ascii="Times New Roman" w:eastAsia="Times New Roman" w:hAnsi="Times New Roman" w:cs="Times New Roman"/>
      <w:i/>
      <w:sz w:val="46"/>
      <w:lang w:val="en-GB" w:eastAsia="en-US"/>
    </w:rPr>
  </w:style>
  <w:style w:type="paragraph" w:customStyle="1" w:styleId="DHSecondaryHeadingOne">
    <w:name w:val="DH Secondary Heading One"/>
    <w:basedOn w:val="DHTitle"/>
    <w:rsid w:val="00532F04"/>
    <w:pPr>
      <w:numPr>
        <w:numId w:val="1"/>
      </w:numPr>
      <w:spacing w:line="360" w:lineRule="exact"/>
      <w:ind w:left="0" w:firstLine="0"/>
    </w:pPr>
    <w:rPr>
      <w:b w:val="0"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761"/>
    <w:pPr>
      <w:keepNext/>
      <w:keepLines/>
      <w:spacing w:before="480" w:line="240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0761"/>
    <w:pPr>
      <w:spacing w:after="100"/>
      <w:ind w:left="240"/>
    </w:pPr>
  </w:style>
  <w:style w:type="paragraph" w:customStyle="1" w:styleId="Style2">
    <w:name w:val="Style2"/>
    <w:basedOn w:val="Normal"/>
    <w:qFormat/>
    <w:rsid w:val="00530761"/>
    <w:pPr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itleV5">
    <w:name w:val="Title V5"/>
    <w:basedOn w:val="Normal"/>
    <w:next w:val="Normal"/>
    <w:qFormat/>
    <w:rsid w:val="00530761"/>
    <w:pPr>
      <w:numPr>
        <w:ilvl w:val="1"/>
        <w:numId w:val="2"/>
      </w:numPr>
      <w:spacing w:after="0"/>
      <w:jc w:val="both"/>
    </w:pPr>
    <w:rPr>
      <w:rFonts w:ascii="Arial" w:eastAsia="Times New Roman" w:hAnsi="Arial" w:cs="Arial"/>
      <w:sz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30761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307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30761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3076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30761"/>
    <w:pPr>
      <w:spacing w:after="0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761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7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30761"/>
    <w:pPr>
      <w:spacing w:after="0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nonumbering">
    <w:name w:val="no numbering"/>
    <w:rsid w:val="00530761"/>
    <w:pPr>
      <w:tabs>
        <w:tab w:val="left" w:pos="720"/>
      </w:tabs>
      <w:spacing w:before="120" w:after="120"/>
      <w:ind w:left="680"/>
      <w:jc w:val="both"/>
    </w:pPr>
    <w:rPr>
      <w:rFonts w:ascii="Arial" w:eastAsia="Times New Roman" w:hAnsi="Arial" w:cs="Arial"/>
      <w:lang w:eastAsia="en-US"/>
    </w:rPr>
  </w:style>
  <w:style w:type="paragraph" w:customStyle="1" w:styleId="00-Normal-BB">
    <w:name w:val="00-Normal-BB"/>
    <w:rsid w:val="00530761"/>
    <w:pPr>
      <w:spacing w:after="0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Default">
    <w:name w:val="Default"/>
    <w:rsid w:val="00530761"/>
    <w:pPr>
      <w:autoSpaceDE w:val="0"/>
      <w:autoSpaceDN w:val="0"/>
      <w:adjustRightInd w:val="0"/>
      <w:spacing w:after="0"/>
    </w:pPr>
    <w:rPr>
      <w:rFonts w:ascii="Syntax" w:eastAsia="MS ??" w:hAnsi="Syntax" w:cs="Syntax"/>
      <w:color w:val="000000"/>
      <w:sz w:val="24"/>
      <w:szCs w:val="24"/>
      <w:lang w:eastAsia="en-GB"/>
    </w:rPr>
  </w:style>
  <w:style w:type="paragraph" w:customStyle="1" w:styleId="Part">
    <w:name w:val="Part"/>
    <w:link w:val="PartChar"/>
    <w:uiPriority w:val="99"/>
    <w:rsid w:val="00530761"/>
    <w:pPr>
      <w:widowControl w:val="0"/>
      <w:spacing w:after="0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PartChar">
    <w:name w:val="Part Char"/>
    <w:link w:val="Part"/>
    <w:uiPriority w:val="99"/>
    <w:rsid w:val="00530761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61F5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4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42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421"/>
    <w:rPr>
      <w:b/>
      <w:bCs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23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3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Revision">
    <w:name w:val="Revision"/>
    <w:hidden/>
    <w:uiPriority w:val="99"/>
    <w:semiHidden/>
    <w:rsid w:val="00432159"/>
    <w:pPr>
      <w:spacing w:after="0"/>
    </w:pPr>
    <w:rPr>
      <w:sz w:val="24"/>
      <w:lang w:val="en-US"/>
    </w:rPr>
  </w:style>
  <w:style w:type="paragraph" w:styleId="NoSpacing">
    <w:name w:val="No Spacing"/>
    <w:uiPriority w:val="1"/>
    <w:qFormat/>
    <w:rsid w:val="00620AD1"/>
    <w:pPr>
      <w:spacing w:after="0"/>
    </w:pPr>
    <w:rPr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0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PROTECTIVELY MARKED</TermName>
          <TermId xmlns="http://schemas.microsoft.com/office/infopath/2007/PartnerControls">59351c5f-b7fd-4a97-8559-c38b9b573e6f</TermId>
        </TermInfo>
      </Terms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Please select...</TermName>
          <TermId xmlns="http://schemas.microsoft.com/office/infopath/2007/PartnerControls">d4c3a339-8617-448c-96a4-aa4fe7bbd822</TermId>
        </TermInfo>
      </Terms>
    </a729509b32a34273afbf773e0c72336c>
    <Document_x0020_Description xmlns="1eee4ddb-a1f9-40b8-9282-d53ea582adeb" xsi:nil="true"/>
    <_dlc_DocId xmlns="1eee4ddb-a1f9-40b8-9282-d53ea582adeb">AAFXSQ5MW4ZD-189-46560</_dlc_DocId>
    <_dlc_DocIdUrl xmlns="1eee4ddb-a1f9-40b8-9282-d53ea582adeb">
      <Url>http://iws.ims.gov.uk/twa/goa/br/_layouts/DocIdRedir.aspx?ID=AAFXSQ5MW4ZD-189-46560</Url>
      <Description>AAFXSQ5MW4ZD-189-46560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6EED7-10EE-48FF-A6E9-45621AEA3EEB}"/>
</file>

<file path=customXml/itemProps2.xml><?xml version="1.0" encoding="utf-8"?>
<ds:datastoreItem xmlns:ds="http://schemas.openxmlformats.org/officeDocument/2006/customXml" ds:itemID="{1D7EDD0E-A0C6-4EC0-9CC8-293C79FB4401}"/>
</file>

<file path=customXml/itemProps3.xml><?xml version="1.0" encoding="utf-8"?>
<ds:datastoreItem xmlns:ds="http://schemas.openxmlformats.org/officeDocument/2006/customXml" ds:itemID="{8E4B44E4-804E-4325-A173-9234B6D2336E}"/>
</file>

<file path=customXml/itemProps4.xml><?xml version="1.0" encoding="utf-8"?>
<ds:datastoreItem xmlns:ds="http://schemas.openxmlformats.org/officeDocument/2006/customXml" ds:itemID="{43C6EED7-10EE-48FF-A6E9-45621AEA3E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7EDD0E-A0C6-4EC0-9CC8-293C79FB4401}">
  <ds:schemaRefs>
    <ds:schemaRef ds:uri="1eee4ddb-a1f9-40b8-9282-d53ea582adeb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5ACC631-B598-4BB9-940F-82DDA9A89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TGDH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Carling</dc:creator>
  <cp:lastModifiedBy>Sean Crilly (Croydon CCG)</cp:lastModifiedBy>
  <cp:revision>3</cp:revision>
  <cp:lastPrinted>2018-01-18T14:22:00Z</cp:lastPrinted>
  <dcterms:created xsi:type="dcterms:W3CDTF">2018-03-16T12:45:00Z</dcterms:created>
  <dcterms:modified xsi:type="dcterms:W3CDTF">2018-03-16T12:55:00Z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  <property fmtid="{D5CDD505-2E9C-101B-9397-08002B2CF9AE}" pid="3" name="_dlc_DocIdItemGuid">
    <vt:lpwstr>e5be24e6-4f14-4aec-ac6f-aeec6849b972</vt:lpwstr>
  </property>
</Properties>
</file>