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EF4532" w:rsidRPr="00273DDB" w:rsidTr="0028599A">
        <w:tc>
          <w:tcPr>
            <w:tcW w:w="9648" w:type="dxa"/>
          </w:tcPr>
          <w:p w:rsidR="00EF4532" w:rsidRDefault="00EF4532" w:rsidP="0028599A">
            <w:pPr>
              <w:pStyle w:val="Heading4"/>
              <w:spacing w:before="120" w:after="120"/>
            </w:pPr>
            <w:bookmarkStart w:id="0" w:name="_GoBack"/>
            <w:bookmarkEnd w:id="0"/>
            <w:r>
              <w:t xml:space="preserve">Homes and Communities Agency </w:t>
            </w:r>
          </w:p>
          <w:p w:rsidR="00EF4532" w:rsidRPr="00273DDB" w:rsidRDefault="00EF4532" w:rsidP="00EF4532">
            <w:pPr>
              <w:pStyle w:val="Heading4"/>
              <w:spacing w:before="120" w:after="120"/>
            </w:pPr>
            <w:r>
              <w:t>Invitation to provide fee proposal</w:t>
            </w:r>
          </w:p>
        </w:tc>
      </w:tr>
      <w:tr w:rsidR="00EF4532" w:rsidTr="0028599A">
        <w:tc>
          <w:tcPr>
            <w:tcW w:w="9648" w:type="dxa"/>
          </w:tcPr>
          <w:p w:rsidR="00EF4532" w:rsidRDefault="00EF4532" w:rsidP="00EF4532">
            <w:pPr>
              <w:spacing w:before="120" w:after="120"/>
              <w:jc w:val="both"/>
              <w:rPr>
                <w:rFonts w:ascii="Arial" w:hAnsi="Arial" w:cs="Arial"/>
                <w:sz w:val="20"/>
              </w:rPr>
            </w:pPr>
            <w:r>
              <w:rPr>
                <w:rFonts w:ascii="Arial" w:hAnsi="Arial" w:cs="Arial"/>
                <w:b/>
                <w:bCs/>
                <w:sz w:val="20"/>
              </w:rPr>
              <w:t>Panel Name</w:t>
            </w:r>
            <w:r>
              <w:rPr>
                <w:rFonts w:ascii="Arial" w:hAnsi="Arial" w:cs="Arial"/>
                <w:sz w:val="20"/>
              </w:rPr>
              <w:t xml:space="preserve">: </w:t>
            </w:r>
            <w:r w:rsidR="00C81C31">
              <w:rPr>
                <w:rFonts w:ascii="Arial" w:hAnsi="Arial" w:cs="Arial"/>
                <w:sz w:val="20"/>
              </w:rPr>
              <w:t>Multi-Disciplinary</w:t>
            </w:r>
          </w:p>
        </w:tc>
      </w:tr>
      <w:tr w:rsidR="00EF4532" w:rsidTr="0028599A">
        <w:tc>
          <w:tcPr>
            <w:tcW w:w="9648" w:type="dxa"/>
          </w:tcPr>
          <w:p w:rsidR="00C81C31" w:rsidRDefault="00EF4532" w:rsidP="00C81C31">
            <w:pPr>
              <w:spacing w:before="120" w:after="120"/>
              <w:jc w:val="both"/>
              <w:rPr>
                <w:rFonts w:ascii="Arial" w:hAnsi="Arial" w:cs="Arial"/>
                <w:sz w:val="20"/>
              </w:rPr>
            </w:pPr>
            <w:r>
              <w:rPr>
                <w:rFonts w:ascii="Arial" w:hAnsi="Arial" w:cs="Arial"/>
                <w:b/>
                <w:bCs/>
                <w:sz w:val="20"/>
              </w:rPr>
              <w:t>Project Name</w:t>
            </w:r>
            <w:r>
              <w:rPr>
                <w:rFonts w:ascii="Arial" w:hAnsi="Arial" w:cs="Arial"/>
                <w:sz w:val="20"/>
              </w:rPr>
              <w:t xml:space="preserve">: </w:t>
            </w:r>
            <w:r w:rsidR="00ED0284">
              <w:rPr>
                <w:rFonts w:ascii="Arial" w:hAnsi="Arial" w:cs="Arial"/>
                <w:sz w:val="20"/>
              </w:rPr>
              <w:t>Part of the North Yard</w:t>
            </w:r>
            <w:r w:rsidR="0091140C">
              <w:rPr>
                <w:rFonts w:ascii="Arial" w:hAnsi="Arial" w:cs="Arial"/>
                <w:sz w:val="20"/>
              </w:rPr>
              <w:t xml:space="preserve">, </w:t>
            </w:r>
            <w:proofErr w:type="spellStart"/>
            <w:r w:rsidR="0091140C">
              <w:rPr>
                <w:rFonts w:ascii="Arial" w:hAnsi="Arial" w:cs="Arial"/>
                <w:sz w:val="20"/>
              </w:rPr>
              <w:t>Leeman</w:t>
            </w:r>
            <w:proofErr w:type="spellEnd"/>
            <w:r w:rsidR="0091140C">
              <w:rPr>
                <w:rFonts w:ascii="Arial" w:hAnsi="Arial" w:cs="Arial"/>
                <w:sz w:val="20"/>
              </w:rPr>
              <w:t xml:space="preserve"> Road, York Y026 4XD</w:t>
            </w:r>
            <w:r w:rsidR="00C81C31">
              <w:rPr>
                <w:rFonts w:ascii="Arial" w:hAnsi="Arial" w:cs="Arial"/>
                <w:sz w:val="20"/>
              </w:rPr>
              <w:t xml:space="preserve"> </w:t>
            </w:r>
            <w:r w:rsidR="00A751A3">
              <w:rPr>
                <w:rFonts w:ascii="Arial" w:hAnsi="Arial" w:cs="Arial"/>
                <w:sz w:val="20"/>
              </w:rPr>
              <w:t>shown</w:t>
            </w:r>
            <w:r w:rsidR="005E5E3D">
              <w:rPr>
                <w:rFonts w:ascii="Arial" w:hAnsi="Arial" w:cs="Arial"/>
                <w:sz w:val="20"/>
              </w:rPr>
              <w:t xml:space="preserve"> as Site 11</w:t>
            </w:r>
            <w:r w:rsidR="00A751A3">
              <w:rPr>
                <w:rFonts w:ascii="Arial" w:hAnsi="Arial" w:cs="Arial"/>
                <w:sz w:val="20"/>
              </w:rPr>
              <w:t xml:space="preserve"> on the attached plan.</w:t>
            </w:r>
          </w:p>
          <w:p w:rsidR="00A751A3" w:rsidRDefault="00343623" w:rsidP="006B6251">
            <w:pPr>
              <w:spacing w:before="120" w:after="120"/>
              <w:jc w:val="both"/>
              <w:rPr>
                <w:rFonts w:ascii="Arial" w:hAnsi="Arial" w:cs="Arial"/>
                <w:sz w:val="20"/>
              </w:rPr>
            </w:pPr>
            <w:r>
              <w:rPr>
                <w:rFonts w:ascii="Arial" w:hAnsi="Arial" w:cs="Arial"/>
                <w:sz w:val="20"/>
              </w:rPr>
              <w:t>Site area 0</w:t>
            </w:r>
            <w:r w:rsidR="00A751A3">
              <w:rPr>
                <w:rFonts w:ascii="Arial" w:hAnsi="Arial" w:cs="Arial"/>
                <w:sz w:val="20"/>
              </w:rPr>
              <w:t>.</w:t>
            </w:r>
            <w:r w:rsidR="006B6251">
              <w:rPr>
                <w:rFonts w:ascii="Arial" w:hAnsi="Arial" w:cs="Arial"/>
                <w:sz w:val="20"/>
              </w:rPr>
              <w:t>59</w:t>
            </w:r>
            <w:r>
              <w:rPr>
                <w:rFonts w:ascii="Arial" w:hAnsi="Arial" w:cs="Arial"/>
                <w:sz w:val="20"/>
              </w:rPr>
              <w:t xml:space="preserve"> ha (</w:t>
            </w:r>
            <w:r w:rsidR="006B6251">
              <w:rPr>
                <w:rFonts w:ascii="Arial" w:hAnsi="Arial" w:cs="Arial"/>
                <w:sz w:val="20"/>
              </w:rPr>
              <w:t>1.45</w:t>
            </w:r>
            <w:r w:rsidR="00A751A3">
              <w:rPr>
                <w:rFonts w:ascii="Arial" w:hAnsi="Arial" w:cs="Arial"/>
                <w:sz w:val="20"/>
              </w:rPr>
              <w:t xml:space="preserve"> acres)</w:t>
            </w:r>
            <w:r>
              <w:rPr>
                <w:rFonts w:ascii="Arial" w:hAnsi="Arial" w:cs="Arial"/>
                <w:sz w:val="20"/>
              </w:rPr>
              <w:t xml:space="preserve"> approximately</w:t>
            </w:r>
          </w:p>
        </w:tc>
      </w:tr>
      <w:tr w:rsidR="00EF4532" w:rsidTr="0028599A">
        <w:tc>
          <w:tcPr>
            <w:tcW w:w="9648" w:type="dxa"/>
          </w:tcPr>
          <w:p w:rsidR="00EF4532" w:rsidRDefault="00EF4532" w:rsidP="00CF4D2F">
            <w:pPr>
              <w:spacing w:before="120" w:after="120"/>
              <w:jc w:val="both"/>
              <w:rPr>
                <w:rFonts w:ascii="Arial" w:hAnsi="Arial" w:cs="Arial"/>
                <w:b/>
                <w:bCs/>
                <w:sz w:val="20"/>
              </w:rPr>
            </w:pPr>
            <w:r w:rsidRPr="0087732E">
              <w:rPr>
                <w:rFonts w:ascii="Arial" w:hAnsi="Arial" w:cs="Arial"/>
                <w:b/>
                <w:bCs/>
                <w:sz w:val="20"/>
              </w:rPr>
              <w:t xml:space="preserve">Date: </w:t>
            </w:r>
            <w:r w:rsidR="00404F2F">
              <w:rPr>
                <w:rFonts w:ascii="Arial" w:hAnsi="Arial" w:cs="Arial"/>
                <w:bCs/>
                <w:sz w:val="20"/>
              </w:rPr>
              <w:t>11</w:t>
            </w:r>
            <w:r w:rsidR="00CF4D2F" w:rsidRPr="00A751A3">
              <w:rPr>
                <w:rFonts w:ascii="Arial" w:hAnsi="Arial" w:cs="Arial"/>
                <w:bCs/>
                <w:sz w:val="20"/>
                <w:vertAlign w:val="superscript"/>
              </w:rPr>
              <w:t xml:space="preserve">th </w:t>
            </w:r>
            <w:r w:rsidR="00CF4D2F" w:rsidRPr="00A751A3">
              <w:rPr>
                <w:rFonts w:ascii="Arial" w:hAnsi="Arial" w:cs="Arial"/>
                <w:bCs/>
                <w:sz w:val="20"/>
              </w:rPr>
              <w:t>January 2017</w:t>
            </w:r>
          </w:p>
        </w:tc>
      </w:tr>
      <w:tr w:rsidR="00EF4532" w:rsidRPr="0087732E" w:rsidTr="0028599A">
        <w:tc>
          <w:tcPr>
            <w:tcW w:w="9648" w:type="dxa"/>
          </w:tcPr>
          <w:p w:rsidR="00EF4532" w:rsidRPr="0087732E" w:rsidRDefault="00EF4532" w:rsidP="00EF4532">
            <w:pPr>
              <w:spacing w:before="120" w:after="120"/>
              <w:jc w:val="both"/>
              <w:rPr>
                <w:rFonts w:ascii="Arial" w:hAnsi="Arial" w:cs="Arial"/>
                <w:b/>
                <w:bCs/>
                <w:sz w:val="20"/>
              </w:rPr>
            </w:pPr>
            <w:r>
              <w:rPr>
                <w:rFonts w:ascii="Arial" w:hAnsi="Arial" w:cs="Arial"/>
                <w:b/>
                <w:bCs/>
                <w:sz w:val="20"/>
              </w:rPr>
              <w:t xml:space="preserve">To:- </w:t>
            </w:r>
            <w:r w:rsidR="00A751A3">
              <w:rPr>
                <w:rFonts w:ascii="Arial" w:hAnsi="Arial" w:cs="Arial"/>
                <w:b/>
                <w:bCs/>
                <w:sz w:val="20"/>
              </w:rPr>
              <w:t>WYG</w:t>
            </w:r>
          </w:p>
        </w:tc>
      </w:tr>
      <w:tr w:rsidR="00EF4532" w:rsidRPr="002C6171" w:rsidTr="0028599A">
        <w:tc>
          <w:tcPr>
            <w:tcW w:w="9648" w:type="dxa"/>
          </w:tcPr>
          <w:p w:rsidR="00EF4532" w:rsidRDefault="00EF4532" w:rsidP="00A751A3">
            <w:pPr>
              <w:spacing w:before="120" w:after="120"/>
              <w:jc w:val="both"/>
              <w:rPr>
                <w:rFonts w:ascii="Arial" w:hAnsi="Arial" w:cs="Arial"/>
                <w:iCs/>
                <w:sz w:val="20"/>
              </w:rPr>
            </w:pPr>
            <w:r>
              <w:rPr>
                <w:rFonts w:ascii="Arial" w:hAnsi="Arial" w:cs="Arial"/>
                <w:b/>
                <w:bCs/>
                <w:sz w:val="20"/>
              </w:rPr>
              <w:t xml:space="preserve">From: </w:t>
            </w:r>
            <w:r w:rsidR="00C75630">
              <w:rPr>
                <w:rFonts w:ascii="Arial" w:hAnsi="Arial" w:cs="Arial"/>
                <w:b/>
                <w:bCs/>
                <w:sz w:val="20"/>
              </w:rPr>
              <w:t>(Redacted)</w:t>
            </w:r>
            <w:r w:rsidR="00A751A3">
              <w:rPr>
                <w:rFonts w:ascii="Arial" w:hAnsi="Arial" w:cs="Arial"/>
                <w:bCs/>
                <w:sz w:val="20"/>
              </w:rPr>
              <w:t>, Senior Area Manager</w:t>
            </w:r>
            <w:r w:rsidR="000921C0">
              <w:rPr>
                <w:rFonts w:ascii="Arial" w:hAnsi="Arial" w:cs="Arial"/>
                <w:bCs/>
                <w:sz w:val="20"/>
              </w:rPr>
              <w:t xml:space="preserve">, </w:t>
            </w:r>
            <w:r w:rsidR="00A751A3">
              <w:rPr>
                <w:rFonts w:ascii="Arial" w:hAnsi="Arial" w:cs="Arial"/>
                <w:bCs/>
                <w:sz w:val="20"/>
              </w:rPr>
              <w:t>Homes and Communities Agency</w:t>
            </w:r>
            <w:r>
              <w:rPr>
                <w:rFonts w:ascii="Arial" w:hAnsi="Arial" w:cs="Arial"/>
                <w:iCs/>
                <w:sz w:val="20"/>
              </w:rPr>
              <w:t xml:space="preserve"> </w:t>
            </w:r>
          </w:p>
          <w:p w:rsidR="000921C0" w:rsidRPr="002C6171" w:rsidRDefault="000921C0" w:rsidP="00A751A3">
            <w:pPr>
              <w:spacing w:before="120" w:after="120"/>
              <w:jc w:val="both"/>
              <w:rPr>
                <w:rFonts w:ascii="Arial" w:hAnsi="Arial" w:cs="Arial"/>
                <w:iCs/>
                <w:sz w:val="20"/>
              </w:rPr>
            </w:pPr>
          </w:p>
        </w:tc>
      </w:tr>
      <w:tr w:rsidR="00EF4532" w:rsidRPr="00273DDB" w:rsidTr="0028599A">
        <w:tc>
          <w:tcPr>
            <w:tcW w:w="9648" w:type="dxa"/>
          </w:tcPr>
          <w:p w:rsidR="00EF4532" w:rsidRDefault="00EF4532" w:rsidP="0028599A">
            <w:pPr>
              <w:spacing w:before="120" w:after="120"/>
              <w:jc w:val="both"/>
              <w:rPr>
                <w:rFonts w:ascii="Arial" w:hAnsi="Arial" w:cs="Arial"/>
                <w:b/>
                <w:bCs/>
                <w:sz w:val="20"/>
              </w:rPr>
            </w:pPr>
            <w:r>
              <w:rPr>
                <w:rFonts w:ascii="Arial" w:hAnsi="Arial" w:cs="Arial"/>
                <w:b/>
                <w:bCs/>
                <w:sz w:val="20"/>
              </w:rPr>
              <w:t>Brief</w:t>
            </w:r>
          </w:p>
          <w:p w:rsidR="00EF4532" w:rsidRPr="00DE2791" w:rsidRDefault="00EF4532" w:rsidP="0028599A">
            <w:pPr>
              <w:spacing w:before="120" w:after="120"/>
              <w:rPr>
                <w:rFonts w:ascii="Arial" w:hAnsi="Arial" w:cs="Arial"/>
                <w:b/>
                <w:bCs/>
                <w:sz w:val="20"/>
                <w:szCs w:val="20"/>
              </w:rPr>
            </w:pPr>
            <w:r w:rsidRPr="00DE2791">
              <w:rPr>
                <w:rFonts w:ascii="Arial" w:hAnsi="Arial" w:cs="Arial"/>
                <w:b/>
                <w:bCs/>
                <w:sz w:val="20"/>
                <w:szCs w:val="20"/>
              </w:rPr>
              <w:t xml:space="preserve">Introduction and Background </w:t>
            </w:r>
          </w:p>
          <w:p w:rsidR="005E5E3D" w:rsidRPr="005E5E3D" w:rsidRDefault="005E5E3D" w:rsidP="005E5E3D">
            <w:pPr>
              <w:spacing w:before="120" w:after="120"/>
              <w:rPr>
                <w:rFonts w:ascii="Arial" w:hAnsi="Arial" w:cs="Arial"/>
                <w:bCs/>
                <w:sz w:val="20"/>
                <w:szCs w:val="20"/>
              </w:rPr>
            </w:pPr>
            <w:r w:rsidRPr="005E5E3D">
              <w:rPr>
                <w:rFonts w:ascii="Arial" w:hAnsi="Arial" w:cs="Arial"/>
                <w:bCs/>
                <w:sz w:val="20"/>
                <w:szCs w:val="20"/>
              </w:rPr>
              <w:t>The HCA is seeking to purchase the above site at Existing Use Value from the National Railway Museum by the 31</w:t>
            </w:r>
            <w:r w:rsidRPr="005E5E3D">
              <w:rPr>
                <w:rFonts w:ascii="Arial" w:hAnsi="Arial" w:cs="Arial"/>
                <w:bCs/>
                <w:sz w:val="20"/>
                <w:szCs w:val="20"/>
                <w:vertAlign w:val="superscript"/>
              </w:rPr>
              <w:t>st</w:t>
            </w:r>
            <w:r w:rsidRPr="005E5E3D">
              <w:rPr>
                <w:rFonts w:ascii="Arial" w:hAnsi="Arial" w:cs="Arial"/>
                <w:bCs/>
                <w:sz w:val="20"/>
                <w:szCs w:val="20"/>
              </w:rPr>
              <w:t xml:space="preserve"> March 2017. </w:t>
            </w:r>
          </w:p>
          <w:p w:rsidR="005E5E3D" w:rsidRPr="005E5E3D" w:rsidRDefault="005E5E3D" w:rsidP="005E5E3D">
            <w:pPr>
              <w:spacing w:before="120" w:after="120"/>
              <w:rPr>
                <w:rFonts w:ascii="Arial" w:hAnsi="Arial" w:cs="Arial"/>
                <w:bCs/>
                <w:sz w:val="20"/>
                <w:szCs w:val="20"/>
              </w:rPr>
            </w:pPr>
            <w:r w:rsidRPr="005E5E3D">
              <w:rPr>
                <w:rFonts w:ascii="Arial" w:hAnsi="Arial" w:cs="Arial"/>
                <w:bCs/>
                <w:sz w:val="20"/>
                <w:szCs w:val="20"/>
              </w:rPr>
              <w:t>This tender requires technical due diligence to support the proposed acquisition and the tender response must be consistent with the HCA’s Multidisciplinary panel. The HCA shall appoint under the terms of the Multidisciplinary Panel.</w:t>
            </w:r>
          </w:p>
          <w:p w:rsidR="00821E80" w:rsidRDefault="00821E80" w:rsidP="0028599A">
            <w:pPr>
              <w:spacing w:before="120" w:after="120"/>
              <w:rPr>
                <w:rFonts w:ascii="Arial" w:hAnsi="Arial" w:cs="Arial"/>
                <w:sz w:val="20"/>
                <w:szCs w:val="20"/>
              </w:rPr>
            </w:pPr>
          </w:p>
          <w:p w:rsidR="00EF4532" w:rsidRDefault="00EF4532" w:rsidP="0028599A">
            <w:pPr>
              <w:spacing w:before="120" w:after="120"/>
              <w:rPr>
                <w:rFonts w:ascii="Arial" w:hAnsi="Arial" w:cs="Arial"/>
                <w:b/>
                <w:bCs/>
                <w:sz w:val="20"/>
                <w:szCs w:val="20"/>
              </w:rPr>
            </w:pPr>
            <w:r w:rsidRPr="00DE2791">
              <w:rPr>
                <w:rFonts w:ascii="Arial" w:hAnsi="Arial" w:cs="Arial"/>
                <w:b/>
                <w:bCs/>
                <w:sz w:val="20"/>
                <w:szCs w:val="20"/>
              </w:rPr>
              <w:t>Scope</w:t>
            </w:r>
            <w:r w:rsidR="00227045">
              <w:rPr>
                <w:rFonts w:ascii="Arial" w:hAnsi="Arial" w:cs="Arial"/>
                <w:b/>
                <w:bCs/>
                <w:sz w:val="20"/>
                <w:szCs w:val="20"/>
              </w:rPr>
              <w:t xml:space="preserve"> of this Commission</w:t>
            </w:r>
          </w:p>
          <w:p w:rsidR="00D30D8F" w:rsidRDefault="00D30D8F" w:rsidP="00D30D8F">
            <w:pPr>
              <w:spacing w:before="120" w:after="120"/>
              <w:rPr>
                <w:rFonts w:ascii="Arial" w:hAnsi="Arial" w:cs="Arial"/>
                <w:sz w:val="20"/>
                <w:szCs w:val="20"/>
              </w:rPr>
            </w:pPr>
            <w:r>
              <w:rPr>
                <w:rFonts w:ascii="Arial" w:hAnsi="Arial" w:cs="Arial"/>
                <w:sz w:val="20"/>
                <w:szCs w:val="20"/>
              </w:rPr>
              <w:t>The consultant will provide a single point of contact within the company and the company will provide all the services required to deliver the due diligence works.  The scope of this commission covers the following essential elements to be compiled into a single report:</w:t>
            </w:r>
          </w:p>
          <w:p w:rsidR="00B90DD6" w:rsidRDefault="00B90DD6" w:rsidP="000A670B">
            <w:pPr>
              <w:numPr>
                <w:ilvl w:val="0"/>
                <w:numId w:val="4"/>
              </w:numPr>
              <w:spacing w:before="120" w:after="120"/>
              <w:rPr>
                <w:rFonts w:ascii="Arial" w:hAnsi="Arial" w:cs="Arial"/>
                <w:sz w:val="20"/>
                <w:szCs w:val="20"/>
              </w:rPr>
            </w:pPr>
            <w:r>
              <w:rPr>
                <w:rFonts w:ascii="Arial" w:hAnsi="Arial" w:cs="Arial"/>
                <w:sz w:val="20"/>
                <w:szCs w:val="20"/>
              </w:rPr>
              <w:t xml:space="preserve">Reviewing </w:t>
            </w:r>
            <w:r w:rsidR="00C709E1">
              <w:rPr>
                <w:rFonts w:ascii="Arial" w:hAnsi="Arial" w:cs="Arial"/>
                <w:sz w:val="20"/>
                <w:szCs w:val="20"/>
              </w:rPr>
              <w:t>the appraisal of previous geo-environmental, geo-technical investigations</w:t>
            </w:r>
            <w:r w:rsidR="002174AD">
              <w:rPr>
                <w:rFonts w:ascii="Arial" w:hAnsi="Arial" w:cs="Arial"/>
                <w:sz w:val="20"/>
                <w:szCs w:val="20"/>
              </w:rPr>
              <w:t>, risk assessment and remediation requirements report</w:t>
            </w:r>
            <w:r>
              <w:rPr>
                <w:rFonts w:ascii="Arial" w:hAnsi="Arial" w:cs="Arial"/>
                <w:sz w:val="20"/>
                <w:szCs w:val="20"/>
              </w:rPr>
              <w:t xml:space="preserve"> </w:t>
            </w:r>
            <w:r w:rsidR="00D30D8F">
              <w:rPr>
                <w:rFonts w:ascii="Arial" w:hAnsi="Arial" w:cs="Arial"/>
                <w:sz w:val="20"/>
                <w:szCs w:val="20"/>
              </w:rPr>
              <w:t>(WYG May</w:t>
            </w:r>
            <w:r w:rsidR="002174AD">
              <w:rPr>
                <w:rFonts w:ascii="Arial" w:hAnsi="Arial" w:cs="Arial"/>
                <w:sz w:val="20"/>
                <w:szCs w:val="20"/>
              </w:rPr>
              <w:t xml:space="preserve"> 2016) as baseline information</w:t>
            </w:r>
          </w:p>
          <w:p w:rsidR="00404F2F" w:rsidRDefault="00683B1C" w:rsidP="000A670B">
            <w:pPr>
              <w:numPr>
                <w:ilvl w:val="0"/>
                <w:numId w:val="4"/>
              </w:numPr>
              <w:spacing w:before="120" w:after="120"/>
              <w:rPr>
                <w:rFonts w:ascii="Arial" w:hAnsi="Arial" w:cs="Arial"/>
                <w:sz w:val="20"/>
                <w:szCs w:val="20"/>
              </w:rPr>
            </w:pPr>
            <w:r>
              <w:rPr>
                <w:rFonts w:ascii="Arial" w:hAnsi="Arial" w:cs="Arial"/>
                <w:sz w:val="20"/>
                <w:szCs w:val="20"/>
              </w:rPr>
              <w:t>A high level review of the condition of the existing buildings on the site highlighting any issues associated with the structure and fabric of the buildings that will need to be addressed over the next three years</w:t>
            </w:r>
            <w:r w:rsidR="00BA39A5">
              <w:rPr>
                <w:rFonts w:ascii="Arial" w:hAnsi="Arial" w:cs="Arial"/>
                <w:sz w:val="20"/>
                <w:szCs w:val="20"/>
              </w:rPr>
              <w:t>.</w:t>
            </w:r>
          </w:p>
          <w:p w:rsidR="00D30D8F" w:rsidRDefault="00D30D8F" w:rsidP="00D30D8F">
            <w:pPr>
              <w:numPr>
                <w:ilvl w:val="0"/>
                <w:numId w:val="4"/>
              </w:numPr>
              <w:spacing w:before="120" w:after="120"/>
              <w:rPr>
                <w:rFonts w:ascii="Arial" w:hAnsi="Arial" w:cs="Arial"/>
                <w:sz w:val="20"/>
                <w:szCs w:val="20"/>
              </w:rPr>
            </w:pPr>
            <w:r w:rsidRPr="00D30D8F">
              <w:rPr>
                <w:rFonts w:ascii="Arial" w:hAnsi="Arial" w:cs="Arial"/>
                <w:sz w:val="20"/>
                <w:szCs w:val="20"/>
              </w:rPr>
              <w:t>Conducting a desktop assessment of the site to ascertain its suitability for residential development. This report will highlight key risks associated with contamination/ground conditions with a high level budget estimate for dealing with any issues that are highlighted</w:t>
            </w:r>
          </w:p>
          <w:p w:rsidR="00D30D8F" w:rsidRPr="00D30D8F" w:rsidRDefault="00D30D8F" w:rsidP="00D30D8F">
            <w:pPr>
              <w:pStyle w:val="ListParagraph"/>
              <w:numPr>
                <w:ilvl w:val="0"/>
                <w:numId w:val="4"/>
              </w:numPr>
              <w:rPr>
                <w:rFonts w:ascii="Arial" w:eastAsia="Times New Roman" w:hAnsi="Arial" w:cs="Arial"/>
                <w:sz w:val="20"/>
                <w:szCs w:val="20"/>
              </w:rPr>
            </w:pPr>
            <w:r w:rsidRPr="00D30D8F">
              <w:rPr>
                <w:rFonts w:ascii="Arial" w:eastAsia="Times New Roman" w:hAnsi="Arial" w:cs="Arial"/>
                <w:sz w:val="20"/>
                <w:szCs w:val="20"/>
              </w:rPr>
              <w:t xml:space="preserve">Produce a Gap- Analysis with </w:t>
            </w:r>
            <w:proofErr w:type="spellStart"/>
            <w:r w:rsidRPr="00D30D8F">
              <w:rPr>
                <w:rFonts w:ascii="Arial" w:eastAsia="Times New Roman" w:hAnsi="Arial" w:cs="Arial"/>
                <w:sz w:val="20"/>
                <w:szCs w:val="20"/>
              </w:rPr>
              <w:t>costed</w:t>
            </w:r>
            <w:proofErr w:type="spellEnd"/>
            <w:r w:rsidRPr="00D30D8F">
              <w:rPr>
                <w:rFonts w:ascii="Arial" w:eastAsia="Times New Roman" w:hAnsi="Arial" w:cs="Arial"/>
                <w:sz w:val="20"/>
                <w:szCs w:val="20"/>
              </w:rPr>
              <w:t xml:space="preserve"> “Recommended next steps”</w:t>
            </w:r>
          </w:p>
          <w:p w:rsidR="00232986" w:rsidRDefault="00B90DD6" w:rsidP="000A670B">
            <w:pPr>
              <w:numPr>
                <w:ilvl w:val="0"/>
                <w:numId w:val="4"/>
              </w:numPr>
              <w:spacing w:before="120" w:after="120"/>
              <w:rPr>
                <w:rFonts w:ascii="Arial" w:hAnsi="Arial" w:cs="Arial"/>
                <w:sz w:val="20"/>
                <w:szCs w:val="20"/>
              </w:rPr>
            </w:pPr>
            <w:r>
              <w:rPr>
                <w:rFonts w:ascii="Arial" w:hAnsi="Arial" w:cs="Arial"/>
                <w:sz w:val="20"/>
                <w:szCs w:val="20"/>
              </w:rPr>
              <w:t>Identifying existing infrastructure serving the site</w:t>
            </w:r>
            <w:r w:rsidR="002174AD">
              <w:rPr>
                <w:rFonts w:ascii="Arial" w:hAnsi="Arial" w:cs="Arial"/>
                <w:sz w:val="20"/>
                <w:szCs w:val="20"/>
              </w:rPr>
              <w:t xml:space="preserve"> (utilities and highway access)</w:t>
            </w:r>
            <w:r>
              <w:rPr>
                <w:rFonts w:ascii="Arial" w:hAnsi="Arial" w:cs="Arial"/>
                <w:sz w:val="20"/>
                <w:szCs w:val="20"/>
              </w:rPr>
              <w:t xml:space="preserve"> and any capacity issues that are likely to arise if the site is developed for residential purposes</w:t>
            </w:r>
            <w:r w:rsidR="00821E80" w:rsidRPr="00232986">
              <w:rPr>
                <w:rFonts w:ascii="Arial" w:hAnsi="Arial" w:cs="Arial"/>
                <w:sz w:val="20"/>
                <w:szCs w:val="20"/>
              </w:rPr>
              <w:t xml:space="preserve"> </w:t>
            </w:r>
            <w:r w:rsidR="00D30D8F">
              <w:rPr>
                <w:rFonts w:ascii="Arial" w:hAnsi="Arial" w:cs="Arial"/>
                <w:sz w:val="20"/>
                <w:szCs w:val="20"/>
              </w:rPr>
              <w:t>accompanied by high level budget estimates</w:t>
            </w:r>
          </w:p>
          <w:p w:rsidR="00596CBE" w:rsidRPr="00D30D8F" w:rsidRDefault="00D30D8F" w:rsidP="00D30D8F">
            <w:pPr>
              <w:pStyle w:val="ListParagraph"/>
              <w:numPr>
                <w:ilvl w:val="0"/>
                <w:numId w:val="4"/>
              </w:numPr>
              <w:spacing w:before="120" w:after="120"/>
              <w:rPr>
                <w:rFonts w:ascii="Arial" w:hAnsi="Arial" w:cs="Arial"/>
                <w:sz w:val="20"/>
                <w:szCs w:val="20"/>
              </w:rPr>
            </w:pPr>
            <w:r w:rsidRPr="00D30D8F">
              <w:rPr>
                <w:rFonts w:ascii="Arial" w:eastAsia="Times New Roman" w:hAnsi="Arial" w:cs="Arial"/>
                <w:sz w:val="20"/>
                <w:szCs w:val="20"/>
              </w:rPr>
              <w:t>An archaeological assessment for the site identifying any specific issues that will need to be addressed if the site is redeveloped for housing</w:t>
            </w:r>
          </w:p>
          <w:p w:rsidR="00EF4532" w:rsidRPr="00D74426" w:rsidRDefault="00EF4532" w:rsidP="0028599A">
            <w:pPr>
              <w:spacing w:before="120" w:after="120"/>
              <w:rPr>
                <w:rFonts w:ascii="Arial" w:hAnsi="Arial" w:cs="Arial"/>
                <w:b/>
                <w:bCs/>
                <w:sz w:val="20"/>
                <w:szCs w:val="20"/>
              </w:rPr>
            </w:pPr>
            <w:r w:rsidRPr="00D74426">
              <w:rPr>
                <w:rFonts w:ascii="Arial" w:hAnsi="Arial" w:cs="Arial"/>
                <w:b/>
                <w:bCs/>
                <w:sz w:val="20"/>
                <w:szCs w:val="20"/>
              </w:rPr>
              <w:t>Project management and structure of commission</w:t>
            </w:r>
          </w:p>
          <w:p w:rsidR="00D30D8F" w:rsidRDefault="00D30D8F" w:rsidP="0028599A">
            <w:pPr>
              <w:spacing w:beforeLines="60" w:before="144" w:afterLines="60" w:after="144"/>
              <w:rPr>
                <w:rFonts w:ascii="Arial" w:hAnsi="Arial" w:cs="Arial"/>
                <w:sz w:val="20"/>
                <w:szCs w:val="20"/>
              </w:rPr>
            </w:pPr>
            <w:r w:rsidRPr="00D30D8F">
              <w:rPr>
                <w:rFonts w:ascii="Arial" w:hAnsi="Arial" w:cs="Arial"/>
                <w:sz w:val="20"/>
                <w:szCs w:val="20"/>
              </w:rPr>
              <w:t>The Homes and Communities Agency is the client for this commission, the consultant will be paid by the Agency and the instruction will be managed through the ITP system in line with the Multidisciplinary Framework Panel.</w:t>
            </w:r>
          </w:p>
          <w:p w:rsidR="00EF4532" w:rsidRDefault="00C75630" w:rsidP="0028599A">
            <w:pPr>
              <w:spacing w:beforeLines="60" w:before="144" w:afterLines="60" w:after="144"/>
              <w:rPr>
                <w:rFonts w:ascii="Arial" w:hAnsi="Arial" w:cs="Arial"/>
                <w:sz w:val="20"/>
                <w:szCs w:val="20"/>
              </w:rPr>
            </w:pPr>
            <w:r>
              <w:rPr>
                <w:rFonts w:ascii="Arial" w:hAnsi="Arial" w:cs="Arial"/>
                <w:sz w:val="20"/>
                <w:szCs w:val="20"/>
              </w:rPr>
              <w:t>(Redacted)</w:t>
            </w:r>
            <w:r w:rsidR="000921C0">
              <w:rPr>
                <w:rFonts w:ascii="Arial" w:hAnsi="Arial" w:cs="Arial"/>
                <w:sz w:val="20"/>
                <w:szCs w:val="20"/>
              </w:rPr>
              <w:t xml:space="preserve"> will be the main point of contact </w:t>
            </w:r>
            <w:r w:rsidR="00EF4532">
              <w:rPr>
                <w:rFonts w:ascii="Arial" w:hAnsi="Arial" w:cs="Arial"/>
                <w:sz w:val="20"/>
                <w:szCs w:val="20"/>
              </w:rPr>
              <w:t>on a day to day basis throughout the commission.</w:t>
            </w:r>
          </w:p>
          <w:p w:rsidR="00BA39A5" w:rsidRDefault="00EF4532" w:rsidP="0028599A">
            <w:pPr>
              <w:spacing w:beforeLines="60" w:before="144" w:afterLines="60" w:after="144"/>
              <w:rPr>
                <w:rFonts w:ascii="Arial" w:hAnsi="Arial" w:cs="Arial"/>
                <w:sz w:val="20"/>
                <w:szCs w:val="20"/>
              </w:rPr>
            </w:pPr>
            <w:r w:rsidRPr="00D74426">
              <w:rPr>
                <w:rFonts w:ascii="Arial" w:hAnsi="Arial" w:cs="Arial"/>
                <w:sz w:val="20"/>
                <w:szCs w:val="20"/>
              </w:rPr>
              <w:t>It is</w:t>
            </w:r>
            <w:r>
              <w:rPr>
                <w:rFonts w:ascii="Arial" w:hAnsi="Arial" w:cs="Arial"/>
                <w:sz w:val="20"/>
                <w:szCs w:val="20"/>
              </w:rPr>
              <w:t xml:space="preserve"> anticipated that there will be regular progress </w:t>
            </w:r>
            <w:r w:rsidR="009232EF">
              <w:rPr>
                <w:rFonts w:ascii="Arial" w:hAnsi="Arial" w:cs="Arial"/>
                <w:sz w:val="20"/>
                <w:szCs w:val="20"/>
              </w:rPr>
              <w:t>updates via phone, email or meetings</w:t>
            </w:r>
            <w:r>
              <w:rPr>
                <w:rFonts w:ascii="Arial" w:hAnsi="Arial" w:cs="Arial"/>
                <w:sz w:val="20"/>
                <w:szCs w:val="20"/>
              </w:rPr>
              <w:t xml:space="preserve">, </w:t>
            </w:r>
            <w:r w:rsidR="009232EF">
              <w:rPr>
                <w:rFonts w:ascii="Arial" w:hAnsi="Arial" w:cs="Arial"/>
                <w:sz w:val="20"/>
                <w:szCs w:val="20"/>
              </w:rPr>
              <w:t xml:space="preserve">on </w:t>
            </w:r>
            <w:r>
              <w:rPr>
                <w:rFonts w:ascii="Arial" w:hAnsi="Arial" w:cs="Arial"/>
                <w:sz w:val="20"/>
                <w:szCs w:val="20"/>
              </w:rPr>
              <w:t xml:space="preserve">at least </w:t>
            </w:r>
            <w:r w:rsidR="009232EF">
              <w:rPr>
                <w:rFonts w:ascii="Arial" w:hAnsi="Arial" w:cs="Arial"/>
                <w:sz w:val="20"/>
                <w:szCs w:val="20"/>
              </w:rPr>
              <w:t xml:space="preserve">a </w:t>
            </w:r>
            <w:r w:rsidR="009232EF">
              <w:rPr>
                <w:rFonts w:ascii="Arial" w:hAnsi="Arial" w:cs="Arial"/>
                <w:sz w:val="20"/>
                <w:szCs w:val="20"/>
              </w:rPr>
              <w:lastRenderedPageBreak/>
              <w:t>weekly basis</w:t>
            </w:r>
            <w:r w:rsidRPr="00D74426">
              <w:rPr>
                <w:rFonts w:ascii="Arial" w:hAnsi="Arial" w:cs="Arial"/>
                <w:sz w:val="20"/>
                <w:szCs w:val="20"/>
              </w:rPr>
              <w:t xml:space="preserve">.  </w:t>
            </w:r>
          </w:p>
          <w:p w:rsidR="00EF4532" w:rsidRPr="00D74426" w:rsidRDefault="00EF4532" w:rsidP="0028599A">
            <w:pPr>
              <w:spacing w:before="120" w:after="120"/>
              <w:rPr>
                <w:rFonts w:ascii="Arial" w:hAnsi="Arial" w:cs="Arial"/>
                <w:b/>
                <w:bCs/>
                <w:sz w:val="20"/>
                <w:szCs w:val="20"/>
              </w:rPr>
            </w:pPr>
            <w:r w:rsidRPr="00D74426">
              <w:rPr>
                <w:rFonts w:ascii="Arial" w:hAnsi="Arial" w:cs="Arial"/>
                <w:b/>
                <w:bCs/>
                <w:sz w:val="20"/>
                <w:szCs w:val="20"/>
              </w:rPr>
              <w:t>Programme</w:t>
            </w:r>
          </w:p>
          <w:tbl>
            <w:tblPr>
              <w:tblStyle w:val="TableGrid"/>
              <w:tblW w:w="0" w:type="auto"/>
              <w:tblLook w:val="04A0" w:firstRow="1" w:lastRow="0" w:firstColumn="1" w:lastColumn="0" w:noHBand="0" w:noVBand="1"/>
            </w:tblPr>
            <w:tblGrid>
              <w:gridCol w:w="4708"/>
              <w:gridCol w:w="4709"/>
            </w:tblGrid>
            <w:tr w:rsidR="00D30D8F" w:rsidTr="002128D5">
              <w:tc>
                <w:tcPr>
                  <w:tcW w:w="4708" w:type="dxa"/>
                </w:tcPr>
                <w:p w:rsidR="00D30D8F" w:rsidRDefault="00D30D8F" w:rsidP="002128D5">
                  <w:pPr>
                    <w:spacing w:before="120" w:after="120"/>
                    <w:rPr>
                      <w:rFonts w:ascii="Arial" w:hAnsi="Arial" w:cs="Arial"/>
                      <w:b/>
                      <w:bCs/>
                      <w:sz w:val="20"/>
                      <w:szCs w:val="20"/>
                    </w:rPr>
                  </w:pPr>
                  <w:r>
                    <w:rPr>
                      <w:rFonts w:ascii="Arial" w:hAnsi="Arial" w:cs="Arial"/>
                      <w:b/>
                      <w:bCs/>
                      <w:sz w:val="20"/>
                      <w:szCs w:val="20"/>
                    </w:rPr>
                    <w:t>Quotation response</w:t>
                  </w:r>
                </w:p>
              </w:tc>
              <w:tc>
                <w:tcPr>
                  <w:tcW w:w="4709" w:type="dxa"/>
                </w:tcPr>
                <w:p w:rsidR="00D30D8F" w:rsidRDefault="00D30D8F" w:rsidP="002128D5">
                  <w:pPr>
                    <w:spacing w:before="120" w:after="120"/>
                    <w:rPr>
                      <w:rFonts w:ascii="Arial" w:hAnsi="Arial" w:cs="Arial"/>
                      <w:b/>
                      <w:bCs/>
                      <w:sz w:val="20"/>
                      <w:szCs w:val="20"/>
                    </w:rPr>
                  </w:pPr>
                  <w:r>
                    <w:rPr>
                      <w:rFonts w:ascii="Arial" w:hAnsi="Arial" w:cs="Arial"/>
                      <w:b/>
                      <w:bCs/>
                      <w:sz w:val="20"/>
                      <w:szCs w:val="20"/>
                    </w:rPr>
                    <w:t>Noon Monday 16</w:t>
                  </w:r>
                  <w:r w:rsidRPr="002128D5">
                    <w:rPr>
                      <w:rFonts w:ascii="Arial" w:hAnsi="Arial" w:cs="Arial"/>
                      <w:b/>
                      <w:bCs/>
                      <w:sz w:val="20"/>
                      <w:szCs w:val="20"/>
                      <w:vertAlign w:val="superscript"/>
                    </w:rPr>
                    <w:t>th</w:t>
                  </w:r>
                  <w:r>
                    <w:rPr>
                      <w:rFonts w:ascii="Arial" w:hAnsi="Arial" w:cs="Arial"/>
                      <w:b/>
                      <w:bCs/>
                      <w:sz w:val="20"/>
                      <w:szCs w:val="20"/>
                    </w:rPr>
                    <w:t xml:space="preserve"> January 2017</w:t>
                  </w:r>
                </w:p>
              </w:tc>
            </w:tr>
            <w:tr w:rsidR="00D30D8F" w:rsidTr="002128D5">
              <w:tc>
                <w:tcPr>
                  <w:tcW w:w="4708" w:type="dxa"/>
                </w:tcPr>
                <w:p w:rsidR="00D30D8F" w:rsidRDefault="00D30D8F" w:rsidP="002128D5">
                  <w:pPr>
                    <w:spacing w:before="120" w:after="120"/>
                    <w:rPr>
                      <w:rFonts w:ascii="Arial" w:hAnsi="Arial" w:cs="Arial"/>
                      <w:b/>
                      <w:bCs/>
                      <w:sz w:val="20"/>
                      <w:szCs w:val="20"/>
                    </w:rPr>
                  </w:pPr>
                  <w:r>
                    <w:rPr>
                      <w:rFonts w:ascii="Arial" w:hAnsi="Arial" w:cs="Arial"/>
                      <w:b/>
                      <w:bCs/>
                      <w:sz w:val="20"/>
                      <w:szCs w:val="20"/>
                    </w:rPr>
                    <w:t>Appointment</w:t>
                  </w:r>
                </w:p>
              </w:tc>
              <w:tc>
                <w:tcPr>
                  <w:tcW w:w="4709" w:type="dxa"/>
                </w:tcPr>
                <w:p w:rsidR="00D30D8F" w:rsidRDefault="00D30D8F" w:rsidP="002128D5">
                  <w:pPr>
                    <w:spacing w:before="120" w:after="120"/>
                    <w:rPr>
                      <w:rFonts w:ascii="Arial" w:hAnsi="Arial" w:cs="Arial"/>
                      <w:b/>
                      <w:bCs/>
                      <w:sz w:val="20"/>
                      <w:szCs w:val="20"/>
                    </w:rPr>
                  </w:pPr>
                  <w:r>
                    <w:rPr>
                      <w:rFonts w:ascii="Arial" w:hAnsi="Arial" w:cs="Arial"/>
                      <w:b/>
                      <w:bCs/>
                      <w:sz w:val="20"/>
                      <w:szCs w:val="20"/>
                    </w:rPr>
                    <w:t>18</w:t>
                  </w:r>
                  <w:r w:rsidRPr="002128D5">
                    <w:rPr>
                      <w:rFonts w:ascii="Arial" w:hAnsi="Arial" w:cs="Arial"/>
                      <w:b/>
                      <w:bCs/>
                      <w:sz w:val="20"/>
                      <w:szCs w:val="20"/>
                      <w:vertAlign w:val="superscript"/>
                    </w:rPr>
                    <w:t>th</w:t>
                  </w:r>
                  <w:r>
                    <w:rPr>
                      <w:rFonts w:ascii="Arial" w:hAnsi="Arial" w:cs="Arial"/>
                      <w:b/>
                      <w:bCs/>
                      <w:sz w:val="20"/>
                      <w:szCs w:val="20"/>
                    </w:rPr>
                    <w:t xml:space="preserve"> January </w:t>
                  </w:r>
                </w:p>
              </w:tc>
            </w:tr>
            <w:tr w:rsidR="00D30D8F" w:rsidTr="002128D5">
              <w:tc>
                <w:tcPr>
                  <w:tcW w:w="4708" w:type="dxa"/>
                </w:tcPr>
                <w:p w:rsidR="00D30D8F" w:rsidRDefault="00D30D8F" w:rsidP="002128D5">
                  <w:pPr>
                    <w:spacing w:before="120" w:after="120"/>
                    <w:rPr>
                      <w:rFonts w:ascii="Arial" w:hAnsi="Arial" w:cs="Arial"/>
                      <w:b/>
                      <w:bCs/>
                      <w:sz w:val="20"/>
                      <w:szCs w:val="20"/>
                    </w:rPr>
                  </w:pPr>
                  <w:r>
                    <w:rPr>
                      <w:rFonts w:ascii="Arial" w:hAnsi="Arial" w:cs="Arial"/>
                      <w:b/>
                      <w:bCs/>
                      <w:sz w:val="20"/>
                      <w:szCs w:val="20"/>
                    </w:rPr>
                    <w:t>Inception Discussion</w:t>
                  </w:r>
                </w:p>
              </w:tc>
              <w:tc>
                <w:tcPr>
                  <w:tcW w:w="4709" w:type="dxa"/>
                </w:tcPr>
                <w:p w:rsidR="00D30D8F" w:rsidRDefault="00D30D8F" w:rsidP="002128D5">
                  <w:pPr>
                    <w:spacing w:before="120" w:after="120"/>
                    <w:rPr>
                      <w:rFonts w:ascii="Arial" w:hAnsi="Arial" w:cs="Arial"/>
                      <w:b/>
                      <w:bCs/>
                      <w:sz w:val="20"/>
                      <w:szCs w:val="20"/>
                    </w:rPr>
                  </w:pPr>
                  <w:r>
                    <w:rPr>
                      <w:rFonts w:ascii="Arial" w:hAnsi="Arial" w:cs="Arial"/>
                      <w:b/>
                      <w:bCs/>
                      <w:sz w:val="20"/>
                      <w:szCs w:val="20"/>
                    </w:rPr>
                    <w:t>Morning 18</w:t>
                  </w:r>
                  <w:r w:rsidRPr="002D4229">
                    <w:rPr>
                      <w:rFonts w:ascii="Arial" w:hAnsi="Arial" w:cs="Arial"/>
                      <w:b/>
                      <w:bCs/>
                      <w:sz w:val="20"/>
                      <w:szCs w:val="20"/>
                      <w:vertAlign w:val="superscript"/>
                    </w:rPr>
                    <w:t>th</w:t>
                  </w:r>
                  <w:r>
                    <w:rPr>
                      <w:rFonts w:ascii="Arial" w:hAnsi="Arial" w:cs="Arial"/>
                      <w:b/>
                      <w:bCs/>
                      <w:sz w:val="20"/>
                      <w:szCs w:val="20"/>
                    </w:rPr>
                    <w:t xml:space="preserve"> January, HCA Leeds office</w:t>
                  </w:r>
                </w:p>
              </w:tc>
            </w:tr>
            <w:tr w:rsidR="00D30D8F" w:rsidTr="002128D5">
              <w:tc>
                <w:tcPr>
                  <w:tcW w:w="4708" w:type="dxa"/>
                </w:tcPr>
                <w:p w:rsidR="00D30D8F" w:rsidRDefault="00D30D8F" w:rsidP="002128D5">
                  <w:pPr>
                    <w:spacing w:before="120" w:after="120"/>
                    <w:rPr>
                      <w:rFonts w:ascii="Arial" w:hAnsi="Arial" w:cs="Arial"/>
                      <w:b/>
                      <w:bCs/>
                      <w:sz w:val="20"/>
                      <w:szCs w:val="20"/>
                    </w:rPr>
                  </w:pPr>
                  <w:r>
                    <w:rPr>
                      <w:rFonts w:ascii="Arial" w:hAnsi="Arial" w:cs="Arial"/>
                      <w:b/>
                      <w:bCs/>
                      <w:sz w:val="20"/>
                      <w:szCs w:val="20"/>
                    </w:rPr>
                    <w:t>Draft Report</w:t>
                  </w:r>
                </w:p>
              </w:tc>
              <w:tc>
                <w:tcPr>
                  <w:tcW w:w="4709" w:type="dxa"/>
                </w:tcPr>
                <w:p w:rsidR="00D30D8F" w:rsidRDefault="00D30D8F" w:rsidP="002128D5">
                  <w:pPr>
                    <w:spacing w:before="120" w:after="120"/>
                    <w:rPr>
                      <w:rFonts w:ascii="Arial" w:hAnsi="Arial" w:cs="Arial"/>
                      <w:b/>
                      <w:bCs/>
                      <w:sz w:val="20"/>
                      <w:szCs w:val="20"/>
                    </w:rPr>
                  </w:pPr>
                  <w:r>
                    <w:rPr>
                      <w:rFonts w:ascii="Arial" w:hAnsi="Arial" w:cs="Arial"/>
                      <w:b/>
                      <w:bCs/>
                      <w:sz w:val="20"/>
                      <w:szCs w:val="20"/>
                    </w:rPr>
                    <w:t>Noon Friday 17</w:t>
                  </w:r>
                  <w:r w:rsidRPr="002D4229">
                    <w:rPr>
                      <w:rFonts w:ascii="Arial" w:hAnsi="Arial" w:cs="Arial"/>
                      <w:b/>
                      <w:bCs/>
                      <w:sz w:val="20"/>
                      <w:szCs w:val="20"/>
                      <w:vertAlign w:val="superscript"/>
                    </w:rPr>
                    <w:t>th</w:t>
                  </w:r>
                  <w:r>
                    <w:rPr>
                      <w:rFonts w:ascii="Arial" w:hAnsi="Arial" w:cs="Arial"/>
                      <w:b/>
                      <w:bCs/>
                      <w:sz w:val="20"/>
                      <w:szCs w:val="20"/>
                    </w:rPr>
                    <w:t xml:space="preserve"> Feb</w:t>
                  </w:r>
                </w:p>
              </w:tc>
            </w:tr>
            <w:tr w:rsidR="00D30D8F" w:rsidTr="002128D5">
              <w:tc>
                <w:tcPr>
                  <w:tcW w:w="4708" w:type="dxa"/>
                </w:tcPr>
                <w:p w:rsidR="00D30D8F" w:rsidRDefault="00D30D8F" w:rsidP="002128D5">
                  <w:pPr>
                    <w:spacing w:before="120" w:after="120"/>
                    <w:rPr>
                      <w:rFonts w:ascii="Arial" w:hAnsi="Arial" w:cs="Arial"/>
                      <w:b/>
                      <w:bCs/>
                      <w:sz w:val="20"/>
                      <w:szCs w:val="20"/>
                    </w:rPr>
                  </w:pPr>
                  <w:r>
                    <w:rPr>
                      <w:rFonts w:ascii="Arial" w:hAnsi="Arial" w:cs="Arial"/>
                      <w:b/>
                      <w:bCs/>
                      <w:sz w:val="20"/>
                      <w:szCs w:val="20"/>
                    </w:rPr>
                    <w:t>Final Report (Full Completion of Services identified in the Scope)</w:t>
                  </w:r>
                </w:p>
              </w:tc>
              <w:tc>
                <w:tcPr>
                  <w:tcW w:w="4709" w:type="dxa"/>
                </w:tcPr>
                <w:p w:rsidR="00D30D8F" w:rsidRDefault="00D30D8F" w:rsidP="002128D5">
                  <w:pPr>
                    <w:spacing w:before="120" w:after="120"/>
                    <w:rPr>
                      <w:rFonts w:ascii="Arial" w:hAnsi="Arial" w:cs="Arial"/>
                      <w:b/>
                      <w:bCs/>
                      <w:sz w:val="20"/>
                      <w:szCs w:val="20"/>
                    </w:rPr>
                  </w:pPr>
                  <w:r>
                    <w:rPr>
                      <w:rFonts w:ascii="Arial" w:hAnsi="Arial" w:cs="Arial"/>
                      <w:b/>
                      <w:bCs/>
                      <w:sz w:val="20"/>
                      <w:szCs w:val="20"/>
                    </w:rPr>
                    <w:t>Friday 24</w:t>
                  </w:r>
                  <w:r w:rsidRPr="002D4229">
                    <w:rPr>
                      <w:rFonts w:ascii="Arial" w:hAnsi="Arial" w:cs="Arial"/>
                      <w:b/>
                      <w:bCs/>
                      <w:sz w:val="20"/>
                      <w:szCs w:val="20"/>
                      <w:vertAlign w:val="superscript"/>
                    </w:rPr>
                    <w:t>th</w:t>
                  </w:r>
                  <w:r>
                    <w:rPr>
                      <w:rFonts w:ascii="Arial" w:hAnsi="Arial" w:cs="Arial"/>
                      <w:b/>
                      <w:bCs/>
                      <w:sz w:val="20"/>
                      <w:szCs w:val="20"/>
                    </w:rPr>
                    <w:t xml:space="preserve"> February 6pm</w:t>
                  </w:r>
                </w:p>
              </w:tc>
            </w:tr>
          </w:tbl>
          <w:p w:rsidR="00EF4532" w:rsidRPr="00273DDB" w:rsidRDefault="00EF4532" w:rsidP="0049723D">
            <w:pPr>
              <w:spacing w:beforeLines="60" w:before="144" w:afterLines="60" w:after="144"/>
              <w:rPr>
                <w:rFonts w:ascii="Arial" w:hAnsi="Arial" w:cs="Arial"/>
                <w:sz w:val="20"/>
                <w:szCs w:val="20"/>
              </w:rPr>
            </w:pPr>
          </w:p>
        </w:tc>
      </w:tr>
      <w:tr w:rsidR="007C60DA" w:rsidRPr="00273DDB" w:rsidTr="0028599A">
        <w:tc>
          <w:tcPr>
            <w:tcW w:w="9648" w:type="dxa"/>
          </w:tcPr>
          <w:p w:rsidR="007C60DA" w:rsidRPr="007C60DA" w:rsidRDefault="007C60DA" w:rsidP="007C60DA">
            <w:pPr>
              <w:spacing w:beforeLines="60" w:before="144" w:afterLines="60" w:after="144"/>
              <w:rPr>
                <w:rFonts w:ascii="Arial" w:hAnsi="Arial" w:cs="Arial"/>
                <w:b/>
                <w:sz w:val="20"/>
                <w:szCs w:val="20"/>
              </w:rPr>
            </w:pPr>
            <w:r>
              <w:rPr>
                <w:rFonts w:ascii="Arial" w:hAnsi="Arial" w:cs="Arial"/>
                <w:b/>
                <w:sz w:val="20"/>
                <w:szCs w:val="20"/>
              </w:rPr>
              <w:lastRenderedPageBreak/>
              <w:t xml:space="preserve">Quotation </w:t>
            </w:r>
            <w:r w:rsidRPr="007C60DA">
              <w:rPr>
                <w:rFonts w:ascii="Arial" w:hAnsi="Arial" w:cs="Arial"/>
                <w:b/>
                <w:sz w:val="20"/>
                <w:szCs w:val="20"/>
              </w:rPr>
              <w:t>Response:</w:t>
            </w:r>
          </w:p>
          <w:p w:rsidR="007C60DA" w:rsidRPr="007C60DA" w:rsidRDefault="007C60DA" w:rsidP="007C60DA">
            <w:pPr>
              <w:spacing w:beforeLines="60" w:before="144" w:afterLines="60" w:after="144"/>
              <w:rPr>
                <w:rFonts w:ascii="Arial" w:hAnsi="Arial" w:cs="Arial"/>
                <w:sz w:val="20"/>
                <w:szCs w:val="20"/>
              </w:rPr>
            </w:pPr>
            <w:r w:rsidRPr="007C60DA">
              <w:rPr>
                <w:rFonts w:ascii="Arial" w:hAnsi="Arial" w:cs="Arial"/>
                <w:sz w:val="20"/>
                <w:szCs w:val="20"/>
              </w:rPr>
              <w:t>Bidders are asked to provide a cost breakdown for each of the items listed in the Scope of Services</w:t>
            </w:r>
          </w:p>
          <w:p w:rsidR="007C60DA" w:rsidRPr="007C60DA" w:rsidRDefault="007C60DA" w:rsidP="007C60DA">
            <w:pPr>
              <w:spacing w:beforeLines="60" w:before="144" w:afterLines="60" w:after="144"/>
              <w:rPr>
                <w:rFonts w:ascii="Arial" w:hAnsi="Arial" w:cs="Arial"/>
                <w:sz w:val="20"/>
                <w:szCs w:val="20"/>
              </w:rPr>
            </w:pPr>
            <w:r w:rsidRPr="007C60DA">
              <w:rPr>
                <w:rFonts w:ascii="Arial" w:hAnsi="Arial" w:cs="Arial"/>
                <w:sz w:val="20"/>
                <w:szCs w:val="20"/>
              </w:rPr>
              <w:t>Bidders are also asked to provide a brief explanation of how they will complete this work, highlighting any issues and opportunities.</w:t>
            </w:r>
          </w:p>
          <w:p w:rsidR="007C60DA" w:rsidRPr="007C60DA" w:rsidRDefault="007C60DA" w:rsidP="007C60DA">
            <w:pPr>
              <w:spacing w:beforeLines="60" w:before="144" w:afterLines="60" w:after="144"/>
              <w:rPr>
                <w:rFonts w:ascii="Arial" w:hAnsi="Arial" w:cs="Arial"/>
                <w:b/>
                <w:sz w:val="20"/>
                <w:szCs w:val="20"/>
              </w:rPr>
            </w:pPr>
            <w:r w:rsidRPr="007C60DA">
              <w:rPr>
                <w:rFonts w:ascii="Arial" w:hAnsi="Arial" w:cs="Arial"/>
                <w:b/>
                <w:sz w:val="20"/>
                <w:szCs w:val="20"/>
              </w:rPr>
              <w:t>Appointment</w:t>
            </w:r>
          </w:p>
          <w:p w:rsidR="007C60DA" w:rsidRDefault="007C60DA" w:rsidP="007C60DA">
            <w:pPr>
              <w:pStyle w:val="Heading4"/>
              <w:rPr>
                <w:sz w:val="20"/>
              </w:rPr>
            </w:pPr>
            <w:r w:rsidRPr="007C60DA">
              <w:rPr>
                <w:b w:val="0"/>
                <w:bCs w:val="0"/>
                <w:sz w:val="20"/>
                <w:szCs w:val="20"/>
              </w:rPr>
              <w:t>The HCA reserves the right to only commission the Consultant for some of the services listed in the Scope of Services, which shall be confirmed in the Appointment letter.</w:t>
            </w:r>
          </w:p>
        </w:tc>
      </w:tr>
      <w:tr w:rsidR="00EF4532" w:rsidRPr="00273DDB" w:rsidTr="0028599A">
        <w:tc>
          <w:tcPr>
            <w:tcW w:w="9648" w:type="dxa"/>
          </w:tcPr>
          <w:p w:rsidR="007C60DA" w:rsidRDefault="007C60DA" w:rsidP="0028599A">
            <w:pPr>
              <w:pStyle w:val="Heading4"/>
              <w:rPr>
                <w:sz w:val="20"/>
              </w:rPr>
            </w:pPr>
          </w:p>
          <w:p w:rsidR="00EF4532" w:rsidRPr="00273DDB" w:rsidRDefault="0049723D" w:rsidP="0028599A">
            <w:pPr>
              <w:pStyle w:val="Heading4"/>
              <w:rPr>
                <w:sz w:val="20"/>
              </w:rPr>
            </w:pPr>
            <w:r>
              <w:rPr>
                <w:sz w:val="20"/>
              </w:rPr>
              <w:t>Main points of contact</w:t>
            </w:r>
            <w:r w:rsidR="00EF4532">
              <w:rPr>
                <w:sz w:val="20"/>
              </w:rPr>
              <w:t>:</w:t>
            </w:r>
          </w:p>
          <w:p w:rsidR="0049723D" w:rsidRDefault="0049723D" w:rsidP="0028599A">
            <w:pPr>
              <w:rPr>
                <w:rFonts w:ascii="Arial" w:hAnsi="Arial" w:cs="Arial"/>
                <w:sz w:val="20"/>
                <w:szCs w:val="20"/>
              </w:rPr>
            </w:pPr>
            <w:r>
              <w:rPr>
                <w:rFonts w:ascii="Arial" w:hAnsi="Arial" w:cs="Arial"/>
                <w:sz w:val="20"/>
                <w:szCs w:val="20"/>
              </w:rPr>
              <w:t xml:space="preserve">The main point of contact for this commission will be </w:t>
            </w:r>
            <w:r w:rsidR="00C75630">
              <w:rPr>
                <w:rFonts w:ascii="Arial" w:hAnsi="Arial" w:cs="Arial"/>
                <w:sz w:val="20"/>
                <w:szCs w:val="20"/>
              </w:rPr>
              <w:t>(Redacted)</w:t>
            </w:r>
            <w:r>
              <w:rPr>
                <w:rFonts w:ascii="Arial" w:hAnsi="Arial" w:cs="Arial"/>
                <w:sz w:val="20"/>
                <w:szCs w:val="20"/>
              </w:rPr>
              <w:t>, Senior Area Manager,</w:t>
            </w:r>
            <w:r w:rsidR="00227045">
              <w:rPr>
                <w:rFonts w:ascii="Arial" w:hAnsi="Arial" w:cs="Arial"/>
                <w:sz w:val="20"/>
                <w:szCs w:val="20"/>
              </w:rPr>
              <w:t xml:space="preserve"> Homes and Communities Agency,</w:t>
            </w:r>
            <w:r>
              <w:rPr>
                <w:rFonts w:ascii="Arial" w:hAnsi="Arial" w:cs="Arial"/>
                <w:sz w:val="20"/>
                <w:szCs w:val="20"/>
              </w:rPr>
              <w:t xml:space="preserve"> Lateral, Leeds LS11 9AT </w:t>
            </w:r>
          </w:p>
          <w:p w:rsidR="00EF4532" w:rsidRDefault="00C75630" w:rsidP="0028599A">
            <w:pPr>
              <w:rPr>
                <w:rFonts w:ascii="Arial" w:hAnsi="Arial" w:cs="Arial"/>
                <w:iCs/>
                <w:sz w:val="20"/>
                <w:szCs w:val="20"/>
              </w:rPr>
            </w:pPr>
            <w:r>
              <w:t>(Redacted)</w:t>
            </w:r>
          </w:p>
          <w:p w:rsidR="0078268F" w:rsidRDefault="0078268F" w:rsidP="0028599A">
            <w:pPr>
              <w:rPr>
                <w:rFonts w:ascii="Arial" w:hAnsi="Arial" w:cs="Arial"/>
                <w:iCs/>
                <w:sz w:val="20"/>
                <w:szCs w:val="20"/>
              </w:rPr>
            </w:pPr>
          </w:p>
          <w:p w:rsidR="0078268F" w:rsidRDefault="0049723D" w:rsidP="0028599A">
            <w:pPr>
              <w:rPr>
                <w:rFonts w:ascii="Arial" w:hAnsi="Arial" w:cs="Arial"/>
                <w:iCs/>
                <w:sz w:val="20"/>
                <w:szCs w:val="20"/>
              </w:rPr>
            </w:pPr>
            <w:r>
              <w:rPr>
                <w:rFonts w:ascii="Arial" w:hAnsi="Arial" w:cs="Arial"/>
                <w:iCs/>
                <w:sz w:val="20"/>
                <w:szCs w:val="20"/>
              </w:rPr>
              <w:t>The contact for the Nation</w:t>
            </w:r>
            <w:r w:rsidR="00C75630">
              <w:rPr>
                <w:rFonts w:ascii="Arial" w:hAnsi="Arial" w:cs="Arial"/>
                <w:iCs/>
                <w:sz w:val="20"/>
                <w:szCs w:val="20"/>
              </w:rPr>
              <w:t>al Railway Museum is (Redacted)</w:t>
            </w:r>
          </w:p>
          <w:p w:rsidR="0049723D" w:rsidRDefault="00C75630" w:rsidP="0028599A">
            <w:pPr>
              <w:rPr>
                <w:rFonts w:ascii="Arial" w:hAnsi="Arial" w:cs="Arial"/>
                <w:sz w:val="20"/>
                <w:szCs w:val="20"/>
              </w:rPr>
            </w:pPr>
            <w:r>
              <w:t>(Redacted)</w:t>
            </w:r>
          </w:p>
          <w:p w:rsidR="00EF4532" w:rsidRPr="00273DDB" w:rsidRDefault="00EF4532" w:rsidP="0028599A">
            <w:pPr>
              <w:rPr>
                <w:rFonts w:ascii="Arial" w:hAnsi="Arial" w:cs="Arial"/>
                <w:sz w:val="20"/>
                <w:szCs w:val="20"/>
              </w:rPr>
            </w:pPr>
          </w:p>
        </w:tc>
      </w:tr>
    </w:tbl>
    <w:p w:rsidR="00DE2FE9" w:rsidRDefault="00DE2FE9"/>
    <w:sectPr w:rsidR="00DE2FE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532" w:rsidRDefault="00EF4532" w:rsidP="00EF4532">
      <w:r>
        <w:separator/>
      </w:r>
    </w:p>
  </w:endnote>
  <w:endnote w:type="continuationSeparator" w:id="0">
    <w:p w:rsidR="00EF4532" w:rsidRDefault="00EF4532" w:rsidP="00EF4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0DA" w:rsidRDefault="007C60DA" w:rsidP="007C60DA">
    <w:pPr>
      <w:pStyle w:val="Footer"/>
      <w:jc w:val="center"/>
      <w:rPr>
        <w:rFonts w:ascii="Arial" w:hAnsi="Arial" w:cs="Arial"/>
        <w:b/>
        <w:color w:val="FF0000"/>
        <w:sz w:val="20"/>
      </w:rPr>
    </w:pPr>
    <w:bookmarkStart w:id="1" w:name="aliashOfficialSensitive1FooterEvenPages"/>
    <w:r w:rsidRPr="007C60DA">
      <w:rPr>
        <w:rFonts w:ascii="Arial" w:hAnsi="Arial" w:cs="Arial"/>
        <w:b/>
        <w:color w:val="FF0000"/>
        <w:sz w:val="20"/>
      </w:rPr>
      <w:t>OFFICIAL SENSITIVE - COMMERCIAL</w:t>
    </w:r>
  </w:p>
  <w:bookmarkEnd w:id="1"/>
  <w:p w:rsidR="007C60DA" w:rsidRDefault="007C60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0DA" w:rsidRDefault="007C60DA" w:rsidP="007C60DA">
    <w:pPr>
      <w:pStyle w:val="Footer"/>
      <w:jc w:val="center"/>
      <w:rPr>
        <w:rFonts w:ascii="Arial" w:hAnsi="Arial" w:cs="Arial"/>
        <w:b/>
        <w:color w:val="FF0000"/>
        <w:sz w:val="20"/>
      </w:rPr>
    </w:pPr>
    <w:bookmarkStart w:id="2" w:name="aliashOfficialSensitive1FooterPrimary"/>
    <w:r w:rsidRPr="007C60DA">
      <w:rPr>
        <w:rFonts w:ascii="Arial" w:hAnsi="Arial" w:cs="Arial"/>
        <w:b/>
        <w:color w:val="FF0000"/>
        <w:sz w:val="20"/>
      </w:rPr>
      <w:t>OFFICIAL SENSITIVE - COMMERCIAL</w:t>
    </w:r>
  </w:p>
  <w:bookmarkEnd w:id="2"/>
  <w:p w:rsidR="007C60DA" w:rsidRDefault="007C60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0DA" w:rsidRDefault="007C60DA" w:rsidP="007C60DA">
    <w:pPr>
      <w:pStyle w:val="Footer"/>
      <w:jc w:val="center"/>
      <w:rPr>
        <w:rFonts w:ascii="Arial" w:hAnsi="Arial" w:cs="Arial"/>
        <w:b/>
        <w:color w:val="FF0000"/>
        <w:sz w:val="20"/>
      </w:rPr>
    </w:pPr>
    <w:bookmarkStart w:id="3" w:name="aliashOfficialSensitive1FooterFirstPage"/>
    <w:r w:rsidRPr="007C60DA">
      <w:rPr>
        <w:rFonts w:ascii="Arial" w:hAnsi="Arial" w:cs="Arial"/>
        <w:b/>
        <w:color w:val="FF0000"/>
        <w:sz w:val="20"/>
      </w:rPr>
      <w:t>OFFICIAL SENSITIVE - COMMERCIAL</w:t>
    </w:r>
  </w:p>
  <w:bookmarkEnd w:id="3"/>
  <w:p w:rsidR="007C60DA" w:rsidRDefault="007C60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532" w:rsidRDefault="00EF4532" w:rsidP="00EF4532">
      <w:r>
        <w:separator/>
      </w:r>
    </w:p>
  </w:footnote>
  <w:footnote w:type="continuationSeparator" w:id="0">
    <w:p w:rsidR="00EF4532" w:rsidRDefault="00EF4532" w:rsidP="00EF4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532" w:rsidRDefault="00EF45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532" w:rsidRDefault="00EF45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532" w:rsidRDefault="00EF45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E2742"/>
    <w:multiLevelType w:val="hybridMultilevel"/>
    <w:tmpl w:val="7F2AE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6875F7"/>
    <w:multiLevelType w:val="hybridMultilevel"/>
    <w:tmpl w:val="974A668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8C3411"/>
    <w:multiLevelType w:val="hybridMultilevel"/>
    <w:tmpl w:val="7F74F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527716"/>
    <w:multiLevelType w:val="hybridMultilevel"/>
    <w:tmpl w:val="9CDC2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4C0313F"/>
    <w:multiLevelType w:val="hybridMultilevel"/>
    <w:tmpl w:val="02ACC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A04AFA"/>
    <w:multiLevelType w:val="hybridMultilevel"/>
    <w:tmpl w:val="5E14B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0C12EB"/>
    <w:multiLevelType w:val="hybridMultilevel"/>
    <w:tmpl w:val="DD5A68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67ED48B1"/>
    <w:multiLevelType w:val="hybridMultilevel"/>
    <w:tmpl w:val="211E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DC62288"/>
    <w:multiLevelType w:val="hybridMultilevel"/>
    <w:tmpl w:val="F7D44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5A041AF"/>
    <w:multiLevelType w:val="hybridMultilevel"/>
    <w:tmpl w:val="17C6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8"/>
  </w:num>
  <w:num w:numId="4">
    <w:abstractNumId w:val="5"/>
  </w:num>
  <w:num w:numId="5">
    <w:abstractNumId w:val="7"/>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532"/>
    <w:rsid w:val="000921C0"/>
    <w:rsid w:val="000A670B"/>
    <w:rsid w:val="001A1D86"/>
    <w:rsid w:val="002174AD"/>
    <w:rsid w:val="00227045"/>
    <w:rsid w:val="002315FC"/>
    <w:rsid w:val="00232986"/>
    <w:rsid w:val="00343623"/>
    <w:rsid w:val="00404F2F"/>
    <w:rsid w:val="0049723D"/>
    <w:rsid w:val="004C5DFA"/>
    <w:rsid w:val="00596CBE"/>
    <w:rsid w:val="005E5E3D"/>
    <w:rsid w:val="00657A50"/>
    <w:rsid w:val="00683B1C"/>
    <w:rsid w:val="006B6251"/>
    <w:rsid w:val="0078268F"/>
    <w:rsid w:val="007C60DA"/>
    <w:rsid w:val="00821E80"/>
    <w:rsid w:val="0091140C"/>
    <w:rsid w:val="00915DE5"/>
    <w:rsid w:val="009232EF"/>
    <w:rsid w:val="00A751A3"/>
    <w:rsid w:val="00B90DD6"/>
    <w:rsid w:val="00BA39A5"/>
    <w:rsid w:val="00C4520D"/>
    <w:rsid w:val="00C709E1"/>
    <w:rsid w:val="00C75630"/>
    <w:rsid w:val="00C81C31"/>
    <w:rsid w:val="00CF4D2F"/>
    <w:rsid w:val="00D17AA5"/>
    <w:rsid w:val="00D30D8F"/>
    <w:rsid w:val="00D630D2"/>
    <w:rsid w:val="00DE2FE9"/>
    <w:rsid w:val="00E14CF0"/>
    <w:rsid w:val="00EA3D74"/>
    <w:rsid w:val="00ED0284"/>
    <w:rsid w:val="00EF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532"/>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F4532"/>
    <w:pPr>
      <w:keepNext/>
      <w:jc w:val="both"/>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F4532"/>
    <w:rPr>
      <w:rFonts w:ascii="Arial" w:eastAsia="Times New Roman" w:hAnsi="Arial" w:cs="Arial"/>
      <w:b/>
      <w:bCs/>
      <w:sz w:val="24"/>
      <w:szCs w:val="24"/>
    </w:rPr>
  </w:style>
  <w:style w:type="character" w:styleId="Hyperlink">
    <w:name w:val="Hyperlink"/>
    <w:rsid w:val="00EF4532"/>
    <w:rPr>
      <w:color w:val="0000FF"/>
      <w:u w:val="single"/>
    </w:rPr>
  </w:style>
  <w:style w:type="paragraph" w:styleId="Header">
    <w:name w:val="header"/>
    <w:basedOn w:val="Normal"/>
    <w:link w:val="HeaderChar"/>
    <w:uiPriority w:val="99"/>
    <w:unhideWhenUsed/>
    <w:rsid w:val="00EF4532"/>
    <w:pPr>
      <w:tabs>
        <w:tab w:val="center" w:pos="4513"/>
        <w:tab w:val="right" w:pos="9026"/>
      </w:tabs>
    </w:pPr>
  </w:style>
  <w:style w:type="character" w:customStyle="1" w:styleId="HeaderChar">
    <w:name w:val="Header Char"/>
    <w:basedOn w:val="DefaultParagraphFont"/>
    <w:link w:val="Header"/>
    <w:uiPriority w:val="99"/>
    <w:rsid w:val="00EF453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F4532"/>
    <w:pPr>
      <w:tabs>
        <w:tab w:val="center" w:pos="4513"/>
        <w:tab w:val="right" w:pos="9026"/>
      </w:tabs>
    </w:pPr>
  </w:style>
  <w:style w:type="character" w:customStyle="1" w:styleId="FooterChar">
    <w:name w:val="Footer Char"/>
    <w:basedOn w:val="DefaultParagraphFont"/>
    <w:link w:val="Footer"/>
    <w:uiPriority w:val="99"/>
    <w:rsid w:val="00EF4532"/>
    <w:rPr>
      <w:rFonts w:ascii="Times New Roman" w:eastAsia="Times New Roman" w:hAnsi="Times New Roman" w:cs="Times New Roman"/>
      <w:sz w:val="24"/>
      <w:szCs w:val="24"/>
    </w:rPr>
  </w:style>
  <w:style w:type="paragraph" w:styleId="ListParagraph">
    <w:name w:val="List Paragraph"/>
    <w:basedOn w:val="Normal"/>
    <w:uiPriority w:val="34"/>
    <w:qFormat/>
    <w:rsid w:val="00821E80"/>
    <w:pPr>
      <w:ind w:left="720"/>
    </w:pPr>
    <w:rPr>
      <w:rFonts w:ascii="Calibri" w:eastAsiaTheme="minorHAnsi" w:hAnsi="Calibri" w:cs="Calibri"/>
      <w:sz w:val="22"/>
      <w:szCs w:val="22"/>
    </w:rPr>
  </w:style>
  <w:style w:type="table" w:styleId="TableGrid">
    <w:name w:val="Table Grid"/>
    <w:basedOn w:val="TableNormal"/>
    <w:uiPriority w:val="59"/>
    <w:rsid w:val="00D30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532"/>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F4532"/>
    <w:pPr>
      <w:keepNext/>
      <w:jc w:val="both"/>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F4532"/>
    <w:rPr>
      <w:rFonts w:ascii="Arial" w:eastAsia="Times New Roman" w:hAnsi="Arial" w:cs="Arial"/>
      <w:b/>
      <w:bCs/>
      <w:sz w:val="24"/>
      <w:szCs w:val="24"/>
    </w:rPr>
  </w:style>
  <w:style w:type="character" w:styleId="Hyperlink">
    <w:name w:val="Hyperlink"/>
    <w:rsid w:val="00EF4532"/>
    <w:rPr>
      <w:color w:val="0000FF"/>
      <w:u w:val="single"/>
    </w:rPr>
  </w:style>
  <w:style w:type="paragraph" w:styleId="Header">
    <w:name w:val="header"/>
    <w:basedOn w:val="Normal"/>
    <w:link w:val="HeaderChar"/>
    <w:uiPriority w:val="99"/>
    <w:unhideWhenUsed/>
    <w:rsid w:val="00EF4532"/>
    <w:pPr>
      <w:tabs>
        <w:tab w:val="center" w:pos="4513"/>
        <w:tab w:val="right" w:pos="9026"/>
      </w:tabs>
    </w:pPr>
  </w:style>
  <w:style w:type="character" w:customStyle="1" w:styleId="HeaderChar">
    <w:name w:val="Header Char"/>
    <w:basedOn w:val="DefaultParagraphFont"/>
    <w:link w:val="Header"/>
    <w:uiPriority w:val="99"/>
    <w:rsid w:val="00EF453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F4532"/>
    <w:pPr>
      <w:tabs>
        <w:tab w:val="center" w:pos="4513"/>
        <w:tab w:val="right" w:pos="9026"/>
      </w:tabs>
    </w:pPr>
  </w:style>
  <w:style w:type="character" w:customStyle="1" w:styleId="FooterChar">
    <w:name w:val="Footer Char"/>
    <w:basedOn w:val="DefaultParagraphFont"/>
    <w:link w:val="Footer"/>
    <w:uiPriority w:val="99"/>
    <w:rsid w:val="00EF4532"/>
    <w:rPr>
      <w:rFonts w:ascii="Times New Roman" w:eastAsia="Times New Roman" w:hAnsi="Times New Roman" w:cs="Times New Roman"/>
      <w:sz w:val="24"/>
      <w:szCs w:val="24"/>
    </w:rPr>
  </w:style>
  <w:style w:type="paragraph" w:styleId="ListParagraph">
    <w:name w:val="List Paragraph"/>
    <w:basedOn w:val="Normal"/>
    <w:uiPriority w:val="34"/>
    <w:qFormat/>
    <w:rsid w:val="00821E80"/>
    <w:pPr>
      <w:ind w:left="720"/>
    </w:pPr>
    <w:rPr>
      <w:rFonts w:ascii="Calibri" w:eastAsiaTheme="minorHAnsi" w:hAnsi="Calibri" w:cs="Calibri"/>
      <w:sz w:val="22"/>
      <w:szCs w:val="22"/>
    </w:rPr>
  </w:style>
  <w:style w:type="table" w:styleId="TableGrid">
    <w:name w:val="Table Grid"/>
    <w:basedOn w:val="TableNormal"/>
    <w:uiPriority w:val="59"/>
    <w:rsid w:val="00D30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89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8E44D73E</Template>
  <TotalTime>1</TotalTime>
  <Pages>2</Pages>
  <Words>535</Words>
  <Characters>3054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HCA</Company>
  <LinksUpToDate>false</LinksUpToDate>
  <CharactersWithSpaces>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Hawley</dc:creator>
  <cp:lastModifiedBy>Sangetha Rajasingham</cp:lastModifiedBy>
  <cp:revision>2</cp:revision>
  <cp:lastPrinted>2015-11-12T15:19:00Z</cp:lastPrinted>
  <dcterms:created xsi:type="dcterms:W3CDTF">2017-02-13T11:01:00Z</dcterms:created>
  <dcterms:modified xsi:type="dcterms:W3CDTF">2017-02-13T11:01:00Z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7ef51d94-0430-402f-9028-e5d78d57b946</vt:lpwstr>
  </property>
  <property fmtid="{D5CDD505-2E9C-101B-9397-08002B2CF9AE}" pid="3" name="HCAGPMS">
    <vt:lpwstr>OFFICIAL SENSITIVE</vt:lpwstr>
  </property>
  <property fmtid="{D5CDD505-2E9C-101B-9397-08002B2CF9AE}" pid="4" name="HCADescriptor - Official Sensitive">
    <vt:lpwstr>COMMERCIAL</vt:lpwstr>
  </property>
</Properties>
</file>