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00C5" w:rsidRPr="00061EEF" w:rsidRDefault="007700C5">
      <w:pPr>
        <w:rPr>
          <w:rFonts w:ascii="Arial" w:eastAsia="Arial" w:hAnsi="Arial" w:cs="Arial"/>
          <w:b/>
          <w:sz w:val="36"/>
          <w:szCs w:val="36"/>
        </w:rPr>
      </w:pPr>
    </w:p>
    <w:p w14:paraId="00000002" w14:textId="77777777" w:rsidR="007700C5" w:rsidRPr="00061EEF" w:rsidRDefault="00BC7B2E">
      <w:pPr>
        <w:rPr>
          <w:rFonts w:ascii="Arial" w:eastAsia="Arial" w:hAnsi="Arial" w:cs="Arial"/>
          <w:sz w:val="36"/>
          <w:szCs w:val="36"/>
        </w:rPr>
      </w:pPr>
      <w:r w:rsidRPr="00061EEF">
        <w:rPr>
          <w:rFonts w:ascii="Arial" w:eastAsia="Arial" w:hAnsi="Arial" w:cs="Arial"/>
          <w:b/>
          <w:sz w:val="36"/>
          <w:szCs w:val="36"/>
        </w:rPr>
        <w:t>Call-Off Schedule 20 (Call-Off Specification)</w:t>
      </w:r>
      <w:r w:rsidRPr="00061EEF">
        <w:rPr>
          <w:rFonts w:ascii="Arial" w:eastAsia="Arial" w:hAnsi="Arial" w:cs="Arial"/>
          <w:sz w:val="36"/>
          <w:szCs w:val="36"/>
        </w:rPr>
        <w:t xml:space="preserve"> </w:t>
      </w:r>
    </w:p>
    <w:p w14:paraId="00000003" w14:textId="77777777" w:rsidR="007700C5" w:rsidRPr="00061EEF" w:rsidRDefault="00BC7B2E">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sidRPr="00061EEF">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0000004" w14:textId="77777777" w:rsidR="007700C5" w:rsidRPr="00061EEF" w:rsidRDefault="007700C5" w:rsidP="00061EEF">
      <w:pPr>
        <w:pBdr>
          <w:top w:val="nil"/>
          <w:left w:val="nil"/>
          <w:bottom w:val="nil"/>
          <w:right w:val="nil"/>
          <w:between w:val="nil"/>
        </w:pBdr>
        <w:spacing w:before="120" w:after="120" w:line="240" w:lineRule="auto"/>
        <w:ind w:left="936" w:hanging="576"/>
        <w:rPr>
          <w:rFonts w:ascii="Arial" w:eastAsia="Arial" w:hAnsi="Arial" w:cs="Arial"/>
          <w:sz w:val="24"/>
          <w:szCs w:val="24"/>
          <w:highlight w:val="yellow"/>
        </w:rPr>
      </w:pPr>
    </w:p>
    <w:p w14:paraId="26E4F9CB" w14:textId="77777777"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1" w:name="_Toc159234400"/>
      <w:r w:rsidRPr="00061EEF">
        <w:rPr>
          <w:rFonts w:ascii="Arial" w:hAnsi="Arial" w:cs="Arial"/>
          <w:color w:val="auto"/>
          <w:sz w:val="24"/>
          <w:szCs w:val="24"/>
        </w:rPr>
        <w:t>PURPOSE</w:t>
      </w:r>
      <w:bookmarkEnd w:id="1"/>
    </w:p>
    <w:p w14:paraId="54EC9539" w14:textId="25D53491" w:rsidR="00061EEF" w:rsidRPr="00061EEF" w:rsidRDefault="009A694B" w:rsidP="00061EEF">
      <w:pPr>
        <w:rPr>
          <w:rFonts w:ascii="Arial" w:hAnsi="Arial" w:cs="Arial"/>
          <w:sz w:val="24"/>
          <w:szCs w:val="24"/>
        </w:rPr>
      </w:pPr>
      <w:bookmarkStart w:id="2" w:name="_heading=h.tyjcwt" w:colFirst="0" w:colLast="0"/>
      <w:bookmarkEnd w:id="2"/>
      <w:r w:rsidRPr="009A694B">
        <w:rPr>
          <w:rFonts w:ascii="Arial" w:eastAsia="Arial" w:hAnsi="Arial" w:cs="Arial"/>
          <w:sz w:val="24"/>
          <w:szCs w:val="24"/>
        </w:rPr>
        <w:t>REDACTED TEXT under FOIA Section 43 Commercial Interests.</w:t>
      </w:r>
    </w:p>
    <w:p w14:paraId="13259A28" w14:textId="21350D67"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3" w:name="_Toc159234401"/>
      <w:r w:rsidRPr="00061EEF">
        <w:rPr>
          <w:rFonts w:ascii="Arial" w:hAnsi="Arial" w:cs="Arial"/>
          <w:color w:val="auto"/>
          <w:sz w:val="24"/>
          <w:szCs w:val="24"/>
        </w:rPr>
        <w:t>BACKGROUND TO THE B</w:t>
      </w:r>
      <w:bookmarkEnd w:id="3"/>
      <w:r>
        <w:rPr>
          <w:rFonts w:ascii="Arial" w:hAnsi="Arial" w:cs="Arial"/>
          <w:color w:val="auto"/>
          <w:sz w:val="24"/>
          <w:szCs w:val="24"/>
        </w:rPr>
        <w:t>UYER</w:t>
      </w:r>
    </w:p>
    <w:p w14:paraId="76DBDCF3" w14:textId="77777777" w:rsidR="009A694B" w:rsidRPr="009A694B" w:rsidRDefault="009A694B" w:rsidP="009A694B">
      <w:pPr>
        <w:pStyle w:val="Heading1"/>
        <w:keepLines w:val="0"/>
        <w:adjustRightInd w:val="0"/>
        <w:spacing w:before="0" w:after="120" w:line="240" w:lineRule="auto"/>
        <w:ind w:left="720"/>
        <w:jc w:val="both"/>
        <w:rPr>
          <w:rFonts w:ascii="Arial" w:hAnsi="Arial" w:cs="Arial"/>
          <w:color w:val="auto"/>
          <w:sz w:val="24"/>
          <w:szCs w:val="24"/>
        </w:rPr>
      </w:pPr>
      <w:bookmarkStart w:id="4" w:name="_Toc159234402"/>
      <w:r w:rsidRPr="009A694B">
        <w:rPr>
          <w:rFonts w:ascii="Arial" w:eastAsia="Arial" w:hAnsi="Arial" w:cs="Arial"/>
          <w:b w:val="0"/>
          <w:bCs w:val="0"/>
          <w:color w:val="auto"/>
          <w:sz w:val="24"/>
          <w:szCs w:val="24"/>
        </w:rPr>
        <w:t>REDACTED TEXT under FOIA Section 43 Commercial Interests.</w:t>
      </w:r>
    </w:p>
    <w:p w14:paraId="339C5F19" w14:textId="66055D5E"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r w:rsidRPr="00061EEF">
        <w:rPr>
          <w:rFonts w:ascii="Arial" w:hAnsi="Arial" w:cs="Arial"/>
          <w:color w:val="auto"/>
          <w:sz w:val="24"/>
          <w:szCs w:val="24"/>
        </w:rPr>
        <w:t>BACKGROUND TO REQUIREMENT/OVERVIEW OF REQUIREMENT</w:t>
      </w:r>
      <w:bookmarkEnd w:id="4"/>
    </w:p>
    <w:p w14:paraId="2EC8BBE0" w14:textId="720335B5" w:rsidR="00061EEF" w:rsidRPr="00061EEF" w:rsidRDefault="009A694B" w:rsidP="00061EEF">
      <w:pPr>
        <w:rPr>
          <w:rFonts w:ascii="Arial" w:hAnsi="Arial" w:cs="Arial"/>
          <w:sz w:val="24"/>
          <w:szCs w:val="24"/>
        </w:rPr>
      </w:pPr>
      <w:bookmarkStart w:id="5" w:name="_heading=h.4d34og8" w:colFirst="0" w:colLast="0"/>
      <w:bookmarkEnd w:id="5"/>
      <w:r w:rsidRPr="009A694B">
        <w:rPr>
          <w:rFonts w:ascii="Arial" w:eastAsia="Arial" w:hAnsi="Arial" w:cs="Arial"/>
          <w:sz w:val="24"/>
          <w:szCs w:val="24"/>
        </w:rPr>
        <w:t>REDACTED TEXT under FOIA Section 43 Commercial Interests.</w:t>
      </w:r>
    </w:p>
    <w:p w14:paraId="65DC50C5" w14:textId="00305E6A" w:rsid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6" w:name="_Toc159234403"/>
      <w:r w:rsidRPr="00061EEF">
        <w:rPr>
          <w:rFonts w:ascii="Arial" w:hAnsi="Arial" w:cs="Arial"/>
          <w:color w:val="auto"/>
          <w:sz w:val="24"/>
          <w:szCs w:val="24"/>
        </w:rPr>
        <w:t>DEFINITIONS</w:t>
      </w:r>
      <w:bookmarkEnd w:id="6"/>
      <w:r w:rsidRPr="00061EEF">
        <w:rPr>
          <w:rFonts w:ascii="Arial" w:hAnsi="Arial" w:cs="Arial"/>
          <w:color w:val="auto"/>
          <w:sz w:val="24"/>
          <w:szCs w:val="24"/>
        </w:rPr>
        <w:t xml:space="preserve"> </w:t>
      </w:r>
    </w:p>
    <w:p w14:paraId="5AA2AD25" w14:textId="169E4FE0" w:rsidR="009A694B" w:rsidRPr="009A694B" w:rsidRDefault="009A694B" w:rsidP="009A694B">
      <w:pPr>
        <w:rPr>
          <w:rFonts w:ascii="Arial" w:eastAsia="Arial" w:hAnsi="Arial" w:cs="Arial"/>
          <w:sz w:val="24"/>
          <w:szCs w:val="24"/>
        </w:rPr>
      </w:pPr>
      <w:r w:rsidRPr="009A694B">
        <w:rPr>
          <w:rFonts w:ascii="Arial" w:eastAsia="Arial" w:hAnsi="Arial" w:cs="Arial"/>
          <w:sz w:val="24"/>
          <w:szCs w:val="24"/>
        </w:rPr>
        <w:t>REDACTED TEXT under FOIA Section 43 Commercial Interests.</w:t>
      </w:r>
    </w:p>
    <w:p w14:paraId="6408B19F" w14:textId="46516991" w:rsidR="00061EEF" w:rsidRPr="00061EEF" w:rsidRDefault="00061EEF" w:rsidP="00061EEF">
      <w:pPr>
        <w:pStyle w:val="Heading1"/>
        <w:keepLines w:val="0"/>
        <w:numPr>
          <w:ilvl w:val="0"/>
          <w:numId w:val="4"/>
        </w:numPr>
        <w:adjustRightInd w:val="0"/>
        <w:spacing w:before="240" w:after="120" w:line="240" w:lineRule="auto"/>
        <w:jc w:val="both"/>
        <w:rPr>
          <w:rFonts w:ascii="Arial" w:hAnsi="Arial" w:cs="Arial"/>
          <w:color w:val="auto"/>
          <w:sz w:val="24"/>
          <w:szCs w:val="24"/>
        </w:rPr>
      </w:pPr>
      <w:bookmarkStart w:id="7" w:name="_Toc159234404"/>
      <w:r w:rsidRPr="00061EEF">
        <w:rPr>
          <w:rFonts w:ascii="Arial" w:hAnsi="Arial" w:cs="Arial"/>
          <w:color w:val="auto"/>
          <w:sz w:val="24"/>
          <w:szCs w:val="24"/>
        </w:rPr>
        <w:t>SCOPE OF REQUIREMENT</w:t>
      </w:r>
      <w:bookmarkEnd w:id="7"/>
      <w:r w:rsidRPr="00061EEF">
        <w:rPr>
          <w:rFonts w:ascii="Arial" w:hAnsi="Arial" w:cs="Arial"/>
          <w:color w:val="auto"/>
          <w:sz w:val="24"/>
          <w:szCs w:val="24"/>
        </w:rPr>
        <w:t xml:space="preserve"> </w:t>
      </w:r>
    </w:p>
    <w:p w14:paraId="414858CD" w14:textId="77777777" w:rsidR="009A694B" w:rsidRPr="009A694B" w:rsidRDefault="009A694B" w:rsidP="009A694B">
      <w:pPr>
        <w:pStyle w:val="Heading1"/>
        <w:keepLines w:val="0"/>
        <w:adjustRightInd w:val="0"/>
        <w:spacing w:before="0" w:after="120" w:line="240" w:lineRule="auto"/>
        <w:ind w:left="720"/>
        <w:jc w:val="both"/>
        <w:rPr>
          <w:rFonts w:ascii="Arial" w:hAnsi="Arial" w:cs="Arial"/>
          <w:color w:val="auto"/>
          <w:sz w:val="24"/>
          <w:szCs w:val="24"/>
        </w:rPr>
      </w:pPr>
      <w:bookmarkStart w:id="8" w:name="_Toc159234405"/>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7AA9E4D5" w14:textId="3823678D"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proofErr w:type="spellEnd"/>
      <w:r w:rsidRPr="00061EEF">
        <w:rPr>
          <w:rFonts w:ascii="Arial" w:hAnsi="Arial" w:cs="Arial"/>
          <w:color w:val="auto"/>
          <w:sz w:val="24"/>
          <w:szCs w:val="24"/>
        </w:rPr>
        <w:t>THE REQUIREMENT</w:t>
      </w:r>
      <w:bookmarkEnd w:id="8"/>
    </w:p>
    <w:p w14:paraId="62BCCB45" w14:textId="3DEC8083"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 xml:space="preserve">Suppliers are required to provide the required service to take effect from the award of contract for a </w:t>
      </w:r>
      <w:r w:rsidR="009A694B">
        <w:rPr>
          <w:rFonts w:ascii="Arial" w:hAnsi="Arial" w:cs="Arial"/>
          <w:b w:val="0"/>
          <w:color w:val="auto"/>
          <w:sz w:val="24"/>
          <w:szCs w:val="24"/>
        </w:rPr>
        <w:t>24</w:t>
      </w:r>
      <w:r w:rsidRPr="00061EEF">
        <w:rPr>
          <w:rFonts w:ascii="Arial" w:hAnsi="Arial" w:cs="Arial"/>
          <w:b w:val="0"/>
          <w:color w:val="auto"/>
          <w:sz w:val="24"/>
          <w:szCs w:val="24"/>
        </w:rPr>
        <w:t>-month term to cover all of the required licence terms.</w:t>
      </w:r>
    </w:p>
    <w:p w14:paraId="7FCEF4B3"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Please note, alternative licences and support will not be accepted by the buyer. suppliers are required to price for the licences as specified in this statement of requirements</w:t>
      </w:r>
    </w:p>
    <w:p w14:paraId="418E60AD"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Suppliers are required to confirm the service support details including Service Level Agreements (SLA) within their bid response.</w:t>
      </w:r>
    </w:p>
    <w:p w14:paraId="1B6F1000" w14:textId="77777777" w:rsidR="009A694B" w:rsidRDefault="009A694B"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6FF6F7D9" w14:textId="7F7DE2B4"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proofErr w:type="spellEnd"/>
      <w:r w:rsidRPr="00061EEF">
        <w:rPr>
          <w:rFonts w:ascii="Arial" w:hAnsi="Arial" w:cs="Arial"/>
          <w:b w:val="0"/>
          <w:color w:val="auto"/>
          <w:sz w:val="24"/>
          <w:szCs w:val="24"/>
        </w:rPr>
        <w:t>Cloud hosting on Atlassian Cloud, AWS or Azure which is managed by the supplier.</w:t>
      </w:r>
    </w:p>
    <w:p w14:paraId="27EA6F9A" w14:textId="77777777" w:rsidR="009A694B" w:rsidRPr="009A694B" w:rsidRDefault="009A694B" w:rsidP="00061EEF">
      <w:pPr>
        <w:numPr>
          <w:ilvl w:val="1"/>
          <w:numId w:val="4"/>
        </w:numPr>
        <w:spacing w:after="0" w:line="240" w:lineRule="auto"/>
        <w:rPr>
          <w:rFonts w:ascii="Arial" w:hAnsi="Arial" w:cs="Arial"/>
          <w:sz w:val="24"/>
          <w:szCs w:val="24"/>
        </w:rPr>
      </w:pPr>
      <w:r w:rsidRPr="009A694B">
        <w:rPr>
          <w:rFonts w:ascii="Arial" w:eastAsiaTheme="majorEastAsia" w:hAnsi="Arial" w:cs="Arial"/>
          <w:bCs/>
          <w:sz w:val="24"/>
          <w:szCs w:val="24"/>
        </w:rPr>
        <w:t xml:space="preserve">REDACTED TEXT under FOIA Section 43 Commercial </w:t>
      </w:r>
      <w:proofErr w:type="spellStart"/>
      <w:r w:rsidRPr="009A694B">
        <w:rPr>
          <w:rFonts w:ascii="Arial" w:eastAsiaTheme="majorEastAsia" w:hAnsi="Arial" w:cs="Arial"/>
          <w:bCs/>
          <w:sz w:val="24"/>
          <w:szCs w:val="24"/>
        </w:rPr>
        <w:t>Interests.</w:t>
      </w:r>
    </w:p>
    <w:p w14:paraId="06EEC1C4" w14:textId="77777777" w:rsidR="009A694B" w:rsidRDefault="009A694B" w:rsidP="009A694B">
      <w:pPr>
        <w:spacing w:after="0" w:line="240" w:lineRule="auto"/>
        <w:ind w:left="720"/>
        <w:rPr>
          <w:rFonts w:ascii="Arial" w:hAnsi="Arial" w:cs="Arial"/>
          <w:sz w:val="24"/>
          <w:szCs w:val="24"/>
        </w:rPr>
      </w:pPr>
      <w:bookmarkStart w:id="9" w:name="_GoBack"/>
      <w:bookmarkEnd w:id="9"/>
      <w:proofErr w:type="spellEnd"/>
    </w:p>
    <w:p w14:paraId="1FF18E79" w14:textId="67C836E4" w:rsidR="00061EEF" w:rsidRPr="00061EEF" w:rsidRDefault="00061EEF" w:rsidP="00061EEF">
      <w:pPr>
        <w:numPr>
          <w:ilvl w:val="1"/>
          <w:numId w:val="4"/>
        </w:numPr>
        <w:spacing w:after="0" w:line="240" w:lineRule="auto"/>
        <w:rPr>
          <w:rFonts w:ascii="Arial" w:hAnsi="Arial" w:cs="Arial"/>
          <w:sz w:val="24"/>
          <w:szCs w:val="24"/>
        </w:rPr>
      </w:pPr>
      <w:r w:rsidRPr="00061EEF">
        <w:rPr>
          <w:rFonts w:ascii="Arial" w:hAnsi="Arial" w:cs="Arial"/>
          <w:sz w:val="24"/>
          <w:szCs w:val="24"/>
        </w:rPr>
        <w:t>Support Requirements</w:t>
      </w:r>
    </w:p>
    <w:p w14:paraId="10F37E18" w14:textId="77777777" w:rsidR="00061EEF" w:rsidRPr="00061EEF" w:rsidRDefault="00061EEF" w:rsidP="00061EEF">
      <w:pPr>
        <w:rPr>
          <w:rFonts w:ascii="Arial" w:hAnsi="Arial" w:cs="Arial"/>
          <w:sz w:val="24"/>
          <w:szCs w:val="24"/>
        </w:rPr>
      </w:pPr>
    </w:p>
    <w:p w14:paraId="683912CB" w14:textId="77777777" w:rsidR="00061EEF" w:rsidRPr="00061EEF" w:rsidRDefault="00061EEF" w:rsidP="00061EEF">
      <w:pPr>
        <w:numPr>
          <w:ilvl w:val="2"/>
          <w:numId w:val="4"/>
        </w:numPr>
        <w:spacing w:after="0" w:line="240" w:lineRule="auto"/>
        <w:rPr>
          <w:rFonts w:ascii="Arial" w:hAnsi="Arial" w:cs="Arial"/>
          <w:sz w:val="24"/>
          <w:szCs w:val="24"/>
        </w:rPr>
      </w:pPr>
      <w:r w:rsidRPr="00061EEF">
        <w:rPr>
          <w:rFonts w:ascii="Arial" w:hAnsi="Arial" w:cs="Arial"/>
          <w:sz w:val="24"/>
          <w:szCs w:val="24"/>
        </w:rPr>
        <w:t>The buyer requires all product updates, upgrades and replacements to be received directly from the vendors during the Contract Term.</w:t>
      </w:r>
    </w:p>
    <w:p w14:paraId="7092D8CC" w14:textId="77777777" w:rsidR="00061EEF" w:rsidRPr="00061EEF" w:rsidRDefault="00061EEF" w:rsidP="00061EEF">
      <w:pPr>
        <w:ind w:left="720"/>
        <w:rPr>
          <w:rFonts w:ascii="Arial" w:hAnsi="Arial" w:cs="Arial"/>
          <w:sz w:val="24"/>
          <w:szCs w:val="24"/>
        </w:rPr>
      </w:pPr>
    </w:p>
    <w:p w14:paraId="4C940F42" w14:textId="77777777" w:rsidR="00061EEF" w:rsidRPr="00061EEF" w:rsidRDefault="00061EEF" w:rsidP="00061EEF">
      <w:pPr>
        <w:numPr>
          <w:ilvl w:val="2"/>
          <w:numId w:val="4"/>
        </w:numPr>
        <w:spacing w:after="0" w:line="240" w:lineRule="auto"/>
        <w:rPr>
          <w:rFonts w:ascii="Arial" w:hAnsi="Arial" w:cs="Arial"/>
          <w:sz w:val="24"/>
          <w:szCs w:val="24"/>
        </w:rPr>
      </w:pPr>
      <w:r w:rsidRPr="00061EEF">
        <w:rPr>
          <w:rFonts w:ascii="Arial" w:hAnsi="Arial" w:cs="Arial"/>
          <w:sz w:val="24"/>
          <w:szCs w:val="24"/>
        </w:rPr>
        <w:t>The buyer requires product support directly from the suppliers and/or vendors via the internet or telephone.</w:t>
      </w:r>
    </w:p>
    <w:p w14:paraId="671A2846" w14:textId="77777777" w:rsidR="00061EEF" w:rsidRPr="00061EEF" w:rsidRDefault="00061EEF" w:rsidP="00061EEF">
      <w:pPr>
        <w:pStyle w:val="ListParagraph"/>
        <w:rPr>
          <w:sz w:val="24"/>
        </w:rPr>
      </w:pPr>
    </w:p>
    <w:p w14:paraId="7187E257" w14:textId="77777777" w:rsidR="00061EEF" w:rsidRPr="00061EEF" w:rsidRDefault="00061EEF" w:rsidP="00061EEF">
      <w:pPr>
        <w:numPr>
          <w:ilvl w:val="2"/>
          <w:numId w:val="4"/>
        </w:numPr>
        <w:spacing w:after="0" w:line="240" w:lineRule="auto"/>
        <w:rPr>
          <w:rFonts w:ascii="Arial" w:hAnsi="Arial" w:cs="Arial"/>
          <w:sz w:val="24"/>
          <w:szCs w:val="24"/>
        </w:rPr>
      </w:pPr>
      <w:r w:rsidRPr="00061EEF">
        <w:rPr>
          <w:rFonts w:ascii="Arial" w:hAnsi="Arial" w:cs="Arial"/>
          <w:sz w:val="24"/>
          <w:szCs w:val="24"/>
        </w:rPr>
        <w:t>Suppliers are required to outline the standard support offered for each product.</w:t>
      </w:r>
    </w:p>
    <w:p w14:paraId="05030671" w14:textId="77777777" w:rsidR="00061EEF" w:rsidRPr="00061EEF" w:rsidRDefault="00061EEF" w:rsidP="00061EEF">
      <w:pPr>
        <w:rPr>
          <w:rFonts w:ascii="Arial" w:hAnsi="Arial" w:cs="Arial"/>
          <w:sz w:val="24"/>
          <w:szCs w:val="24"/>
        </w:rPr>
      </w:pPr>
    </w:p>
    <w:p w14:paraId="601AC0A4" w14:textId="53222FB2"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10" w:name="_Toc159234406"/>
      <w:r w:rsidRPr="00061EEF">
        <w:rPr>
          <w:rFonts w:ascii="Arial" w:hAnsi="Arial" w:cs="Arial"/>
          <w:color w:val="auto"/>
          <w:sz w:val="24"/>
          <w:szCs w:val="24"/>
        </w:rPr>
        <w:t>KEY MILESTONES AND DELIVERABLES</w:t>
      </w:r>
      <w:bookmarkEnd w:id="10"/>
    </w:p>
    <w:p w14:paraId="7D5D3821"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The following Contract milestones/deliverables shall apply:</w:t>
      </w:r>
    </w:p>
    <w:tbl>
      <w:tblPr>
        <w:tblStyle w:val="5"/>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64"/>
        <w:gridCol w:w="3951"/>
        <w:gridCol w:w="2400"/>
      </w:tblGrid>
      <w:tr w:rsidR="00061EEF" w:rsidRPr="00061EEF" w14:paraId="03AE0796" w14:textId="77777777" w:rsidTr="00061EEF">
        <w:trPr>
          <w:trHeight w:val="818"/>
        </w:trPr>
        <w:tc>
          <w:tcPr>
            <w:tcW w:w="2664" w:type="dxa"/>
            <w:shd w:val="clear" w:color="auto" w:fill="B8CCE4"/>
            <w:vAlign w:val="center"/>
          </w:tcPr>
          <w:p w14:paraId="7C3F410C" w14:textId="77777777" w:rsidR="00061EEF" w:rsidRPr="00061EEF" w:rsidRDefault="00061EEF" w:rsidP="003A6D2B">
            <w:pPr>
              <w:pStyle w:val="Heading3"/>
              <w:spacing w:after="120"/>
              <w:ind w:left="-88"/>
              <w:jc w:val="center"/>
              <w:outlineLvl w:val="2"/>
              <w:rPr>
                <w:rFonts w:cs="Arial"/>
                <w:color w:val="auto"/>
                <w:sz w:val="24"/>
                <w:szCs w:val="24"/>
              </w:rPr>
            </w:pPr>
            <w:r w:rsidRPr="00061EEF">
              <w:rPr>
                <w:rFonts w:cs="Arial"/>
                <w:color w:val="auto"/>
                <w:sz w:val="24"/>
                <w:szCs w:val="24"/>
              </w:rPr>
              <w:t>Milestone/Deliverable</w:t>
            </w:r>
          </w:p>
        </w:tc>
        <w:tc>
          <w:tcPr>
            <w:tcW w:w="3951" w:type="dxa"/>
            <w:shd w:val="clear" w:color="auto" w:fill="B8CCE4"/>
            <w:vAlign w:val="center"/>
          </w:tcPr>
          <w:p w14:paraId="21AF5B54" w14:textId="77777777" w:rsidR="00061EEF" w:rsidRPr="00061EEF" w:rsidRDefault="00061EEF" w:rsidP="003A6D2B">
            <w:pPr>
              <w:pStyle w:val="Heading3"/>
              <w:spacing w:after="120"/>
              <w:ind w:left="-230"/>
              <w:jc w:val="center"/>
              <w:outlineLvl w:val="2"/>
              <w:rPr>
                <w:rFonts w:cs="Arial"/>
                <w:color w:val="auto"/>
                <w:sz w:val="24"/>
                <w:szCs w:val="24"/>
              </w:rPr>
            </w:pPr>
            <w:r w:rsidRPr="00061EEF">
              <w:rPr>
                <w:rFonts w:cs="Arial"/>
                <w:color w:val="auto"/>
                <w:sz w:val="24"/>
                <w:szCs w:val="24"/>
              </w:rPr>
              <w:t>Description</w:t>
            </w:r>
          </w:p>
        </w:tc>
        <w:tc>
          <w:tcPr>
            <w:tcW w:w="2400" w:type="dxa"/>
            <w:shd w:val="clear" w:color="auto" w:fill="B8CCE4"/>
            <w:vAlign w:val="center"/>
          </w:tcPr>
          <w:p w14:paraId="5F4F63A1" w14:textId="77777777" w:rsidR="00061EEF" w:rsidRPr="00061EEF" w:rsidRDefault="00061EEF" w:rsidP="003A6D2B">
            <w:pPr>
              <w:pStyle w:val="Heading3"/>
              <w:spacing w:after="120"/>
              <w:ind w:left="-230"/>
              <w:jc w:val="center"/>
              <w:outlineLvl w:val="2"/>
              <w:rPr>
                <w:rFonts w:cs="Arial"/>
                <w:color w:val="auto"/>
                <w:sz w:val="24"/>
                <w:szCs w:val="24"/>
              </w:rPr>
            </w:pPr>
            <w:r w:rsidRPr="00061EEF">
              <w:rPr>
                <w:rFonts w:cs="Arial"/>
                <w:color w:val="auto"/>
                <w:sz w:val="24"/>
                <w:szCs w:val="24"/>
              </w:rPr>
              <w:t>Timeframe or Delivery Date</w:t>
            </w:r>
          </w:p>
        </w:tc>
      </w:tr>
      <w:tr w:rsidR="00061EEF" w:rsidRPr="00061EEF" w14:paraId="5B7B7C81" w14:textId="77777777" w:rsidTr="00061EEF">
        <w:trPr>
          <w:trHeight w:val="1416"/>
        </w:trPr>
        <w:tc>
          <w:tcPr>
            <w:tcW w:w="2664" w:type="dxa"/>
            <w:vAlign w:val="center"/>
          </w:tcPr>
          <w:p w14:paraId="4665AEC7" w14:textId="77777777" w:rsidR="00061EEF" w:rsidRPr="00061EEF" w:rsidRDefault="00061EEF" w:rsidP="003A6D2B">
            <w:pPr>
              <w:pStyle w:val="Heading3"/>
              <w:spacing w:after="120"/>
              <w:ind w:left="142"/>
              <w:jc w:val="center"/>
              <w:outlineLvl w:val="2"/>
              <w:rPr>
                <w:rFonts w:cs="Arial"/>
                <w:b/>
                <w:color w:val="auto"/>
                <w:sz w:val="24"/>
                <w:szCs w:val="24"/>
              </w:rPr>
            </w:pPr>
            <w:r w:rsidRPr="00061EEF">
              <w:rPr>
                <w:rFonts w:cs="Arial"/>
                <w:color w:val="auto"/>
                <w:sz w:val="24"/>
                <w:szCs w:val="24"/>
              </w:rPr>
              <w:t>1</w:t>
            </w:r>
          </w:p>
        </w:tc>
        <w:tc>
          <w:tcPr>
            <w:tcW w:w="3951" w:type="dxa"/>
            <w:vAlign w:val="center"/>
          </w:tcPr>
          <w:p w14:paraId="45EEE55B" w14:textId="77777777" w:rsidR="00061EEF" w:rsidRPr="00061EEF" w:rsidRDefault="00061EEF" w:rsidP="003A6D2B">
            <w:pPr>
              <w:pStyle w:val="Heading3"/>
              <w:spacing w:after="120"/>
              <w:jc w:val="left"/>
              <w:outlineLvl w:val="2"/>
              <w:rPr>
                <w:rFonts w:cs="Arial"/>
                <w:b/>
                <w:color w:val="auto"/>
                <w:sz w:val="24"/>
                <w:szCs w:val="24"/>
              </w:rPr>
            </w:pPr>
          </w:p>
          <w:p w14:paraId="0288FCDF" w14:textId="1E015738" w:rsidR="00061EEF" w:rsidRPr="00061EEF" w:rsidRDefault="00061EEF" w:rsidP="00061EEF">
            <w:pPr>
              <w:pStyle w:val="Heading3"/>
              <w:spacing w:after="120"/>
              <w:ind w:left="65" w:right="-16"/>
              <w:jc w:val="left"/>
              <w:outlineLvl w:val="2"/>
              <w:rPr>
                <w:rFonts w:cs="Arial"/>
                <w:b/>
                <w:color w:val="auto"/>
                <w:sz w:val="24"/>
                <w:szCs w:val="24"/>
              </w:rPr>
            </w:pPr>
            <w:r w:rsidRPr="00061EEF">
              <w:rPr>
                <w:rFonts w:cs="Arial"/>
                <w:color w:val="auto"/>
                <w:sz w:val="24"/>
                <w:szCs w:val="24"/>
              </w:rPr>
              <w:t>Successful Supplier to return signed Contract Order Form</w:t>
            </w:r>
          </w:p>
        </w:tc>
        <w:tc>
          <w:tcPr>
            <w:tcW w:w="2400" w:type="dxa"/>
            <w:vAlign w:val="center"/>
          </w:tcPr>
          <w:p w14:paraId="5C59AEFB" w14:textId="77777777" w:rsidR="00061EEF" w:rsidRPr="00061EEF" w:rsidRDefault="00061EEF" w:rsidP="003A6D2B">
            <w:pPr>
              <w:pStyle w:val="Heading3"/>
              <w:spacing w:after="120"/>
              <w:jc w:val="left"/>
              <w:outlineLvl w:val="2"/>
              <w:rPr>
                <w:rFonts w:cs="Arial"/>
                <w:b/>
                <w:color w:val="auto"/>
                <w:sz w:val="24"/>
                <w:szCs w:val="24"/>
              </w:rPr>
            </w:pPr>
          </w:p>
          <w:p w14:paraId="07DD9A77" w14:textId="347BC64D" w:rsidR="00061EEF" w:rsidRPr="00061EEF" w:rsidRDefault="00061EEF" w:rsidP="00061EEF">
            <w:pPr>
              <w:pStyle w:val="Heading3"/>
              <w:spacing w:after="120"/>
              <w:ind w:left="-9"/>
              <w:jc w:val="center"/>
              <w:outlineLvl w:val="2"/>
              <w:rPr>
                <w:rFonts w:cs="Arial"/>
                <w:b/>
                <w:color w:val="auto"/>
                <w:sz w:val="24"/>
                <w:szCs w:val="24"/>
              </w:rPr>
            </w:pPr>
            <w:r w:rsidRPr="00061EEF">
              <w:rPr>
                <w:rFonts w:cs="Arial"/>
                <w:color w:val="auto"/>
                <w:sz w:val="24"/>
                <w:szCs w:val="24"/>
              </w:rPr>
              <w:t>Within two (2) day of Contract Award.</w:t>
            </w:r>
          </w:p>
        </w:tc>
      </w:tr>
      <w:tr w:rsidR="00061EEF" w:rsidRPr="00061EEF" w14:paraId="749017A0" w14:textId="77777777" w:rsidTr="003A6D2B">
        <w:tc>
          <w:tcPr>
            <w:tcW w:w="2664" w:type="dxa"/>
            <w:vAlign w:val="center"/>
          </w:tcPr>
          <w:p w14:paraId="2B644053" w14:textId="77777777" w:rsidR="00061EEF" w:rsidRPr="00061EEF" w:rsidRDefault="00061EEF" w:rsidP="003A6D2B">
            <w:pPr>
              <w:pStyle w:val="Heading3"/>
              <w:spacing w:after="120"/>
              <w:ind w:left="65"/>
              <w:jc w:val="center"/>
              <w:outlineLvl w:val="2"/>
              <w:rPr>
                <w:rFonts w:cs="Arial"/>
                <w:b/>
                <w:color w:val="auto"/>
                <w:sz w:val="24"/>
                <w:szCs w:val="24"/>
              </w:rPr>
            </w:pPr>
            <w:r w:rsidRPr="00061EEF">
              <w:rPr>
                <w:rFonts w:cs="Arial"/>
                <w:color w:val="auto"/>
                <w:sz w:val="24"/>
                <w:szCs w:val="24"/>
              </w:rPr>
              <w:t>2</w:t>
            </w:r>
          </w:p>
        </w:tc>
        <w:tc>
          <w:tcPr>
            <w:tcW w:w="3951" w:type="dxa"/>
            <w:vAlign w:val="center"/>
          </w:tcPr>
          <w:p w14:paraId="4004735D" w14:textId="77777777" w:rsidR="00061EEF" w:rsidRPr="00061EEF" w:rsidRDefault="00061EEF" w:rsidP="003A6D2B">
            <w:pPr>
              <w:pStyle w:val="Heading3"/>
              <w:spacing w:after="120"/>
              <w:jc w:val="left"/>
              <w:outlineLvl w:val="2"/>
              <w:rPr>
                <w:rFonts w:cs="Arial"/>
                <w:b/>
                <w:color w:val="auto"/>
                <w:sz w:val="24"/>
                <w:szCs w:val="24"/>
              </w:rPr>
            </w:pPr>
          </w:p>
          <w:p w14:paraId="46B68053" w14:textId="0B735257" w:rsidR="00061EEF" w:rsidRPr="00061EEF" w:rsidRDefault="00061EEF" w:rsidP="00061EEF">
            <w:pPr>
              <w:pStyle w:val="Heading3"/>
              <w:spacing w:after="120"/>
              <w:ind w:left="65"/>
              <w:jc w:val="left"/>
              <w:outlineLvl w:val="2"/>
              <w:rPr>
                <w:rFonts w:cs="Arial"/>
                <w:b/>
                <w:color w:val="auto"/>
                <w:sz w:val="24"/>
                <w:szCs w:val="24"/>
              </w:rPr>
            </w:pPr>
            <w:r w:rsidRPr="00061EEF">
              <w:rPr>
                <w:rFonts w:cs="Arial"/>
                <w:color w:val="auto"/>
                <w:sz w:val="24"/>
                <w:szCs w:val="24"/>
              </w:rPr>
              <w:t>Delivery and Renewal of product Support</w:t>
            </w:r>
          </w:p>
        </w:tc>
        <w:tc>
          <w:tcPr>
            <w:tcW w:w="2400" w:type="dxa"/>
            <w:vAlign w:val="center"/>
          </w:tcPr>
          <w:p w14:paraId="6265C053" w14:textId="77777777" w:rsidR="00061EEF" w:rsidRPr="00061EEF" w:rsidRDefault="00061EEF" w:rsidP="003A6D2B">
            <w:pPr>
              <w:pStyle w:val="Heading3"/>
              <w:spacing w:after="120"/>
              <w:ind w:left="-9"/>
              <w:jc w:val="center"/>
              <w:outlineLvl w:val="2"/>
              <w:rPr>
                <w:rFonts w:cs="Arial"/>
                <w:b/>
                <w:color w:val="auto"/>
                <w:sz w:val="24"/>
                <w:szCs w:val="24"/>
              </w:rPr>
            </w:pPr>
            <w:r w:rsidRPr="00061EEF">
              <w:rPr>
                <w:rFonts w:cs="Arial"/>
                <w:color w:val="auto"/>
                <w:sz w:val="24"/>
                <w:szCs w:val="24"/>
              </w:rPr>
              <w:t>Within Five (5) Working Days of Contract Award</w:t>
            </w:r>
          </w:p>
        </w:tc>
      </w:tr>
      <w:tr w:rsidR="00061EEF" w:rsidRPr="00061EEF" w14:paraId="4F636521" w14:textId="77777777" w:rsidTr="003A6D2B">
        <w:tc>
          <w:tcPr>
            <w:tcW w:w="2664" w:type="dxa"/>
            <w:vAlign w:val="center"/>
          </w:tcPr>
          <w:p w14:paraId="56E74F68" w14:textId="77777777" w:rsidR="00061EEF" w:rsidRPr="00061EEF" w:rsidRDefault="00061EEF" w:rsidP="003A6D2B">
            <w:pPr>
              <w:pStyle w:val="Heading3"/>
              <w:spacing w:after="120"/>
              <w:ind w:left="65"/>
              <w:jc w:val="center"/>
              <w:outlineLvl w:val="2"/>
              <w:rPr>
                <w:rFonts w:cs="Arial"/>
                <w:b/>
                <w:color w:val="auto"/>
                <w:sz w:val="24"/>
                <w:szCs w:val="24"/>
              </w:rPr>
            </w:pPr>
            <w:r w:rsidRPr="00061EEF">
              <w:rPr>
                <w:rFonts w:cs="Arial"/>
                <w:color w:val="auto"/>
                <w:sz w:val="24"/>
                <w:szCs w:val="24"/>
              </w:rPr>
              <w:t>3</w:t>
            </w:r>
          </w:p>
        </w:tc>
        <w:tc>
          <w:tcPr>
            <w:tcW w:w="3951" w:type="dxa"/>
            <w:vAlign w:val="center"/>
          </w:tcPr>
          <w:p w14:paraId="2166E277" w14:textId="622A8954" w:rsidR="00061EEF" w:rsidRPr="00061EEF" w:rsidRDefault="00061EEF" w:rsidP="00061EEF">
            <w:pPr>
              <w:pStyle w:val="Heading3"/>
              <w:spacing w:after="120"/>
              <w:jc w:val="left"/>
              <w:outlineLvl w:val="2"/>
              <w:rPr>
                <w:rFonts w:cs="Arial"/>
                <w:b/>
                <w:color w:val="auto"/>
                <w:sz w:val="24"/>
                <w:szCs w:val="24"/>
              </w:rPr>
            </w:pPr>
            <w:r w:rsidRPr="00061EEF">
              <w:rPr>
                <w:rFonts w:cs="Arial"/>
                <w:color w:val="auto"/>
                <w:sz w:val="24"/>
                <w:szCs w:val="24"/>
              </w:rPr>
              <w:t>Buyer to receive Successful Suppliers invoice(s)</w:t>
            </w:r>
          </w:p>
        </w:tc>
        <w:tc>
          <w:tcPr>
            <w:tcW w:w="2400" w:type="dxa"/>
            <w:vAlign w:val="center"/>
          </w:tcPr>
          <w:p w14:paraId="030AC63B" w14:textId="77777777" w:rsidR="00061EEF" w:rsidRPr="00061EEF" w:rsidRDefault="00061EEF" w:rsidP="003A6D2B">
            <w:pPr>
              <w:pStyle w:val="Heading3"/>
              <w:spacing w:after="120"/>
              <w:ind w:left="141"/>
              <w:jc w:val="center"/>
              <w:outlineLvl w:val="2"/>
              <w:rPr>
                <w:rFonts w:cs="Arial"/>
                <w:b/>
                <w:color w:val="auto"/>
                <w:sz w:val="24"/>
                <w:szCs w:val="24"/>
              </w:rPr>
            </w:pPr>
            <w:r w:rsidRPr="00061EEF">
              <w:rPr>
                <w:rFonts w:cs="Arial"/>
                <w:color w:val="auto"/>
                <w:sz w:val="24"/>
                <w:szCs w:val="24"/>
              </w:rPr>
              <w:t>Within Ten (10) Working Days of Delivery of support confirmation</w:t>
            </w:r>
          </w:p>
        </w:tc>
      </w:tr>
    </w:tbl>
    <w:p w14:paraId="332B7676" w14:textId="77777777" w:rsidR="00061EEF" w:rsidRPr="00061EEF" w:rsidRDefault="00061EEF" w:rsidP="00061EEF">
      <w:pPr>
        <w:pStyle w:val="Heading1"/>
        <w:spacing w:after="120"/>
        <w:rPr>
          <w:rFonts w:ascii="Arial" w:hAnsi="Arial" w:cs="Arial"/>
          <w:color w:val="auto"/>
          <w:sz w:val="24"/>
          <w:szCs w:val="24"/>
        </w:rPr>
      </w:pPr>
      <w:bookmarkStart w:id="11" w:name="_heading=h.lnxbz9" w:colFirst="0" w:colLast="0"/>
      <w:bookmarkStart w:id="12" w:name="_Toc158289548"/>
      <w:bookmarkEnd w:id="11"/>
      <w:bookmarkEnd w:id="12"/>
    </w:p>
    <w:p w14:paraId="256C64AF" w14:textId="76350D4E"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bookmarkStart w:id="13" w:name="_Toc159234407"/>
      <w:r w:rsidRPr="00061EEF">
        <w:rPr>
          <w:rFonts w:ascii="Arial" w:hAnsi="Arial" w:cs="Arial"/>
          <w:color w:val="auto"/>
          <w:sz w:val="24"/>
          <w:szCs w:val="24"/>
        </w:rPr>
        <w:t>MANAGEMENT INFORMATION/REPORTING</w:t>
      </w:r>
      <w:bookmarkEnd w:id="13"/>
    </w:p>
    <w:p w14:paraId="4A5F62EB"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The supplier must inform the buyer of any possible issues within the supply chain throughout the contract as and when they occur, within forty-eight (48) hours of the supplier being made aware of them.</w:t>
      </w:r>
    </w:p>
    <w:p w14:paraId="4862A6F0" w14:textId="77777777" w:rsidR="00061EEF" w:rsidRPr="00061EEF" w:rsidRDefault="00061EEF" w:rsidP="00061EEF">
      <w:pPr>
        <w:pStyle w:val="Heading2"/>
        <w:spacing w:after="120"/>
        <w:rPr>
          <w:rFonts w:ascii="Arial" w:hAnsi="Arial" w:cs="Arial"/>
          <w:color w:val="auto"/>
          <w:sz w:val="24"/>
          <w:szCs w:val="24"/>
        </w:rPr>
      </w:pPr>
    </w:p>
    <w:p w14:paraId="0BAB2FAA" w14:textId="01788D81"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bookmarkStart w:id="14" w:name="_Toc159234408"/>
      <w:r w:rsidRPr="00061EEF">
        <w:rPr>
          <w:rFonts w:ascii="Arial" w:hAnsi="Arial" w:cs="Arial"/>
          <w:color w:val="auto"/>
          <w:sz w:val="24"/>
          <w:szCs w:val="24"/>
        </w:rPr>
        <w:t>VOLUMES</w:t>
      </w:r>
      <w:bookmarkEnd w:id="14"/>
    </w:p>
    <w:p w14:paraId="3FBE0C1E" w14:textId="77777777" w:rsidR="009A694B" w:rsidRPr="009A694B" w:rsidRDefault="009A694B" w:rsidP="009A694B">
      <w:pPr>
        <w:pStyle w:val="Heading1"/>
        <w:keepLines w:val="0"/>
        <w:adjustRightInd w:val="0"/>
        <w:spacing w:before="0" w:after="120" w:line="240" w:lineRule="auto"/>
        <w:jc w:val="both"/>
        <w:rPr>
          <w:rFonts w:ascii="Arial" w:hAnsi="Arial" w:cs="Arial"/>
          <w:color w:val="auto"/>
          <w:sz w:val="24"/>
          <w:szCs w:val="24"/>
        </w:rPr>
      </w:pPr>
      <w:bookmarkStart w:id="15" w:name="_Toc159234409"/>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3F60E819" w14:textId="5AC12BE6"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proofErr w:type="spellEnd"/>
      <w:r w:rsidRPr="00061EEF">
        <w:rPr>
          <w:rFonts w:ascii="Arial" w:hAnsi="Arial" w:cs="Arial"/>
          <w:color w:val="auto"/>
          <w:sz w:val="24"/>
          <w:szCs w:val="24"/>
        </w:rPr>
        <w:t>CONTINUOUS IMPROVEMENT</w:t>
      </w:r>
      <w:bookmarkEnd w:id="15"/>
    </w:p>
    <w:p w14:paraId="03B4DBC1"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The supplier will be expected to continually improve the way in which the required services are to be delivered throughout the Contract Duration.</w:t>
      </w:r>
    </w:p>
    <w:p w14:paraId="4C5F3854"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Changes to the way in which the services are to be delivered must be brought to the buyer’s attention and agreed prior to any changes being implemented.</w:t>
      </w:r>
    </w:p>
    <w:p w14:paraId="7C00D7B6" w14:textId="77777777" w:rsidR="00061EEF" w:rsidRPr="00061EEF" w:rsidRDefault="00061EEF" w:rsidP="00061EEF">
      <w:pPr>
        <w:pStyle w:val="Heading2"/>
        <w:spacing w:after="120"/>
        <w:rPr>
          <w:rFonts w:ascii="Arial" w:hAnsi="Arial" w:cs="Arial"/>
          <w:color w:val="auto"/>
          <w:sz w:val="24"/>
          <w:szCs w:val="24"/>
        </w:rPr>
      </w:pPr>
    </w:p>
    <w:p w14:paraId="47606238" w14:textId="38EFFD0D" w:rsidR="00061EEF" w:rsidRPr="00061EEF" w:rsidRDefault="00061EEF" w:rsidP="00061EEF">
      <w:pPr>
        <w:pStyle w:val="Heading1"/>
        <w:keepLines w:val="0"/>
        <w:numPr>
          <w:ilvl w:val="0"/>
          <w:numId w:val="4"/>
        </w:numPr>
        <w:adjustRightInd w:val="0"/>
        <w:spacing w:before="0" w:after="240" w:line="240" w:lineRule="auto"/>
        <w:jc w:val="both"/>
        <w:rPr>
          <w:rFonts w:ascii="Arial" w:hAnsi="Arial" w:cs="Arial"/>
          <w:color w:val="auto"/>
          <w:sz w:val="24"/>
          <w:szCs w:val="24"/>
        </w:rPr>
      </w:pPr>
      <w:bookmarkStart w:id="16" w:name="_Toc159234410"/>
      <w:r w:rsidRPr="00061EEF">
        <w:rPr>
          <w:rFonts w:ascii="Arial" w:hAnsi="Arial" w:cs="Arial"/>
          <w:color w:val="auto"/>
          <w:sz w:val="24"/>
          <w:szCs w:val="24"/>
        </w:rPr>
        <w:t xml:space="preserve">SUSTAINABILITY / SOCIAL VALUE </w:t>
      </w:r>
      <w:bookmarkEnd w:id="16"/>
    </w:p>
    <w:p w14:paraId="57A4D6FC"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aps/>
          <w:color w:val="auto"/>
          <w:sz w:val="24"/>
          <w:szCs w:val="24"/>
        </w:rPr>
      </w:pPr>
      <w:r w:rsidRPr="00061EEF">
        <w:rPr>
          <w:rFonts w:ascii="Arial" w:hAnsi="Arial" w:cs="Arial"/>
          <w:b w:val="0"/>
          <w:color w:val="auto"/>
          <w:sz w:val="24"/>
          <w:szCs w:val="24"/>
        </w:rPr>
        <w:t xml:space="preserve">The supplier will be expected to show how they deliver social value, the potential suppliers will be expected to consider the following area: </w:t>
      </w:r>
    </w:p>
    <w:p w14:paraId="69D856D0" w14:textId="77777777" w:rsidR="00061EEF" w:rsidRPr="00061EEF" w:rsidRDefault="00061EEF" w:rsidP="00061EEF">
      <w:pPr>
        <w:pStyle w:val="Heading3"/>
        <w:keepNext w:val="0"/>
        <w:keepLines w:val="0"/>
        <w:numPr>
          <w:ilvl w:val="2"/>
          <w:numId w:val="4"/>
        </w:numPr>
        <w:adjustRightInd w:val="0"/>
        <w:spacing w:before="0" w:after="240" w:line="240" w:lineRule="auto"/>
        <w:jc w:val="both"/>
        <w:rPr>
          <w:rFonts w:ascii="Arial" w:hAnsi="Arial" w:cs="Arial"/>
          <w:b w:val="0"/>
          <w:caps/>
          <w:sz w:val="24"/>
          <w:szCs w:val="24"/>
        </w:rPr>
      </w:pPr>
      <w:bookmarkStart w:id="17" w:name="_Toc159234411"/>
      <w:r w:rsidRPr="00061EEF">
        <w:rPr>
          <w:rFonts w:ascii="Arial" w:hAnsi="Arial" w:cs="Arial"/>
          <w:b w:val="0"/>
          <w:sz w:val="24"/>
          <w:szCs w:val="24"/>
        </w:rPr>
        <w:t>Fighting climate change (effective stewardship of the environment)</w:t>
      </w:r>
      <w:bookmarkEnd w:id="17"/>
    </w:p>
    <w:p w14:paraId="2B875E87" w14:textId="7CC070AE"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18" w:name="_Toc159234412"/>
      <w:r w:rsidRPr="00061EEF">
        <w:rPr>
          <w:rFonts w:ascii="Arial" w:hAnsi="Arial" w:cs="Arial"/>
          <w:color w:val="auto"/>
          <w:sz w:val="24"/>
          <w:szCs w:val="24"/>
        </w:rPr>
        <w:t>QUALITY</w:t>
      </w:r>
      <w:bookmarkEnd w:id="18"/>
    </w:p>
    <w:p w14:paraId="03422947"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Quality shall comply with those set out in this bid pack and in line with the Call Off Terms and Conditions</w:t>
      </w:r>
    </w:p>
    <w:p w14:paraId="1C36402B" w14:textId="77777777"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bookmarkStart w:id="19" w:name="_Toc159234413"/>
      <w:r w:rsidRPr="00061EEF">
        <w:rPr>
          <w:rFonts w:ascii="Arial" w:hAnsi="Arial" w:cs="Arial"/>
          <w:color w:val="auto"/>
          <w:sz w:val="24"/>
          <w:szCs w:val="24"/>
        </w:rPr>
        <w:t>PRICE</w:t>
      </w:r>
      <w:bookmarkEnd w:id="19"/>
    </w:p>
    <w:p w14:paraId="30B2509C" w14:textId="77777777" w:rsidR="009A694B" w:rsidRPr="009A694B" w:rsidRDefault="009A694B" w:rsidP="009A694B">
      <w:pPr>
        <w:pStyle w:val="Heading1"/>
        <w:keepLines w:val="0"/>
        <w:adjustRightInd w:val="0"/>
        <w:spacing w:before="0" w:after="120" w:line="240" w:lineRule="auto"/>
        <w:ind w:left="709"/>
        <w:jc w:val="both"/>
        <w:rPr>
          <w:rFonts w:ascii="Arial" w:hAnsi="Arial" w:cs="Arial"/>
          <w:color w:val="auto"/>
          <w:sz w:val="24"/>
          <w:szCs w:val="24"/>
        </w:rPr>
      </w:pPr>
      <w:bookmarkStart w:id="20" w:name="_Toc159234414"/>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5A2413CA" w14:textId="0072018E"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proofErr w:type="spellEnd"/>
      <w:r w:rsidRPr="00061EEF">
        <w:rPr>
          <w:rFonts w:ascii="Arial" w:hAnsi="Arial" w:cs="Arial"/>
          <w:color w:val="auto"/>
          <w:sz w:val="24"/>
          <w:szCs w:val="24"/>
        </w:rPr>
        <w:t>STAFF AND BUYER SERVICE</w:t>
      </w:r>
      <w:bookmarkEnd w:id="20"/>
    </w:p>
    <w:p w14:paraId="6ECBF833" w14:textId="77777777" w:rsidR="009A694B" w:rsidRPr="009A694B" w:rsidRDefault="009A694B" w:rsidP="009A694B">
      <w:pPr>
        <w:pStyle w:val="Heading1"/>
        <w:keepLines w:val="0"/>
        <w:adjustRightInd w:val="0"/>
        <w:spacing w:before="0" w:after="120" w:line="240" w:lineRule="auto"/>
        <w:ind w:left="709"/>
        <w:jc w:val="both"/>
        <w:rPr>
          <w:rFonts w:ascii="Arial" w:hAnsi="Arial" w:cs="Arial"/>
          <w:color w:val="auto"/>
          <w:sz w:val="24"/>
          <w:szCs w:val="24"/>
        </w:rPr>
      </w:pPr>
      <w:bookmarkStart w:id="21" w:name="_Toc159234415"/>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284DC659" w14:textId="56C8C21F"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proofErr w:type="spellEnd"/>
      <w:r w:rsidRPr="00061EEF">
        <w:rPr>
          <w:rFonts w:ascii="Arial" w:hAnsi="Arial" w:cs="Arial"/>
          <w:color w:val="auto"/>
          <w:sz w:val="24"/>
          <w:szCs w:val="24"/>
        </w:rPr>
        <w:t>SERVICE LEVELS AND PERFORMANCE</w:t>
      </w:r>
      <w:bookmarkEnd w:id="21"/>
    </w:p>
    <w:p w14:paraId="4ABF00B9"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The buyer will measure the quality of the supplier’s delivery by:</w:t>
      </w:r>
    </w:p>
    <w:tbl>
      <w:tblPr>
        <w:tblStyle w:val="4"/>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63"/>
        <w:gridCol w:w="1756"/>
        <w:gridCol w:w="3746"/>
        <w:gridCol w:w="1634"/>
      </w:tblGrid>
      <w:tr w:rsidR="00061EEF" w:rsidRPr="00061EEF" w14:paraId="735E7DA8" w14:textId="77777777" w:rsidTr="003A6D2B">
        <w:tc>
          <w:tcPr>
            <w:tcW w:w="1163" w:type="dxa"/>
            <w:shd w:val="clear" w:color="auto" w:fill="B8CCE4"/>
          </w:tcPr>
          <w:p w14:paraId="1C8BA27C" w14:textId="77777777" w:rsidR="00061EEF" w:rsidRPr="00061EEF" w:rsidRDefault="00061EEF" w:rsidP="003A6D2B">
            <w:pPr>
              <w:pStyle w:val="Heading2"/>
              <w:ind w:left="-219"/>
              <w:jc w:val="right"/>
              <w:outlineLvl w:val="1"/>
              <w:rPr>
                <w:rFonts w:ascii="Arial" w:hAnsi="Arial" w:cs="Arial"/>
                <w:color w:val="auto"/>
                <w:sz w:val="24"/>
                <w:szCs w:val="24"/>
              </w:rPr>
            </w:pPr>
            <w:r w:rsidRPr="00061EEF">
              <w:rPr>
                <w:rFonts w:ascii="Arial" w:hAnsi="Arial" w:cs="Arial"/>
                <w:color w:val="auto"/>
                <w:sz w:val="24"/>
                <w:szCs w:val="24"/>
              </w:rPr>
              <w:t>KPI/SLA</w:t>
            </w:r>
          </w:p>
        </w:tc>
        <w:tc>
          <w:tcPr>
            <w:tcW w:w="1756" w:type="dxa"/>
            <w:shd w:val="clear" w:color="auto" w:fill="B8CCE4"/>
          </w:tcPr>
          <w:p w14:paraId="33E52A64" w14:textId="77777777" w:rsidR="00061EEF" w:rsidRPr="00061EEF" w:rsidRDefault="00061EEF" w:rsidP="003A6D2B">
            <w:pPr>
              <w:pStyle w:val="Heading2"/>
              <w:ind w:left="-219"/>
              <w:jc w:val="right"/>
              <w:outlineLvl w:val="1"/>
              <w:rPr>
                <w:rFonts w:ascii="Arial" w:hAnsi="Arial" w:cs="Arial"/>
                <w:color w:val="auto"/>
                <w:sz w:val="24"/>
                <w:szCs w:val="24"/>
              </w:rPr>
            </w:pPr>
            <w:r w:rsidRPr="00061EEF">
              <w:rPr>
                <w:rFonts w:ascii="Arial" w:hAnsi="Arial" w:cs="Arial"/>
                <w:color w:val="auto"/>
                <w:sz w:val="24"/>
                <w:szCs w:val="24"/>
              </w:rPr>
              <w:t>Service Area</w:t>
            </w:r>
          </w:p>
        </w:tc>
        <w:tc>
          <w:tcPr>
            <w:tcW w:w="3746" w:type="dxa"/>
            <w:shd w:val="clear" w:color="auto" w:fill="B8CCE4"/>
          </w:tcPr>
          <w:p w14:paraId="799812C5" w14:textId="77777777" w:rsidR="00061EEF" w:rsidRPr="00061EEF" w:rsidRDefault="00061EEF" w:rsidP="003A6D2B">
            <w:pPr>
              <w:pStyle w:val="Heading2"/>
              <w:ind w:left="-77"/>
              <w:jc w:val="center"/>
              <w:outlineLvl w:val="1"/>
              <w:rPr>
                <w:rFonts w:ascii="Arial" w:hAnsi="Arial" w:cs="Arial"/>
                <w:color w:val="auto"/>
                <w:sz w:val="24"/>
                <w:szCs w:val="24"/>
              </w:rPr>
            </w:pPr>
            <w:r w:rsidRPr="00061EEF">
              <w:rPr>
                <w:rFonts w:ascii="Arial" w:hAnsi="Arial" w:cs="Arial"/>
                <w:color w:val="auto"/>
                <w:sz w:val="24"/>
                <w:szCs w:val="24"/>
              </w:rPr>
              <w:t>KPI/SLA description</w:t>
            </w:r>
          </w:p>
        </w:tc>
        <w:tc>
          <w:tcPr>
            <w:tcW w:w="1634" w:type="dxa"/>
            <w:shd w:val="clear" w:color="auto" w:fill="B8CCE4"/>
          </w:tcPr>
          <w:p w14:paraId="5A15049A" w14:textId="77777777" w:rsidR="00061EEF" w:rsidRPr="00061EEF" w:rsidRDefault="00061EEF" w:rsidP="003A6D2B">
            <w:pPr>
              <w:pStyle w:val="Heading2"/>
              <w:ind w:left="-219"/>
              <w:jc w:val="center"/>
              <w:outlineLvl w:val="1"/>
              <w:rPr>
                <w:rFonts w:ascii="Arial" w:hAnsi="Arial" w:cs="Arial"/>
                <w:color w:val="auto"/>
                <w:sz w:val="24"/>
                <w:szCs w:val="24"/>
              </w:rPr>
            </w:pPr>
            <w:r w:rsidRPr="00061EEF">
              <w:rPr>
                <w:rFonts w:ascii="Arial" w:hAnsi="Arial" w:cs="Arial"/>
                <w:color w:val="auto"/>
                <w:sz w:val="24"/>
                <w:szCs w:val="24"/>
              </w:rPr>
              <w:t>Target</w:t>
            </w:r>
          </w:p>
        </w:tc>
      </w:tr>
      <w:tr w:rsidR="00061EEF" w:rsidRPr="00061EEF" w14:paraId="365BF1B0" w14:textId="77777777" w:rsidTr="003A6D2B">
        <w:tc>
          <w:tcPr>
            <w:tcW w:w="1163"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B077D96" w14:textId="77777777" w:rsidR="00061EEF" w:rsidRPr="00061EEF" w:rsidRDefault="00061EEF" w:rsidP="003A6D2B">
            <w:pPr>
              <w:spacing w:after="240"/>
              <w:jc w:val="left"/>
              <w:rPr>
                <w:rFonts w:eastAsia="Times New Roman" w:cs="Arial"/>
                <w:color w:val="auto"/>
                <w:sz w:val="24"/>
                <w:szCs w:val="24"/>
              </w:rPr>
            </w:pPr>
            <w:r w:rsidRPr="00061EEF">
              <w:rPr>
                <w:rFonts w:cs="Arial"/>
                <w:b w:val="0"/>
                <w:color w:val="auto"/>
                <w:sz w:val="24"/>
                <w:szCs w:val="24"/>
              </w:rPr>
              <w:t>1</w:t>
            </w:r>
          </w:p>
        </w:tc>
        <w:tc>
          <w:tcPr>
            <w:tcW w:w="175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969982B" w14:textId="77777777" w:rsidR="00061EEF" w:rsidRPr="00061EEF" w:rsidRDefault="00061EEF" w:rsidP="003A6D2B">
            <w:pPr>
              <w:spacing w:after="240"/>
              <w:jc w:val="left"/>
              <w:rPr>
                <w:rFonts w:eastAsia="Times New Roman" w:cs="Arial"/>
                <w:color w:val="auto"/>
                <w:sz w:val="24"/>
                <w:szCs w:val="24"/>
              </w:rPr>
            </w:pPr>
            <w:r w:rsidRPr="00061EEF">
              <w:rPr>
                <w:rFonts w:cs="Arial"/>
                <w:b w:val="0"/>
                <w:color w:val="auto"/>
                <w:sz w:val="24"/>
                <w:szCs w:val="24"/>
              </w:rPr>
              <w:t>Delivery Timescales</w:t>
            </w:r>
          </w:p>
        </w:tc>
        <w:tc>
          <w:tcPr>
            <w:tcW w:w="37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FF77B3" w14:textId="77777777" w:rsidR="00061EEF" w:rsidRPr="00061EEF" w:rsidRDefault="00061EEF" w:rsidP="003A6D2B">
            <w:pPr>
              <w:spacing w:after="240"/>
              <w:jc w:val="left"/>
              <w:rPr>
                <w:rFonts w:eastAsia="Times New Roman" w:cs="Arial"/>
                <w:color w:val="auto"/>
                <w:sz w:val="24"/>
                <w:szCs w:val="24"/>
              </w:rPr>
            </w:pPr>
            <w:r w:rsidRPr="00061EEF">
              <w:rPr>
                <w:rFonts w:cs="Arial"/>
                <w:b w:val="0"/>
                <w:color w:val="auto"/>
                <w:sz w:val="24"/>
                <w:szCs w:val="24"/>
              </w:rPr>
              <w:t>Delivery timescales are to be made in line with the contract milestones outlined in section 7.</w:t>
            </w:r>
          </w:p>
        </w:tc>
        <w:tc>
          <w:tcPr>
            <w:tcW w:w="1634"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3D9FCBD8"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100%</w:t>
            </w:r>
          </w:p>
        </w:tc>
      </w:tr>
      <w:tr w:rsidR="00061EEF" w:rsidRPr="00061EEF" w14:paraId="2D023A54" w14:textId="77777777" w:rsidTr="003A6D2B">
        <w:tc>
          <w:tcPr>
            <w:tcW w:w="1163"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0053CD13" w14:textId="77777777" w:rsidR="00061EEF" w:rsidRPr="00061EEF" w:rsidRDefault="00061EEF" w:rsidP="003A6D2B">
            <w:pPr>
              <w:spacing w:after="240"/>
              <w:jc w:val="left"/>
              <w:rPr>
                <w:rFonts w:eastAsia="Times New Roman" w:cs="Arial"/>
                <w:color w:val="auto"/>
                <w:sz w:val="24"/>
                <w:szCs w:val="24"/>
              </w:rPr>
            </w:pPr>
            <w:r w:rsidRPr="00061EEF">
              <w:rPr>
                <w:rFonts w:cs="Arial"/>
                <w:b w:val="0"/>
                <w:color w:val="auto"/>
                <w:sz w:val="24"/>
                <w:szCs w:val="24"/>
              </w:rPr>
              <w:t>2</w:t>
            </w:r>
          </w:p>
        </w:tc>
        <w:tc>
          <w:tcPr>
            <w:tcW w:w="175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9EF071A"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Service Delivery</w:t>
            </w:r>
          </w:p>
        </w:tc>
        <w:tc>
          <w:tcPr>
            <w:tcW w:w="37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048F0"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All products, upgrades and patches to be received during the contract terms of the licences.</w:t>
            </w:r>
          </w:p>
        </w:tc>
        <w:tc>
          <w:tcPr>
            <w:tcW w:w="1634"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0A2AF4E9"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100%</w:t>
            </w:r>
          </w:p>
        </w:tc>
      </w:tr>
      <w:tr w:rsidR="00061EEF" w:rsidRPr="00061EEF" w14:paraId="1788C170" w14:textId="77777777" w:rsidTr="003A6D2B">
        <w:tc>
          <w:tcPr>
            <w:tcW w:w="1163" w:type="dxa"/>
            <w:tcBorders>
              <w:top w:val="single" w:sz="6" w:space="0" w:color="000000"/>
              <w:left w:val="single" w:sz="24" w:space="0" w:color="000000"/>
              <w:bottom w:val="single" w:sz="6" w:space="0" w:color="000000"/>
              <w:right w:val="single" w:sz="6" w:space="0" w:color="000000"/>
            </w:tcBorders>
            <w:tcMar>
              <w:top w:w="0" w:type="dxa"/>
              <w:left w:w="115" w:type="dxa"/>
              <w:bottom w:w="0" w:type="dxa"/>
              <w:right w:w="115" w:type="dxa"/>
            </w:tcMar>
          </w:tcPr>
          <w:p w14:paraId="49847E62" w14:textId="77777777" w:rsidR="00061EEF" w:rsidRPr="00061EEF" w:rsidRDefault="00061EEF" w:rsidP="003A6D2B">
            <w:pPr>
              <w:spacing w:after="240"/>
              <w:jc w:val="left"/>
              <w:rPr>
                <w:rFonts w:eastAsia="Times New Roman" w:cs="Arial"/>
                <w:color w:val="auto"/>
                <w:sz w:val="24"/>
                <w:szCs w:val="24"/>
              </w:rPr>
            </w:pPr>
            <w:r w:rsidRPr="00061EEF">
              <w:rPr>
                <w:rFonts w:cs="Arial"/>
                <w:b w:val="0"/>
                <w:color w:val="auto"/>
                <w:sz w:val="24"/>
                <w:szCs w:val="24"/>
              </w:rPr>
              <w:t>3</w:t>
            </w:r>
          </w:p>
        </w:tc>
        <w:tc>
          <w:tcPr>
            <w:tcW w:w="175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AF15595"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Service Delivery</w:t>
            </w:r>
          </w:p>
        </w:tc>
        <w:tc>
          <w:tcPr>
            <w:tcW w:w="37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6D291F"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All critical support calls and emails acknowledged and resolved same day of raising by the vendor(s).</w:t>
            </w:r>
          </w:p>
        </w:tc>
        <w:tc>
          <w:tcPr>
            <w:tcW w:w="1634" w:type="dxa"/>
            <w:tcBorders>
              <w:top w:val="single" w:sz="6" w:space="0" w:color="000000"/>
              <w:left w:val="single" w:sz="6" w:space="0" w:color="000000"/>
              <w:bottom w:val="single" w:sz="6" w:space="0" w:color="000000"/>
              <w:right w:val="single" w:sz="24" w:space="0" w:color="000000"/>
            </w:tcBorders>
            <w:tcMar>
              <w:top w:w="0" w:type="dxa"/>
              <w:left w:w="115" w:type="dxa"/>
              <w:bottom w:w="0" w:type="dxa"/>
              <w:right w:w="115" w:type="dxa"/>
            </w:tcMar>
          </w:tcPr>
          <w:p w14:paraId="51CF44A1" w14:textId="77777777" w:rsidR="00061EEF" w:rsidRPr="00061EEF" w:rsidRDefault="00061EEF" w:rsidP="003A6D2B">
            <w:pPr>
              <w:spacing w:after="240"/>
              <w:rPr>
                <w:rFonts w:eastAsia="Times New Roman" w:cs="Arial"/>
                <w:color w:val="auto"/>
                <w:sz w:val="24"/>
                <w:szCs w:val="24"/>
              </w:rPr>
            </w:pPr>
            <w:r w:rsidRPr="00061EEF">
              <w:rPr>
                <w:rFonts w:cs="Arial"/>
                <w:b w:val="0"/>
                <w:color w:val="auto"/>
                <w:sz w:val="24"/>
                <w:szCs w:val="24"/>
              </w:rPr>
              <w:t>98%</w:t>
            </w:r>
          </w:p>
        </w:tc>
      </w:tr>
    </w:tbl>
    <w:p w14:paraId="74719D35" w14:textId="77777777" w:rsidR="00061EEF" w:rsidRPr="00061EEF" w:rsidRDefault="00061EEF" w:rsidP="00061EEF">
      <w:pPr>
        <w:pStyle w:val="Heading2"/>
        <w:ind w:left="720"/>
        <w:rPr>
          <w:rFonts w:ascii="Arial" w:hAnsi="Arial" w:cs="Arial"/>
          <w:color w:val="auto"/>
          <w:sz w:val="24"/>
          <w:szCs w:val="24"/>
        </w:rPr>
      </w:pPr>
    </w:p>
    <w:p w14:paraId="45A8EAF2" w14:textId="77777777" w:rsidR="00061EEF" w:rsidRPr="00061EEF" w:rsidRDefault="00061EEF" w:rsidP="00061EEF">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1EEF">
        <w:rPr>
          <w:rFonts w:ascii="Arial" w:hAnsi="Arial" w:cs="Arial"/>
          <w:b w:val="0"/>
          <w:color w:val="auto"/>
          <w:sz w:val="24"/>
          <w:szCs w:val="24"/>
        </w:rPr>
        <w:t>The buyer agrees to work with the supplier to resolve service failure issues. Where the successful supplier falls against the KPI’s listed above, the buyer will in the first instance, seek a mutually agreeable solution with the supplier. However, it will remain the supplier’s sole responsibility to resolve any such service failures.</w:t>
      </w:r>
    </w:p>
    <w:p w14:paraId="7C4A26F1" w14:textId="77777777" w:rsidR="00061EEF" w:rsidRPr="00061EEF" w:rsidRDefault="00061EEF" w:rsidP="00061EEF">
      <w:pPr>
        <w:pStyle w:val="Heading2"/>
        <w:keepNext w:val="0"/>
        <w:keepLines w:val="0"/>
        <w:numPr>
          <w:ilvl w:val="1"/>
          <w:numId w:val="4"/>
        </w:numPr>
        <w:adjustRightInd w:val="0"/>
        <w:spacing w:before="0" w:after="240" w:line="240" w:lineRule="auto"/>
        <w:jc w:val="both"/>
        <w:rPr>
          <w:rFonts w:ascii="Arial" w:hAnsi="Arial" w:cs="Arial"/>
          <w:b w:val="0"/>
          <w:color w:val="auto"/>
          <w:sz w:val="24"/>
          <w:szCs w:val="24"/>
        </w:rPr>
      </w:pPr>
      <w:r w:rsidRPr="00061EEF">
        <w:rPr>
          <w:rFonts w:ascii="Arial" w:hAnsi="Arial" w:cs="Arial"/>
          <w:b w:val="0"/>
          <w:color w:val="auto"/>
          <w:sz w:val="24"/>
          <w:szCs w:val="24"/>
        </w:rPr>
        <w:t>Any required dispute resolution shall be carried out in accordance with the procedures set out in the Joint Schedule 10 – Rectification Plan.</w:t>
      </w:r>
    </w:p>
    <w:p w14:paraId="43C4F45F" w14:textId="4E4D5C1D"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22" w:name="_Toc159234416"/>
      <w:r w:rsidRPr="00061EEF">
        <w:rPr>
          <w:rFonts w:ascii="Arial" w:hAnsi="Arial" w:cs="Arial"/>
          <w:color w:val="auto"/>
          <w:sz w:val="24"/>
          <w:szCs w:val="24"/>
        </w:rPr>
        <w:lastRenderedPageBreak/>
        <w:t>SECURITY AND CONFIDENTIALITY REQUIREMENTS</w:t>
      </w:r>
      <w:bookmarkEnd w:id="22"/>
    </w:p>
    <w:p w14:paraId="4381C406" w14:textId="77777777" w:rsidR="009A694B" w:rsidRPr="009A694B" w:rsidRDefault="009A694B" w:rsidP="009A694B">
      <w:pPr>
        <w:pStyle w:val="Heading1"/>
        <w:keepLines w:val="0"/>
        <w:adjustRightInd w:val="0"/>
        <w:spacing w:before="0" w:after="120" w:line="240" w:lineRule="auto"/>
        <w:ind w:left="709"/>
        <w:jc w:val="both"/>
        <w:rPr>
          <w:rFonts w:ascii="Arial" w:hAnsi="Arial" w:cs="Arial"/>
          <w:color w:val="auto"/>
          <w:sz w:val="24"/>
          <w:szCs w:val="24"/>
        </w:rPr>
      </w:pPr>
      <w:bookmarkStart w:id="23" w:name="_Toc159234417"/>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351C799F" w14:textId="1D0E2A84"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proofErr w:type="spellEnd"/>
      <w:r w:rsidRPr="00061EEF">
        <w:rPr>
          <w:rFonts w:ascii="Arial" w:hAnsi="Arial" w:cs="Arial"/>
          <w:color w:val="auto"/>
          <w:sz w:val="24"/>
          <w:szCs w:val="24"/>
        </w:rPr>
        <w:t>PAYMENT AND INVOICING</w:t>
      </w:r>
      <w:bookmarkEnd w:id="23"/>
      <w:r w:rsidRPr="00061EEF">
        <w:rPr>
          <w:rFonts w:ascii="Arial" w:hAnsi="Arial" w:cs="Arial"/>
          <w:color w:val="auto"/>
          <w:sz w:val="24"/>
          <w:szCs w:val="24"/>
        </w:rPr>
        <w:t xml:space="preserve"> </w:t>
      </w:r>
    </w:p>
    <w:p w14:paraId="21E31325" w14:textId="77777777" w:rsidR="009A694B" w:rsidRPr="009A694B" w:rsidRDefault="009A694B" w:rsidP="009A694B">
      <w:pPr>
        <w:pStyle w:val="Heading1"/>
        <w:keepLines w:val="0"/>
        <w:adjustRightInd w:val="0"/>
        <w:spacing w:before="0" w:after="120" w:line="240" w:lineRule="auto"/>
        <w:ind w:left="709"/>
        <w:jc w:val="both"/>
        <w:rPr>
          <w:rFonts w:ascii="Arial" w:hAnsi="Arial" w:cs="Arial"/>
          <w:color w:val="auto"/>
          <w:sz w:val="24"/>
          <w:szCs w:val="24"/>
        </w:rPr>
      </w:pPr>
      <w:bookmarkStart w:id="24" w:name="_Toc159234418"/>
      <w:r w:rsidRPr="009A694B">
        <w:rPr>
          <w:rFonts w:ascii="Arial" w:hAnsi="Arial" w:cs="Arial"/>
          <w:b w:val="0"/>
          <w:color w:val="auto"/>
          <w:sz w:val="24"/>
          <w:szCs w:val="24"/>
        </w:rPr>
        <w:t xml:space="preserve">REDACTED TEXT under FOIA Section 43 Commercial </w:t>
      </w:r>
      <w:proofErr w:type="spellStart"/>
      <w:r w:rsidRPr="009A694B">
        <w:rPr>
          <w:rFonts w:ascii="Arial" w:hAnsi="Arial" w:cs="Arial"/>
          <w:b w:val="0"/>
          <w:color w:val="auto"/>
          <w:sz w:val="24"/>
          <w:szCs w:val="24"/>
        </w:rPr>
        <w:t>Interests.</w:t>
      </w:r>
    </w:p>
    <w:p w14:paraId="218DFB4A" w14:textId="2AE803B5" w:rsidR="00061EEF" w:rsidRPr="00061EEF" w:rsidRDefault="00061EEF" w:rsidP="00061EEF">
      <w:pPr>
        <w:pStyle w:val="Heading1"/>
        <w:keepLines w:val="0"/>
        <w:numPr>
          <w:ilvl w:val="0"/>
          <w:numId w:val="4"/>
        </w:numPr>
        <w:adjustRightInd w:val="0"/>
        <w:spacing w:before="0" w:after="120" w:line="240" w:lineRule="auto"/>
        <w:ind w:left="709" w:hanging="709"/>
        <w:jc w:val="both"/>
        <w:rPr>
          <w:rFonts w:ascii="Arial" w:hAnsi="Arial" w:cs="Arial"/>
          <w:color w:val="auto"/>
          <w:sz w:val="24"/>
          <w:szCs w:val="24"/>
        </w:rPr>
      </w:pPr>
      <w:proofErr w:type="spellEnd"/>
      <w:r w:rsidRPr="00061EEF">
        <w:rPr>
          <w:rFonts w:ascii="Arial" w:hAnsi="Arial" w:cs="Arial"/>
          <w:color w:val="auto"/>
          <w:sz w:val="24"/>
          <w:szCs w:val="24"/>
        </w:rPr>
        <w:t>CONTRACT MANAGEMENT</w:t>
      </w:r>
      <w:bookmarkEnd w:id="24"/>
      <w:r w:rsidRPr="00061EEF">
        <w:rPr>
          <w:rFonts w:ascii="Arial" w:hAnsi="Arial" w:cs="Arial"/>
          <w:color w:val="auto"/>
          <w:sz w:val="24"/>
          <w:szCs w:val="24"/>
        </w:rPr>
        <w:t xml:space="preserve"> </w:t>
      </w:r>
    </w:p>
    <w:p w14:paraId="6DF68863" w14:textId="3DD740F3" w:rsidR="00061EEF" w:rsidRPr="00061EEF" w:rsidRDefault="009A694B"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9A694B">
        <w:rPr>
          <w:rFonts w:ascii="Arial" w:hAnsi="Arial" w:cs="Arial"/>
          <w:b w:val="0"/>
          <w:color w:val="auto"/>
          <w:sz w:val="24"/>
          <w:szCs w:val="24"/>
        </w:rPr>
        <w:t xml:space="preserve">REDACTED TEXT under FOIA Section 43 Commercial </w:t>
      </w:r>
      <w:proofErr w:type="gramStart"/>
      <w:r w:rsidRPr="009A694B">
        <w:rPr>
          <w:rFonts w:ascii="Arial" w:hAnsi="Arial" w:cs="Arial"/>
          <w:b w:val="0"/>
          <w:color w:val="auto"/>
          <w:sz w:val="24"/>
          <w:szCs w:val="24"/>
        </w:rPr>
        <w:t>Interests.</w:t>
      </w:r>
      <w:r w:rsidR="00061EEF" w:rsidRPr="00061EEF">
        <w:rPr>
          <w:rFonts w:ascii="Arial" w:hAnsi="Arial" w:cs="Arial"/>
          <w:b w:val="0"/>
          <w:color w:val="auto"/>
          <w:sz w:val="24"/>
          <w:szCs w:val="24"/>
        </w:rPr>
        <w:t>.</w:t>
      </w:r>
      <w:proofErr w:type="gramEnd"/>
    </w:p>
    <w:p w14:paraId="25DB3E8B" w14:textId="5C57D816" w:rsidR="00061EEF" w:rsidRPr="00061EEF" w:rsidRDefault="00061EEF" w:rsidP="00061EEF">
      <w:pPr>
        <w:pStyle w:val="Heading1"/>
        <w:keepLines w:val="0"/>
        <w:numPr>
          <w:ilvl w:val="0"/>
          <w:numId w:val="4"/>
        </w:numPr>
        <w:adjustRightInd w:val="0"/>
        <w:spacing w:before="0" w:after="120" w:line="240" w:lineRule="auto"/>
        <w:jc w:val="both"/>
        <w:rPr>
          <w:rFonts w:ascii="Arial" w:hAnsi="Arial" w:cs="Arial"/>
          <w:color w:val="auto"/>
          <w:sz w:val="24"/>
          <w:szCs w:val="24"/>
        </w:rPr>
      </w:pPr>
      <w:bookmarkStart w:id="25" w:name="_Toc159234419"/>
      <w:r w:rsidRPr="00061EEF">
        <w:rPr>
          <w:rFonts w:ascii="Arial" w:hAnsi="Arial" w:cs="Arial"/>
          <w:color w:val="auto"/>
          <w:sz w:val="24"/>
          <w:szCs w:val="24"/>
        </w:rPr>
        <w:t>LOCATION</w:t>
      </w:r>
      <w:bookmarkEnd w:id="25"/>
      <w:r w:rsidRPr="00061EEF">
        <w:rPr>
          <w:rFonts w:ascii="Arial" w:hAnsi="Arial" w:cs="Arial"/>
          <w:color w:val="auto"/>
          <w:sz w:val="24"/>
          <w:szCs w:val="24"/>
        </w:rPr>
        <w:t xml:space="preserve"> </w:t>
      </w:r>
    </w:p>
    <w:p w14:paraId="66FB28A5" w14:textId="77777777" w:rsidR="00061EEF" w:rsidRPr="00061EEF" w:rsidRDefault="00061EEF" w:rsidP="00061EEF">
      <w:pPr>
        <w:pStyle w:val="Heading2"/>
        <w:keepNext w:val="0"/>
        <w:keepLines w:val="0"/>
        <w:numPr>
          <w:ilvl w:val="1"/>
          <w:numId w:val="4"/>
        </w:numPr>
        <w:adjustRightInd w:val="0"/>
        <w:spacing w:before="0" w:after="120" w:line="240" w:lineRule="auto"/>
        <w:ind w:left="709" w:hanging="709"/>
        <w:jc w:val="both"/>
        <w:rPr>
          <w:rFonts w:ascii="Arial" w:hAnsi="Arial" w:cs="Arial"/>
          <w:b w:val="0"/>
          <w:color w:val="auto"/>
          <w:sz w:val="24"/>
          <w:szCs w:val="24"/>
        </w:rPr>
      </w:pPr>
      <w:r w:rsidRPr="00061EEF">
        <w:rPr>
          <w:rFonts w:ascii="Arial" w:hAnsi="Arial" w:cs="Arial"/>
          <w:b w:val="0"/>
          <w:color w:val="auto"/>
          <w:sz w:val="24"/>
          <w:szCs w:val="24"/>
        </w:rPr>
        <w:t>The email contact details will be confirmed upon contract award.</w:t>
      </w:r>
    </w:p>
    <w:p w14:paraId="00000008" w14:textId="44EE048E" w:rsidR="007700C5" w:rsidRPr="00061EEF" w:rsidRDefault="00061EEF" w:rsidP="00061EEF">
      <w:pPr>
        <w:pBdr>
          <w:top w:val="nil"/>
          <w:left w:val="nil"/>
          <w:bottom w:val="nil"/>
          <w:right w:val="nil"/>
          <w:between w:val="nil"/>
        </w:pBdr>
        <w:spacing w:before="120" w:after="120" w:line="240" w:lineRule="auto"/>
        <w:ind w:left="936" w:hanging="576"/>
        <w:rPr>
          <w:rFonts w:ascii="Arial" w:eastAsia="Arial" w:hAnsi="Arial" w:cs="Arial"/>
          <w:smallCaps/>
          <w:sz w:val="24"/>
          <w:szCs w:val="24"/>
        </w:rPr>
      </w:pPr>
      <w:r w:rsidRPr="00061EEF">
        <w:rPr>
          <w:rFonts w:ascii="Arial" w:hAnsi="Arial" w:cs="Arial"/>
          <w:sz w:val="24"/>
          <w:szCs w:val="24"/>
        </w:rPr>
        <w:t>Electronic delivery of the various licence renewals shall be via the vendor’s portal. Copies of the licences shall also be delivered by email to the buyer, as they will not have access to the vendors’ porta</w:t>
      </w:r>
      <w:r>
        <w:rPr>
          <w:rFonts w:ascii="Arial" w:hAnsi="Arial" w:cs="Arial"/>
          <w:sz w:val="24"/>
          <w:szCs w:val="24"/>
        </w:rPr>
        <w:t>l.</w:t>
      </w:r>
      <w:bookmarkStart w:id="26" w:name="_heading=h.30j0zll" w:colFirst="0" w:colLast="0"/>
      <w:bookmarkEnd w:id="26"/>
    </w:p>
    <w:sectPr w:rsidR="007700C5" w:rsidRPr="00061EEF">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E06A" w14:textId="77777777" w:rsidR="00C0790B" w:rsidRDefault="00C0790B">
      <w:pPr>
        <w:spacing w:after="0" w:line="240" w:lineRule="auto"/>
      </w:pPr>
      <w:r>
        <w:separator/>
      </w:r>
    </w:p>
  </w:endnote>
  <w:endnote w:type="continuationSeparator" w:id="0">
    <w:p w14:paraId="0C4FED78" w14:textId="77777777" w:rsidR="00C0790B" w:rsidRDefault="00C0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587535"/>
      <w:docPartObj>
        <w:docPartGallery w:val="Page Numbers (Bottom of Page)"/>
        <w:docPartUnique/>
      </w:docPartObj>
    </w:sdtPr>
    <w:sdtEndPr>
      <w:rPr>
        <w:noProof/>
      </w:rPr>
    </w:sdtEndPr>
    <w:sdtContent>
      <w:p w14:paraId="11739D7D" w14:textId="50891D8D" w:rsidR="00061EEF" w:rsidRDefault="00061E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10" w14:textId="7D11082D" w:rsidR="007700C5" w:rsidRDefault="007700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BEDB8" w14:textId="77777777" w:rsidR="00C0790B" w:rsidRDefault="00C0790B">
      <w:pPr>
        <w:spacing w:after="0" w:line="240" w:lineRule="auto"/>
      </w:pPr>
      <w:r>
        <w:separator/>
      </w:r>
    </w:p>
  </w:footnote>
  <w:footnote w:type="continuationSeparator" w:id="0">
    <w:p w14:paraId="3B890673" w14:textId="77777777" w:rsidR="00C0790B" w:rsidRDefault="00C0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7700C5" w:rsidRDefault="00BC7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7700C5" w:rsidRDefault="00BC7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B" w14:textId="77777777" w:rsidR="007700C5" w:rsidRDefault="00BC7B2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7700C5" w:rsidRDefault="007700C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2C0E"/>
    <w:multiLevelType w:val="multilevel"/>
    <w:tmpl w:val="C2386C5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551AA3"/>
    <w:multiLevelType w:val="multilevel"/>
    <w:tmpl w:val="68C27BE0"/>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C5"/>
    <w:rsid w:val="00061EEF"/>
    <w:rsid w:val="007700C5"/>
    <w:rsid w:val="009A694B"/>
    <w:rsid w:val="00BC7B2E"/>
    <w:rsid w:val="00C0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7D0B"/>
  <w15:docId w15:val="{187A313A-70AD-4EA5-9925-6E023391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1EEF"/>
    <w:pPr>
      <w:spacing w:after="0" w:line="240" w:lineRule="auto"/>
      <w:ind w:left="720"/>
    </w:pPr>
    <w:rPr>
      <w:rFonts w:ascii="Arial" w:eastAsia="SimSun" w:hAnsi="Arial" w:cs="Arial"/>
      <w:szCs w:val="24"/>
      <w:lang w:eastAsia="zh-CN"/>
    </w:rPr>
  </w:style>
  <w:style w:type="table" w:customStyle="1" w:styleId="6">
    <w:name w:val="6"/>
    <w:basedOn w:val="TableNormal"/>
    <w:rsid w:val="00061EEF"/>
    <w:pPr>
      <w:spacing w:after="0" w:line="240" w:lineRule="auto"/>
      <w:jc w:val="both"/>
    </w:pPr>
    <w:rPr>
      <w:rFonts w:ascii="Arial" w:eastAsia="SimSun" w:hAnsi="Arial" w:cs="Arial"/>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061EEF"/>
    <w:pPr>
      <w:spacing w:after="0" w:line="240" w:lineRule="auto"/>
      <w:jc w:val="both"/>
    </w:pPr>
    <w:rPr>
      <w:rFonts w:ascii="Arial" w:eastAsia="SimSun" w:hAnsi="Arial" w:cs="Arial"/>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rsid w:val="00061EEF"/>
    <w:pPr>
      <w:spacing w:after="0" w:line="240" w:lineRule="auto"/>
      <w:jc w:val="both"/>
    </w:pPr>
    <w:rPr>
      <w:rFonts w:ascii="Arial" w:eastAsia="SimSun" w:hAnsi="Arial" w:cs="Arial"/>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t6ucpQ4FLjA6exnRx1IW2jac2g==">AMUW2mXis9JkFdbbnBwJX+nzau8O+kW3SOO3eNlWCsEaUZfX/OAXVdUJ4axt/V4FZ2FPpvLTfW0ZJVlfGFk/HY535RuzI14Kw1I6X6dap+grK4Topjjs7iJxTfLMBAZKWHHHxq2LKXCt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Oliver Backhouse</cp:lastModifiedBy>
  <cp:revision>2</cp:revision>
  <dcterms:created xsi:type="dcterms:W3CDTF">2024-05-08T15:01:00Z</dcterms:created>
  <dcterms:modified xsi:type="dcterms:W3CDTF">2024-05-08T15:01:00Z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