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4798A" w14:textId="77777777" w:rsidR="005F5674" w:rsidRDefault="00680ADE">
      <w:r>
        <w:rPr>
          <w:noProof/>
        </w:rPr>
        <w:drawing>
          <wp:anchor distT="0" distB="0" distL="114300" distR="114300" simplePos="0" relativeHeight="251658240" behindDoc="0" locked="0" layoutInCell="1" allowOverlap="1" wp14:anchorId="138E29E7" wp14:editId="4FEA441B">
            <wp:simplePos x="0" y="0"/>
            <wp:positionH relativeFrom="column">
              <wp:align>left</wp:align>
            </wp:positionH>
            <wp:positionV relativeFrom="paragraph">
              <wp:align>top</wp:align>
            </wp:positionV>
            <wp:extent cx="2476440" cy="2070000"/>
            <wp:effectExtent l="0" t="0" r="60" b="10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2476440" cy="2070000"/>
                    </a:xfrm>
                    <a:prstGeom prst="rect">
                      <a:avLst/>
                    </a:prstGeom>
                    <a:noFill/>
                    <a:ln>
                      <a:noFill/>
                      <a:prstDash/>
                    </a:ln>
                  </pic:spPr>
                </pic:pic>
              </a:graphicData>
            </a:graphic>
          </wp:anchor>
        </w:drawing>
      </w:r>
      <w:r>
        <w:br/>
      </w:r>
    </w:p>
    <w:p w14:paraId="690783B7" w14:textId="77777777" w:rsidR="005F5674" w:rsidRDefault="005F5674">
      <w:pPr>
        <w:pStyle w:val="Heading1"/>
      </w:pPr>
      <w:bookmarkStart w:id="0" w:name="_Toc32303547"/>
    </w:p>
    <w:p w14:paraId="6054E27D" w14:textId="77777777" w:rsidR="005F5674" w:rsidRDefault="005F5674">
      <w:pPr>
        <w:pStyle w:val="Heading1"/>
      </w:pPr>
    </w:p>
    <w:p w14:paraId="3381BB8A" w14:textId="77777777" w:rsidR="005F5674" w:rsidRDefault="005F5674">
      <w:pPr>
        <w:pStyle w:val="Heading1"/>
      </w:pPr>
    </w:p>
    <w:p w14:paraId="130466B7" w14:textId="77777777" w:rsidR="005F5674" w:rsidRDefault="00680ADE">
      <w:pPr>
        <w:pStyle w:val="Heading1"/>
      </w:pPr>
      <w:bookmarkStart w:id="1" w:name="_Toc33176231"/>
      <w:r>
        <w:t>G-Cloud 12 Call-Off Contract</w:t>
      </w:r>
      <w:bookmarkEnd w:id="0"/>
      <w:bookmarkEnd w:id="1"/>
    </w:p>
    <w:p w14:paraId="2AE53C32" w14:textId="77777777" w:rsidR="005F5674" w:rsidRDefault="005F5674">
      <w:pPr>
        <w:rPr>
          <w:sz w:val="28"/>
          <w:szCs w:val="28"/>
        </w:rPr>
      </w:pPr>
    </w:p>
    <w:p w14:paraId="3743091B" w14:textId="77777777" w:rsidR="005F5674" w:rsidRDefault="005F5674">
      <w:pPr>
        <w:rPr>
          <w:sz w:val="28"/>
          <w:szCs w:val="28"/>
        </w:rPr>
      </w:pPr>
    </w:p>
    <w:p w14:paraId="21C11A77" w14:textId="77777777" w:rsidR="005F5674" w:rsidRDefault="00680ADE">
      <w:pPr>
        <w:rPr>
          <w:rFonts w:eastAsia="Times New Roman"/>
          <w:lang w:eastAsia="en-US"/>
        </w:rPr>
      </w:pPr>
      <w:r>
        <w:rPr>
          <w:rFonts w:eastAsia="Times New Roman"/>
          <w:lang w:eastAsia="en-US"/>
        </w:rPr>
        <w:t>This Call-Off Contract for the G-Cloud 12 Framework Agreement (RM1557.12) includes:</w:t>
      </w:r>
    </w:p>
    <w:p w14:paraId="08210FEA" w14:textId="77777777" w:rsidR="005F5674" w:rsidRDefault="00680ADE">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776C3ED3" w14:textId="77777777" w:rsidR="005F5674" w:rsidRDefault="00680ADE">
      <w:pPr>
        <w:pStyle w:val="TOC2"/>
      </w:pPr>
      <w:r>
        <w:rPr>
          <w:rFonts w:ascii="Arial" w:hAnsi="Arial"/>
          <w:b w:val="0"/>
        </w:rPr>
        <w:t>Part A: Order Form</w:t>
      </w:r>
      <w:r>
        <w:rPr>
          <w:rFonts w:ascii="Arial" w:hAnsi="Arial"/>
          <w:b w:val="0"/>
        </w:rPr>
        <w:tab/>
        <w:t>2</w:t>
      </w:r>
    </w:p>
    <w:p w14:paraId="0EB3150C" w14:textId="77777777" w:rsidR="005F5674" w:rsidRDefault="00680ADE">
      <w:pPr>
        <w:pStyle w:val="TOC2"/>
      </w:pPr>
      <w:r>
        <w:rPr>
          <w:rFonts w:ascii="Arial" w:hAnsi="Arial"/>
          <w:b w:val="0"/>
        </w:rPr>
        <w:t>Schedule 1: Services</w:t>
      </w:r>
      <w:r>
        <w:rPr>
          <w:rFonts w:ascii="Arial" w:hAnsi="Arial"/>
          <w:b w:val="0"/>
        </w:rPr>
        <w:tab/>
        <w:t>12</w:t>
      </w:r>
    </w:p>
    <w:p w14:paraId="073B3286" w14:textId="77777777" w:rsidR="005F5674" w:rsidRDefault="00680ADE">
      <w:pPr>
        <w:pStyle w:val="TOC2"/>
      </w:pPr>
      <w:r>
        <w:rPr>
          <w:rFonts w:ascii="Arial" w:hAnsi="Arial"/>
          <w:b w:val="0"/>
        </w:rPr>
        <w:t>Schedule 2: Call-Off Contract charges</w:t>
      </w:r>
      <w:r>
        <w:rPr>
          <w:rFonts w:ascii="Arial" w:hAnsi="Arial"/>
          <w:b w:val="0"/>
        </w:rPr>
        <w:tab/>
        <w:t>12</w:t>
      </w:r>
    </w:p>
    <w:p w14:paraId="050DE4E6" w14:textId="77777777" w:rsidR="005F5674" w:rsidRDefault="00680ADE">
      <w:pPr>
        <w:pStyle w:val="TOC2"/>
      </w:pPr>
      <w:r>
        <w:rPr>
          <w:rFonts w:ascii="Arial" w:hAnsi="Arial"/>
          <w:b w:val="0"/>
        </w:rPr>
        <w:t>Part B: Terms and conditions</w:t>
      </w:r>
      <w:r>
        <w:rPr>
          <w:rFonts w:ascii="Arial" w:hAnsi="Arial"/>
          <w:b w:val="0"/>
        </w:rPr>
        <w:tab/>
        <w:t>13</w:t>
      </w:r>
    </w:p>
    <w:p w14:paraId="0112F119" w14:textId="77777777" w:rsidR="005F5674" w:rsidRDefault="00680ADE">
      <w:pPr>
        <w:pStyle w:val="TOC2"/>
      </w:pPr>
      <w:r>
        <w:rPr>
          <w:rFonts w:ascii="Arial" w:hAnsi="Arial"/>
          <w:b w:val="0"/>
        </w:rPr>
        <w:t>Schedule 3: Collaboration agreement</w:t>
      </w:r>
      <w:r>
        <w:rPr>
          <w:rFonts w:ascii="Arial" w:hAnsi="Arial"/>
          <w:b w:val="0"/>
        </w:rPr>
        <w:tab/>
        <w:t>32</w:t>
      </w:r>
    </w:p>
    <w:p w14:paraId="4EB7FFA2" w14:textId="77777777" w:rsidR="005F5674" w:rsidRDefault="00680ADE">
      <w:pPr>
        <w:pStyle w:val="TOC2"/>
      </w:pPr>
      <w:r>
        <w:rPr>
          <w:rFonts w:ascii="Arial" w:hAnsi="Arial"/>
          <w:b w:val="0"/>
        </w:rPr>
        <w:t>Schedule 4: Alternative clauses</w:t>
      </w:r>
      <w:r>
        <w:rPr>
          <w:rFonts w:ascii="Arial" w:hAnsi="Arial"/>
          <w:b w:val="0"/>
        </w:rPr>
        <w:tab/>
        <w:t>44</w:t>
      </w:r>
    </w:p>
    <w:p w14:paraId="03D6C27F" w14:textId="77777777" w:rsidR="005F5674" w:rsidRDefault="00680ADE">
      <w:pPr>
        <w:pStyle w:val="TOC2"/>
      </w:pPr>
      <w:r>
        <w:rPr>
          <w:rFonts w:ascii="Arial" w:hAnsi="Arial"/>
          <w:b w:val="0"/>
        </w:rPr>
        <w:t>Schedule 5: Guarantee</w:t>
      </w:r>
      <w:r>
        <w:rPr>
          <w:rFonts w:ascii="Arial" w:hAnsi="Arial"/>
          <w:b w:val="0"/>
        </w:rPr>
        <w:tab/>
        <w:t>49</w:t>
      </w:r>
    </w:p>
    <w:p w14:paraId="60F03C81" w14:textId="77777777" w:rsidR="005F5674" w:rsidRDefault="00680ADE">
      <w:pPr>
        <w:pStyle w:val="TOC2"/>
      </w:pPr>
      <w:r>
        <w:rPr>
          <w:rFonts w:ascii="Arial" w:hAnsi="Arial"/>
          <w:b w:val="0"/>
        </w:rPr>
        <w:t>Schedule 6: Glossary and interpretations</w:t>
      </w:r>
      <w:r>
        <w:rPr>
          <w:rFonts w:ascii="Arial" w:hAnsi="Arial"/>
          <w:b w:val="0"/>
        </w:rPr>
        <w:tab/>
        <w:t>57</w:t>
      </w:r>
    </w:p>
    <w:p w14:paraId="7B4E0DCE" w14:textId="77777777" w:rsidR="005F5674" w:rsidRDefault="00680ADE">
      <w:pPr>
        <w:pStyle w:val="TOC2"/>
      </w:pPr>
      <w:r>
        <w:rPr>
          <w:rFonts w:ascii="Arial" w:hAnsi="Arial"/>
          <w:b w:val="0"/>
        </w:rPr>
        <w:t>Schedule 7: GDPR Information</w:t>
      </w:r>
      <w:r>
        <w:rPr>
          <w:rFonts w:ascii="Arial" w:hAnsi="Arial"/>
          <w:b w:val="0"/>
        </w:rPr>
        <w:tab/>
        <w:t>68</w:t>
      </w:r>
    </w:p>
    <w:p w14:paraId="7C749C15" w14:textId="77777777" w:rsidR="005F5674" w:rsidRDefault="00680ADE">
      <w:pPr>
        <w:pageBreakBefore/>
      </w:pPr>
      <w:r>
        <w:rPr>
          <w:rFonts w:ascii="Cambria" w:eastAsia="Cambria" w:hAnsi="Cambria" w:cs="Cambria"/>
          <w:b/>
          <w:bCs/>
        </w:rPr>
        <w:lastRenderedPageBreak/>
        <w:fldChar w:fldCharType="end"/>
      </w:r>
    </w:p>
    <w:p w14:paraId="2094C266" w14:textId="77777777" w:rsidR="005F5674" w:rsidRDefault="00680ADE">
      <w:pPr>
        <w:pStyle w:val="Heading2"/>
      </w:pPr>
      <w:bookmarkStart w:id="2" w:name="_Toc33176232"/>
      <w:r>
        <w:t>Part A: Order Form</w:t>
      </w:r>
      <w:bookmarkEnd w:id="2"/>
    </w:p>
    <w:p w14:paraId="05F284C5" w14:textId="77777777" w:rsidR="005F5674" w:rsidRDefault="00680ADE">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5F5674" w14:paraId="653F52C8" w14:textId="77777777" w:rsidTr="00CE7F4E">
        <w:trPr>
          <w:trHeight w:val="780"/>
        </w:trPr>
        <w:tc>
          <w:tcPr>
            <w:tcW w:w="4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DC3882" w14:textId="77777777" w:rsidR="005F5674" w:rsidRDefault="00680ADE">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72709CE1" w14:textId="0B1C774D" w:rsidR="005F5674" w:rsidRDefault="00CE7F4E" w:rsidP="00CE7F4E">
            <w:pPr>
              <w:suppressAutoHyphens w:val="0"/>
            </w:pPr>
            <w:r w:rsidRPr="00CE7F4E">
              <w:t>330440526325249</w:t>
            </w:r>
          </w:p>
        </w:tc>
      </w:tr>
      <w:tr w:rsidR="005F5674" w14:paraId="6B6A8CA7"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957A3FD" w14:textId="77777777" w:rsidR="005F5674" w:rsidRDefault="00680ADE">
            <w:pPr>
              <w:spacing w:before="240"/>
              <w:rPr>
                <w:b/>
              </w:rPr>
            </w:pPr>
            <w:r>
              <w:rPr>
                <w:b/>
              </w:rPr>
              <w:t>Call-Off Contract reference</w:t>
            </w:r>
          </w:p>
        </w:tc>
        <w:tc>
          <w:tcPr>
            <w:tcW w:w="4365" w:type="dxa"/>
            <w:tcBorders>
              <w:bottom w:val="single" w:sz="8" w:space="0" w:color="000000"/>
              <w:right w:val="single" w:sz="8" w:space="0" w:color="000000"/>
            </w:tcBorders>
            <w:tcMar>
              <w:top w:w="100" w:type="dxa"/>
              <w:left w:w="100" w:type="dxa"/>
              <w:bottom w:w="100" w:type="dxa"/>
              <w:right w:w="100" w:type="dxa"/>
            </w:tcMar>
          </w:tcPr>
          <w:p w14:paraId="423AF8E0" w14:textId="669522CE" w:rsidR="005F5674" w:rsidRDefault="00CE7F4E">
            <w:pPr>
              <w:spacing w:before="240"/>
            </w:pPr>
            <w:r>
              <w:t>TRN</w:t>
            </w:r>
            <w:r w:rsidR="00850314">
              <w:t xml:space="preserve"> </w:t>
            </w:r>
            <w:r w:rsidR="00850314" w:rsidRPr="00850314">
              <w:t>5438/10/2021</w:t>
            </w:r>
          </w:p>
        </w:tc>
      </w:tr>
      <w:tr w:rsidR="005F5674" w14:paraId="7FA93D4B"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A2D65B" w14:textId="77777777" w:rsidR="005F5674" w:rsidRDefault="00680ADE">
            <w:pPr>
              <w:spacing w:before="240"/>
              <w:rPr>
                <w:b/>
              </w:rPr>
            </w:pPr>
            <w:r>
              <w:rPr>
                <w:b/>
              </w:rPr>
              <w:t>Call-Off Contract title</w:t>
            </w:r>
          </w:p>
        </w:tc>
        <w:tc>
          <w:tcPr>
            <w:tcW w:w="4365" w:type="dxa"/>
            <w:tcBorders>
              <w:bottom w:val="single" w:sz="8" w:space="0" w:color="000000"/>
              <w:right w:val="single" w:sz="8" w:space="0" w:color="000000"/>
            </w:tcBorders>
            <w:tcMar>
              <w:top w:w="100" w:type="dxa"/>
              <w:left w:w="100" w:type="dxa"/>
              <w:bottom w:w="100" w:type="dxa"/>
              <w:right w:w="100" w:type="dxa"/>
            </w:tcMar>
          </w:tcPr>
          <w:p w14:paraId="0F064C49" w14:textId="7DB0AA34" w:rsidR="005F5674" w:rsidRDefault="00CE7F4E">
            <w:pPr>
              <w:spacing w:before="240"/>
            </w:pPr>
            <w:r>
              <w:t>ISU Case Management System – IT Health Check</w:t>
            </w:r>
          </w:p>
        </w:tc>
      </w:tr>
      <w:tr w:rsidR="005F5674" w14:paraId="4AF22C06"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A16FF8" w14:textId="77777777" w:rsidR="005F5674" w:rsidRDefault="00680ADE">
            <w:pPr>
              <w:spacing w:before="240"/>
              <w:rPr>
                <w:b/>
              </w:rPr>
            </w:pPr>
            <w:r>
              <w:rPr>
                <w:b/>
              </w:rPr>
              <w:t>Call-Off Contract description</w:t>
            </w:r>
          </w:p>
        </w:tc>
        <w:tc>
          <w:tcPr>
            <w:tcW w:w="4365" w:type="dxa"/>
            <w:tcBorders>
              <w:bottom w:val="single" w:sz="8" w:space="0" w:color="000000"/>
              <w:right w:val="single" w:sz="8" w:space="0" w:color="000000"/>
            </w:tcBorders>
            <w:tcMar>
              <w:top w:w="100" w:type="dxa"/>
              <w:left w:w="100" w:type="dxa"/>
              <w:bottom w:w="100" w:type="dxa"/>
              <w:right w:w="100" w:type="dxa"/>
            </w:tcMar>
          </w:tcPr>
          <w:p w14:paraId="3E512B2D" w14:textId="3DBAE37B" w:rsidR="005F5674" w:rsidRDefault="00CE7F4E">
            <w:pPr>
              <w:spacing w:before="240"/>
            </w:pPr>
            <w:r>
              <w:t xml:space="preserve">This Contract is for the delivery of a </w:t>
            </w:r>
            <w:proofErr w:type="spellStart"/>
            <w:r>
              <w:t>HealthCheck</w:t>
            </w:r>
            <w:proofErr w:type="spellEnd"/>
            <w:r>
              <w:t xml:space="preserve"> of the Investment Security Unit (ISU) Case Management System, with the option of a further check in the following Financial Year.</w:t>
            </w:r>
          </w:p>
        </w:tc>
      </w:tr>
      <w:tr w:rsidR="005F5674" w14:paraId="592B2153"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78FB161" w14:textId="77777777" w:rsidR="005F5674" w:rsidRDefault="00680ADE">
            <w:pPr>
              <w:spacing w:before="240"/>
              <w:rPr>
                <w:b/>
              </w:rPr>
            </w:pPr>
            <w:r>
              <w:rPr>
                <w:b/>
              </w:rPr>
              <w:t>Start date</w:t>
            </w:r>
          </w:p>
        </w:tc>
        <w:tc>
          <w:tcPr>
            <w:tcW w:w="4365" w:type="dxa"/>
            <w:tcBorders>
              <w:bottom w:val="single" w:sz="8" w:space="0" w:color="000000"/>
              <w:right w:val="single" w:sz="8" w:space="0" w:color="000000"/>
            </w:tcBorders>
            <w:tcMar>
              <w:top w:w="100" w:type="dxa"/>
              <w:left w:w="100" w:type="dxa"/>
              <w:bottom w:w="100" w:type="dxa"/>
              <w:right w:w="100" w:type="dxa"/>
            </w:tcMar>
          </w:tcPr>
          <w:p w14:paraId="6E94AFDA" w14:textId="306FF0B2" w:rsidR="005F5674" w:rsidRDefault="003F658E">
            <w:pPr>
              <w:spacing w:before="240"/>
            </w:pPr>
            <w:r>
              <w:t>1</w:t>
            </w:r>
            <w:r w:rsidR="00CE7F4E">
              <w:t xml:space="preserve"> November 2021</w:t>
            </w:r>
          </w:p>
        </w:tc>
      </w:tr>
      <w:tr w:rsidR="005F5674" w14:paraId="0173FED0"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6AA52FA" w14:textId="77777777" w:rsidR="005F5674" w:rsidRDefault="00680ADE">
            <w:pPr>
              <w:spacing w:before="240"/>
              <w:rPr>
                <w:b/>
              </w:rPr>
            </w:pPr>
            <w:r>
              <w:rPr>
                <w:b/>
              </w:rPr>
              <w:t>Expiry date</w:t>
            </w:r>
          </w:p>
        </w:tc>
        <w:tc>
          <w:tcPr>
            <w:tcW w:w="4365" w:type="dxa"/>
            <w:tcBorders>
              <w:bottom w:val="single" w:sz="8" w:space="0" w:color="000000"/>
              <w:right w:val="single" w:sz="8" w:space="0" w:color="000000"/>
            </w:tcBorders>
            <w:tcMar>
              <w:top w:w="100" w:type="dxa"/>
              <w:left w:w="100" w:type="dxa"/>
              <w:bottom w:w="100" w:type="dxa"/>
              <w:right w:w="100" w:type="dxa"/>
            </w:tcMar>
          </w:tcPr>
          <w:p w14:paraId="2F3E3B41" w14:textId="5561EC04" w:rsidR="005F5674" w:rsidRDefault="003F658E">
            <w:pPr>
              <w:spacing w:before="240"/>
            </w:pPr>
            <w:r>
              <w:t>1</w:t>
            </w:r>
            <w:r w:rsidR="00CE7F4E">
              <w:t xml:space="preserve"> </w:t>
            </w:r>
            <w:r>
              <w:t>February</w:t>
            </w:r>
            <w:r w:rsidR="00CE7F4E">
              <w:t xml:space="preserve"> 2023</w:t>
            </w:r>
          </w:p>
        </w:tc>
      </w:tr>
      <w:tr w:rsidR="005F5674" w14:paraId="73B012A5"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A032F01" w14:textId="77777777" w:rsidR="005F5674" w:rsidRDefault="00680ADE">
            <w:pPr>
              <w:spacing w:before="240"/>
              <w:rPr>
                <w:b/>
              </w:rPr>
            </w:pPr>
            <w:r>
              <w:rPr>
                <w:b/>
              </w:rPr>
              <w:t>Call-Off Contract value</w:t>
            </w:r>
          </w:p>
        </w:tc>
        <w:tc>
          <w:tcPr>
            <w:tcW w:w="4365" w:type="dxa"/>
            <w:tcBorders>
              <w:bottom w:val="single" w:sz="8" w:space="0" w:color="000000"/>
              <w:right w:val="single" w:sz="8" w:space="0" w:color="000000"/>
            </w:tcBorders>
            <w:tcMar>
              <w:top w:w="100" w:type="dxa"/>
              <w:left w:w="100" w:type="dxa"/>
              <w:bottom w:w="100" w:type="dxa"/>
              <w:right w:w="100" w:type="dxa"/>
            </w:tcMar>
          </w:tcPr>
          <w:p w14:paraId="472F111B" w14:textId="3CCF3358" w:rsidR="005F5674" w:rsidRDefault="009D0F73">
            <w:pPr>
              <w:spacing w:before="240"/>
            </w:pPr>
            <w:r>
              <w:t>£22,000 (excluding VAT)</w:t>
            </w:r>
          </w:p>
        </w:tc>
      </w:tr>
      <w:tr w:rsidR="005F5674" w14:paraId="4E070895"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C83BFA" w14:textId="77777777" w:rsidR="005F5674" w:rsidRDefault="00680ADE">
            <w:pPr>
              <w:spacing w:before="240"/>
              <w:rPr>
                <w:b/>
              </w:rPr>
            </w:pPr>
            <w:r>
              <w:rPr>
                <w:b/>
              </w:rPr>
              <w:t>Charging method</w:t>
            </w:r>
          </w:p>
        </w:tc>
        <w:tc>
          <w:tcPr>
            <w:tcW w:w="4365" w:type="dxa"/>
            <w:tcBorders>
              <w:bottom w:val="single" w:sz="8" w:space="0" w:color="000000"/>
              <w:right w:val="single" w:sz="8" w:space="0" w:color="000000"/>
            </w:tcBorders>
            <w:tcMar>
              <w:top w:w="100" w:type="dxa"/>
              <w:left w:w="100" w:type="dxa"/>
              <w:bottom w:w="100" w:type="dxa"/>
              <w:right w:w="100" w:type="dxa"/>
            </w:tcMar>
          </w:tcPr>
          <w:p w14:paraId="50B1BF5C" w14:textId="24340D3A" w:rsidR="005F5674" w:rsidRDefault="00CE7F4E">
            <w:pPr>
              <w:spacing w:before="240"/>
            </w:pPr>
            <w:r>
              <w:t>BACS Transfer, in arrears. See Schedule 2 for further detail</w:t>
            </w:r>
          </w:p>
        </w:tc>
      </w:tr>
      <w:tr w:rsidR="005F5674" w14:paraId="0CAB6933"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EE12600" w14:textId="77777777" w:rsidR="005F5674" w:rsidRDefault="00680ADE">
            <w:pPr>
              <w:spacing w:before="240"/>
              <w:rPr>
                <w:b/>
              </w:rPr>
            </w:pPr>
            <w:r>
              <w:rPr>
                <w:b/>
              </w:rPr>
              <w:t>Purchase order number</w:t>
            </w:r>
          </w:p>
        </w:tc>
        <w:tc>
          <w:tcPr>
            <w:tcW w:w="4365" w:type="dxa"/>
            <w:tcBorders>
              <w:bottom w:val="single" w:sz="8" w:space="0" w:color="000000"/>
              <w:right w:val="single" w:sz="8" w:space="0" w:color="000000"/>
            </w:tcBorders>
            <w:tcMar>
              <w:top w:w="100" w:type="dxa"/>
              <w:left w:w="100" w:type="dxa"/>
              <w:bottom w:w="100" w:type="dxa"/>
              <w:right w:w="100" w:type="dxa"/>
            </w:tcMar>
          </w:tcPr>
          <w:p w14:paraId="1E7BC118" w14:textId="7CB49FD1" w:rsidR="005F5674" w:rsidRDefault="00CE7F4E">
            <w:pPr>
              <w:spacing w:before="240"/>
            </w:pPr>
            <w:r>
              <w:t>To be provided by the Buyer to the Supplier as soon as practicable following Contract signature.</w:t>
            </w:r>
          </w:p>
        </w:tc>
      </w:tr>
    </w:tbl>
    <w:p w14:paraId="26EF74D6" w14:textId="77777777" w:rsidR="005F5674" w:rsidRDefault="00680ADE">
      <w:pPr>
        <w:spacing w:before="240"/>
      </w:pPr>
      <w:r>
        <w:t xml:space="preserve"> </w:t>
      </w:r>
    </w:p>
    <w:p w14:paraId="4B620F22" w14:textId="77777777" w:rsidR="005F5674" w:rsidRDefault="00680ADE">
      <w:pPr>
        <w:spacing w:before="240" w:after="240"/>
      </w:pPr>
      <w:r>
        <w:t>This Order Form is issued under the G-Cloud 12 Framework Agreement (RM1557.12).</w:t>
      </w:r>
    </w:p>
    <w:p w14:paraId="0BEB5995" w14:textId="77777777" w:rsidR="005F5674" w:rsidRDefault="00680ADE">
      <w:pPr>
        <w:spacing w:before="240"/>
      </w:pPr>
      <w:r>
        <w:t>Buyers can use this Order Form to specify their G-Cloud service requirements when placing an Order.</w:t>
      </w:r>
    </w:p>
    <w:p w14:paraId="5ED84E84" w14:textId="77777777" w:rsidR="005F5674" w:rsidRDefault="00680ADE">
      <w:pPr>
        <w:spacing w:before="240"/>
      </w:pPr>
      <w:r>
        <w:t>The Order Form cannot be used to alter existing terms or add any extra terms that materially change the Deliverables offered by the Supplier and defined in the Application.</w:t>
      </w:r>
    </w:p>
    <w:p w14:paraId="2B49104C" w14:textId="77777777" w:rsidR="005F5674" w:rsidRDefault="00680ADE">
      <w:pPr>
        <w:spacing w:before="240"/>
      </w:pPr>
      <w:r>
        <w:lastRenderedPageBreak/>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5F5674" w14:paraId="229B0A42" w14:textId="77777777">
        <w:trPr>
          <w:trHeight w:val="3660"/>
        </w:trPr>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02EE21" w14:textId="77777777" w:rsidR="005F5674" w:rsidRDefault="00680ADE">
            <w:pPr>
              <w:spacing w:before="240"/>
              <w:rPr>
                <w:b/>
              </w:rPr>
            </w:pPr>
            <w:r>
              <w:rPr>
                <w:b/>
              </w:rPr>
              <w:t>From the Buyer</w:t>
            </w:r>
          </w:p>
        </w:tc>
        <w:tc>
          <w:tcPr>
            <w:tcW w:w="68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4763C81" w14:textId="2B2ABF6A" w:rsidR="00CE7F4E" w:rsidRDefault="00CE7F4E" w:rsidP="00CE7F4E">
            <w:pPr>
              <w:spacing w:before="240"/>
            </w:pPr>
            <w:r>
              <w:t>The Department for Business, Energy, and Industrial Strategy (BEIS)</w:t>
            </w:r>
          </w:p>
          <w:p w14:paraId="21FDFEAE" w14:textId="2B4FC5B5" w:rsidR="00CE7F4E" w:rsidRDefault="00CE7F4E" w:rsidP="00CE7F4E">
            <w:pPr>
              <w:spacing w:before="240"/>
            </w:pPr>
            <w:r>
              <w:t>1 Victoria Street,</w:t>
            </w:r>
          </w:p>
          <w:p w14:paraId="2E606BB9" w14:textId="496627A1" w:rsidR="00CE7F4E" w:rsidRDefault="00CE7F4E" w:rsidP="00CE7F4E">
            <w:pPr>
              <w:spacing w:before="240"/>
            </w:pPr>
            <w:r>
              <w:t>London</w:t>
            </w:r>
          </w:p>
          <w:p w14:paraId="6F0B392E" w14:textId="3BE10D49" w:rsidR="00CE7F4E" w:rsidRDefault="00CE7F4E" w:rsidP="00CE7F4E">
            <w:pPr>
              <w:spacing w:before="240"/>
            </w:pPr>
            <w:r>
              <w:t>SW1H 0ET</w:t>
            </w:r>
          </w:p>
          <w:p w14:paraId="113E6AFC" w14:textId="38641581" w:rsidR="005F5674" w:rsidRDefault="005F5674">
            <w:pPr>
              <w:spacing w:before="240"/>
            </w:pPr>
          </w:p>
        </w:tc>
      </w:tr>
      <w:tr w:rsidR="005F5674" w14:paraId="384EDC15" w14:textId="77777777">
        <w:trPr>
          <w:trHeight w:val="5220"/>
        </w:trPr>
        <w:tc>
          <w:tcPr>
            <w:tcW w:w="20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0E54F1C" w14:textId="77777777" w:rsidR="005F5674" w:rsidRDefault="00680ADE">
            <w:pPr>
              <w:spacing w:before="240"/>
              <w:rPr>
                <w:b/>
              </w:rPr>
            </w:pPr>
            <w:r>
              <w:rPr>
                <w:b/>
              </w:rPr>
              <w:t>To the Supplier</w:t>
            </w:r>
          </w:p>
        </w:tc>
        <w:tc>
          <w:tcPr>
            <w:tcW w:w="6825" w:type="dxa"/>
            <w:tcBorders>
              <w:bottom w:val="single" w:sz="8" w:space="0" w:color="000000"/>
              <w:right w:val="single" w:sz="8" w:space="0" w:color="000000"/>
            </w:tcBorders>
            <w:tcMar>
              <w:top w:w="100" w:type="dxa"/>
              <w:left w:w="100" w:type="dxa"/>
              <w:bottom w:w="100" w:type="dxa"/>
              <w:right w:w="100" w:type="dxa"/>
            </w:tcMar>
          </w:tcPr>
          <w:p w14:paraId="6818A36F" w14:textId="51D1B1D6" w:rsidR="005F5674" w:rsidRDefault="00CE7F4E">
            <w:pPr>
              <w:spacing w:before="240"/>
            </w:pPr>
            <w:r>
              <w:t>CCL Solutions Group Limited</w:t>
            </w:r>
          </w:p>
          <w:p w14:paraId="438BB1C5" w14:textId="77777777" w:rsidR="00CE7F4E" w:rsidRPr="00CE7F4E" w:rsidRDefault="00CE7F4E" w:rsidP="00CE7F4E">
            <w:pPr>
              <w:spacing w:before="240"/>
            </w:pPr>
            <w:r w:rsidRPr="00CE7F4E">
              <w:t xml:space="preserve">34-36 Cygnet Court, </w:t>
            </w:r>
          </w:p>
          <w:p w14:paraId="7A7D7FE7" w14:textId="77777777" w:rsidR="00CE7F4E" w:rsidRPr="00CE7F4E" w:rsidRDefault="00CE7F4E" w:rsidP="00CE7F4E">
            <w:pPr>
              <w:spacing w:before="240"/>
            </w:pPr>
            <w:r w:rsidRPr="00CE7F4E">
              <w:t xml:space="preserve">Timothy's Bridge Rd, </w:t>
            </w:r>
          </w:p>
          <w:p w14:paraId="1EEFED1A" w14:textId="77777777" w:rsidR="00CE7F4E" w:rsidRPr="00CE7F4E" w:rsidRDefault="00CE7F4E" w:rsidP="00CE7F4E">
            <w:pPr>
              <w:spacing w:before="240"/>
            </w:pPr>
            <w:r w:rsidRPr="00CE7F4E">
              <w:t xml:space="preserve">Stratford-upon-Avon </w:t>
            </w:r>
          </w:p>
          <w:p w14:paraId="2996EE65" w14:textId="150E8CB4" w:rsidR="00CE7F4E" w:rsidRDefault="00CE7F4E" w:rsidP="00CE7F4E">
            <w:pPr>
              <w:spacing w:before="240"/>
            </w:pPr>
            <w:r w:rsidRPr="00CE7F4E">
              <w:t>CV37 9NW</w:t>
            </w:r>
          </w:p>
          <w:p w14:paraId="6A388617" w14:textId="7CB89B38" w:rsidR="00CE7F4E" w:rsidRDefault="00CE7F4E" w:rsidP="00CE7F4E">
            <w:pPr>
              <w:spacing w:before="240"/>
            </w:pPr>
            <w:r>
              <w:t>UK</w:t>
            </w:r>
          </w:p>
          <w:p w14:paraId="6B78B98E" w14:textId="77777777" w:rsidR="00CE7F4E" w:rsidRDefault="00680ADE" w:rsidP="00CE7F4E">
            <w:pPr>
              <w:suppressAutoHyphens w:val="0"/>
            </w:pPr>
            <w:r>
              <w:t xml:space="preserve">Company number: </w:t>
            </w:r>
            <w:r w:rsidR="00CE7F4E" w:rsidRPr="00CE7F4E">
              <w:t>08128980</w:t>
            </w:r>
          </w:p>
          <w:p w14:paraId="0648F796" w14:textId="11736770" w:rsidR="005F5674" w:rsidRDefault="005F5674">
            <w:pPr>
              <w:spacing w:before="240"/>
            </w:pPr>
          </w:p>
        </w:tc>
      </w:tr>
      <w:tr w:rsidR="005F5674" w14:paraId="5F816A66" w14:textId="77777777">
        <w:trPr>
          <w:trHeight w:val="480"/>
        </w:trPr>
        <w:tc>
          <w:tcPr>
            <w:tcW w:w="888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445DDA02" w14:textId="77777777" w:rsidR="005F5674" w:rsidRDefault="00680ADE">
            <w:pPr>
              <w:spacing w:before="240" w:after="240"/>
              <w:rPr>
                <w:b/>
              </w:rPr>
            </w:pPr>
            <w:r>
              <w:rPr>
                <w:b/>
              </w:rPr>
              <w:t>Together the ‘Parties’</w:t>
            </w:r>
          </w:p>
        </w:tc>
      </w:tr>
    </w:tbl>
    <w:p w14:paraId="02DBA592" w14:textId="77777777" w:rsidR="005F5674" w:rsidRDefault="005F5674">
      <w:pPr>
        <w:spacing w:before="240" w:after="240"/>
        <w:rPr>
          <w:b/>
        </w:rPr>
      </w:pPr>
    </w:p>
    <w:p w14:paraId="3F6B95B3" w14:textId="77777777" w:rsidR="005F5674" w:rsidRDefault="00680ADE">
      <w:pPr>
        <w:pStyle w:val="Heading3"/>
        <w:rPr>
          <w:color w:val="auto"/>
        </w:rPr>
      </w:pPr>
      <w:r>
        <w:rPr>
          <w:color w:val="auto"/>
        </w:rPr>
        <w:t>Principal contact details</w:t>
      </w:r>
    </w:p>
    <w:p w14:paraId="1D5ACEB2" w14:textId="77777777" w:rsidR="005F5674" w:rsidRDefault="00680ADE">
      <w:pPr>
        <w:spacing w:before="240" w:after="120" w:line="480" w:lineRule="auto"/>
        <w:rPr>
          <w:b/>
        </w:rPr>
      </w:pPr>
      <w:r>
        <w:rPr>
          <w:b/>
        </w:rPr>
        <w:t>For the Buyer:</w:t>
      </w:r>
    </w:p>
    <w:p w14:paraId="3FB844E7" w14:textId="18C3DC92" w:rsidR="005F5674" w:rsidRDefault="00680ADE">
      <w:pPr>
        <w:spacing w:after="120"/>
      </w:pPr>
      <w:r>
        <w:t xml:space="preserve">Title: </w:t>
      </w:r>
      <w:r w:rsidR="00732BC0">
        <w:t>[redacted]</w:t>
      </w:r>
    </w:p>
    <w:p w14:paraId="1B381B46" w14:textId="0DFFED06" w:rsidR="005F5674" w:rsidRDefault="00680ADE" w:rsidP="00732BC0">
      <w:pPr>
        <w:spacing w:after="120"/>
      </w:pPr>
      <w:r>
        <w:t xml:space="preserve">Name: </w:t>
      </w:r>
      <w:r w:rsidR="00732BC0">
        <w:t>[redacted]</w:t>
      </w:r>
    </w:p>
    <w:p w14:paraId="527B1F99" w14:textId="2B7B8ABA" w:rsidR="005F5674" w:rsidRDefault="00680ADE" w:rsidP="00732BC0">
      <w:pPr>
        <w:spacing w:after="120"/>
      </w:pPr>
      <w:r>
        <w:t xml:space="preserve">Email: </w:t>
      </w:r>
      <w:r w:rsidR="00732BC0">
        <w:t>[redacted]</w:t>
      </w:r>
    </w:p>
    <w:p w14:paraId="50AFC5CE" w14:textId="77777777" w:rsidR="00732BC0" w:rsidRDefault="00680ADE" w:rsidP="00732BC0">
      <w:pPr>
        <w:spacing w:after="120"/>
      </w:pPr>
      <w:r>
        <w:t xml:space="preserve">Phone: </w:t>
      </w:r>
      <w:r w:rsidR="00732BC0">
        <w:t>[redacted]</w:t>
      </w:r>
    </w:p>
    <w:p w14:paraId="5878223F" w14:textId="0244445C" w:rsidR="005F5674" w:rsidRDefault="005F5674">
      <w:pPr>
        <w:spacing w:after="120" w:line="360" w:lineRule="auto"/>
      </w:pPr>
    </w:p>
    <w:p w14:paraId="13C6B9C9" w14:textId="77777777" w:rsidR="005F5674" w:rsidRDefault="005F5674">
      <w:pPr>
        <w:rPr>
          <w:b/>
        </w:rPr>
      </w:pPr>
    </w:p>
    <w:p w14:paraId="49D200E7" w14:textId="77777777" w:rsidR="005F5674" w:rsidRDefault="00680ADE">
      <w:pPr>
        <w:spacing w:line="480" w:lineRule="auto"/>
        <w:rPr>
          <w:b/>
        </w:rPr>
      </w:pPr>
      <w:r>
        <w:rPr>
          <w:b/>
        </w:rPr>
        <w:t>For the Supplier:</w:t>
      </w:r>
    </w:p>
    <w:p w14:paraId="4BC746C1" w14:textId="64AFCD08" w:rsidR="00610B38" w:rsidRPr="00610B38" w:rsidRDefault="00610B38" w:rsidP="00610B38">
      <w:pPr>
        <w:spacing w:after="120"/>
      </w:pPr>
      <w:r w:rsidRPr="00610B38">
        <w:t xml:space="preserve">Title: </w:t>
      </w:r>
      <w:r w:rsidR="00732BC0">
        <w:t>[redacted]</w:t>
      </w:r>
    </w:p>
    <w:p w14:paraId="36F236F3" w14:textId="1A2A92DC" w:rsidR="00610B38" w:rsidRPr="00610B38" w:rsidRDefault="00610B38" w:rsidP="00610B38">
      <w:pPr>
        <w:spacing w:after="120"/>
      </w:pPr>
      <w:r w:rsidRPr="00610B38">
        <w:t xml:space="preserve">Name: </w:t>
      </w:r>
      <w:r w:rsidR="00732BC0">
        <w:t>[redacted]</w:t>
      </w:r>
    </w:p>
    <w:p w14:paraId="0532E425" w14:textId="6172AFFD" w:rsidR="00610B38" w:rsidRPr="00610B38" w:rsidRDefault="00610B38" w:rsidP="00610B38">
      <w:pPr>
        <w:spacing w:after="120"/>
      </w:pPr>
      <w:r w:rsidRPr="00610B38">
        <w:t>Email: </w:t>
      </w:r>
      <w:r w:rsidR="00732BC0">
        <w:t>[redacted]</w:t>
      </w:r>
      <w:hyperlink r:id="rId12" w:tooltip="mailto:ciaran.mullen@cclsolutionsgroup.com" w:history="1"/>
    </w:p>
    <w:p w14:paraId="0C670715" w14:textId="385AF0AB" w:rsidR="00610B38" w:rsidRPr="00610B38" w:rsidRDefault="00610B38" w:rsidP="00610B38">
      <w:pPr>
        <w:spacing w:after="120"/>
      </w:pPr>
      <w:r w:rsidRPr="00610B38">
        <w:t xml:space="preserve">Phone: </w:t>
      </w:r>
      <w:r w:rsidR="00732BC0">
        <w:t>[redacted]</w:t>
      </w:r>
    </w:p>
    <w:p w14:paraId="667929CF" w14:textId="77777777" w:rsidR="005F5674" w:rsidRDefault="005F5674">
      <w:pPr>
        <w:spacing w:before="240" w:after="240"/>
      </w:pPr>
    </w:p>
    <w:p w14:paraId="5145E60E" w14:textId="77777777" w:rsidR="005F5674" w:rsidRDefault="00680ADE">
      <w:pPr>
        <w:pStyle w:val="Heading3"/>
        <w:rPr>
          <w:color w:val="auto"/>
        </w:rPr>
      </w:pPr>
      <w:r>
        <w:rPr>
          <w:color w:val="auto"/>
        </w:rPr>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5F5674" w14:paraId="43A75DE3" w14:textId="77777777">
        <w:trPr>
          <w:trHeight w:val="10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978A98" w14:textId="77777777" w:rsidR="005F5674" w:rsidRDefault="00680ADE">
            <w:pPr>
              <w:spacing w:before="240"/>
            </w:pPr>
            <w:r>
              <w:rPr>
                <w:b/>
              </w:rPr>
              <w:t>Start date</w:t>
            </w:r>
          </w:p>
        </w:tc>
        <w:tc>
          <w:tcPr>
            <w:tcW w:w="62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DACA517" w14:textId="1C4346E0" w:rsidR="005F5674" w:rsidRDefault="00680ADE">
            <w:pPr>
              <w:spacing w:before="240"/>
            </w:pPr>
            <w:r>
              <w:t>This Call-Off Contract Starts o</w:t>
            </w:r>
            <w:r w:rsidR="00CE7F4E">
              <w:t xml:space="preserve">n the Start Date set out in Part A of the Order Form </w:t>
            </w:r>
            <w:proofErr w:type="gramStart"/>
            <w:r w:rsidR="00CE7F4E">
              <w:t>above,</w:t>
            </w:r>
            <w:r>
              <w:t xml:space="preserve"> and</w:t>
            </w:r>
            <w:proofErr w:type="gramEnd"/>
            <w:r>
              <w:t xml:space="preserve"> is valid for </w:t>
            </w:r>
            <w:r w:rsidR="00CE7F4E">
              <w:rPr>
                <w:b/>
              </w:rPr>
              <w:t>14 months.</w:t>
            </w:r>
          </w:p>
          <w:p w14:paraId="53461BDA" w14:textId="6FB399EF" w:rsidR="005F5674" w:rsidRDefault="00680ADE">
            <w:pPr>
              <w:spacing w:before="240"/>
            </w:pPr>
            <w:r>
              <w:t>The date and number of days or months is subject to clause 1.2 in Part B below.</w:t>
            </w:r>
          </w:p>
        </w:tc>
      </w:tr>
      <w:tr w:rsidR="005F5674" w14:paraId="35A4522C" w14:textId="77777777">
        <w:trPr>
          <w:trHeight w:val="134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6C9ADFA" w14:textId="77777777" w:rsidR="005F5674" w:rsidRDefault="00680ADE">
            <w:pPr>
              <w:spacing w:before="60" w:after="60"/>
              <w:ind w:right="300"/>
              <w:rPr>
                <w:b/>
              </w:rPr>
            </w:pPr>
            <w:r>
              <w:rPr>
                <w:b/>
              </w:rPr>
              <w:t>Ending (termination)</w:t>
            </w:r>
          </w:p>
        </w:tc>
        <w:tc>
          <w:tcPr>
            <w:tcW w:w="6270" w:type="dxa"/>
            <w:tcBorders>
              <w:bottom w:val="single" w:sz="8" w:space="0" w:color="000000"/>
              <w:right w:val="single" w:sz="8" w:space="0" w:color="000000"/>
            </w:tcBorders>
            <w:tcMar>
              <w:top w:w="100" w:type="dxa"/>
              <w:left w:w="100" w:type="dxa"/>
              <w:bottom w:w="100" w:type="dxa"/>
              <w:right w:w="100" w:type="dxa"/>
            </w:tcMar>
          </w:tcPr>
          <w:p w14:paraId="02240180" w14:textId="29725E36" w:rsidR="005F5674" w:rsidRDefault="00680ADE">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3A5A4F63" w14:textId="27982D5D" w:rsidR="005F5674" w:rsidRDefault="00680ADE">
            <w:pPr>
              <w:spacing w:before="240"/>
            </w:pPr>
            <w:r>
              <w:t xml:space="preserve">The notice period for the Buyer is a maximum of </w:t>
            </w:r>
            <w:r>
              <w:rPr>
                <w:b/>
              </w:rPr>
              <w:t>30</w:t>
            </w:r>
            <w:r>
              <w:t xml:space="preserve"> days from the date of written notice for Ending without cause (as per clause 18.1).</w:t>
            </w:r>
          </w:p>
        </w:tc>
      </w:tr>
      <w:tr w:rsidR="005F5674" w14:paraId="72C253BB" w14:textId="77777777">
        <w:trPr>
          <w:trHeight w:val="522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BF13E38" w14:textId="77777777" w:rsidR="005F5674" w:rsidRDefault="00680ADE">
            <w:pPr>
              <w:spacing w:before="60" w:after="60"/>
              <w:ind w:right="300"/>
            </w:pPr>
            <w:r>
              <w:rPr>
                <w:b/>
              </w:rPr>
              <w:t>Extension period</w:t>
            </w:r>
          </w:p>
        </w:tc>
        <w:tc>
          <w:tcPr>
            <w:tcW w:w="6270" w:type="dxa"/>
            <w:tcBorders>
              <w:bottom w:val="single" w:sz="8" w:space="0" w:color="000000"/>
              <w:right w:val="single" w:sz="8" w:space="0" w:color="000000"/>
            </w:tcBorders>
            <w:tcMar>
              <w:top w:w="100" w:type="dxa"/>
              <w:left w:w="100" w:type="dxa"/>
              <w:bottom w:w="100" w:type="dxa"/>
              <w:right w:w="100" w:type="dxa"/>
            </w:tcMar>
          </w:tcPr>
          <w:p w14:paraId="70ECDB2F" w14:textId="4C773DC9" w:rsidR="005F5674" w:rsidRDefault="00680ADE">
            <w:pPr>
              <w:spacing w:before="240"/>
            </w:pPr>
            <w:r>
              <w:t xml:space="preserve">This Call-off Contract can be extended by the Buyer for </w:t>
            </w:r>
            <w:r w:rsidR="00CE7F4E">
              <w:rPr>
                <w:b/>
              </w:rPr>
              <w:t>1</w:t>
            </w:r>
            <w:r>
              <w:t xml:space="preserve"> period(s) of up t</w:t>
            </w:r>
            <w:r w:rsidR="00CE7F4E">
              <w:t>o</w:t>
            </w:r>
            <w:r>
              <w:t xml:space="preserve"> </w:t>
            </w:r>
            <w:r w:rsidR="00CE7F4E">
              <w:t xml:space="preserve">6 </w:t>
            </w:r>
            <w:r>
              <w:t xml:space="preserve">months each, by giving the Supplier </w:t>
            </w:r>
            <w:r w:rsidR="00CE7F4E">
              <w:rPr>
                <w:b/>
              </w:rPr>
              <w:t xml:space="preserve">1 months’ </w:t>
            </w:r>
            <w:r>
              <w:t>written notice before its expiry. The extension periods are subject to clauses 1.3 and 1.4 in Part B below.</w:t>
            </w:r>
          </w:p>
          <w:p w14:paraId="55190506" w14:textId="177D744F" w:rsidR="00CE7F4E" w:rsidRDefault="00680ADE" w:rsidP="00CE7F4E">
            <w:pPr>
              <w:spacing w:before="240"/>
            </w:pPr>
            <w:r>
              <w:t>Extensions which extend the Term beyond 24 months are only permitted if the Supplier complies with the additional exit plan requirements at clauses 21.3 to 21.8.</w:t>
            </w:r>
          </w:p>
          <w:p w14:paraId="01B0B2A7" w14:textId="158A362B" w:rsidR="005F5674" w:rsidRDefault="005F5674">
            <w:pPr>
              <w:spacing w:before="240"/>
            </w:pPr>
          </w:p>
        </w:tc>
      </w:tr>
    </w:tbl>
    <w:p w14:paraId="24132D71" w14:textId="77777777" w:rsidR="005F5674" w:rsidRDefault="00680ADE">
      <w:pPr>
        <w:pStyle w:val="Heading3"/>
        <w:rPr>
          <w:color w:val="auto"/>
        </w:rPr>
      </w:pPr>
      <w:r>
        <w:rPr>
          <w:color w:val="auto"/>
        </w:rPr>
        <w:t>Buyer contractual details</w:t>
      </w:r>
    </w:p>
    <w:p w14:paraId="0EC2FFE0" w14:textId="77777777" w:rsidR="005F5674" w:rsidRDefault="00680ADE">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606"/>
        <w:gridCol w:w="6243"/>
        <w:gridCol w:w="46"/>
      </w:tblGrid>
      <w:tr w:rsidR="005F5674" w14:paraId="2D11D164" w14:textId="77777777">
        <w:trPr>
          <w:trHeight w:val="1665"/>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DEF436" w14:textId="77777777" w:rsidR="005F5674" w:rsidRDefault="00680ADE">
            <w:pPr>
              <w:spacing w:before="240"/>
              <w:rPr>
                <w:b/>
              </w:rPr>
            </w:pPr>
            <w:r>
              <w:rPr>
                <w:b/>
              </w:rPr>
              <w:lastRenderedPageBreak/>
              <w:t>G-Cloud lot</w:t>
            </w:r>
          </w:p>
        </w:tc>
        <w:tc>
          <w:tcPr>
            <w:tcW w:w="6289" w:type="dxa"/>
            <w:gridSpan w:val="2"/>
            <w:tcBorders>
              <w:top w:val="single" w:sz="8" w:space="0" w:color="000000"/>
              <w:bottom w:val="single" w:sz="8" w:space="0" w:color="000000"/>
              <w:right w:val="single" w:sz="8" w:space="0" w:color="000000"/>
            </w:tcBorders>
            <w:tcMar>
              <w:top w:w="100" w:type="dxa"/>
              <w:left w:w="100" w:type="dxa"/>
              <w:bottom w:w="100" w:type="dxa"/>
              <w:right w:w="100" w:type="dxa"/>
            </w:tcMar>
          </w:tcPr>
          <w:p w14:paraId="294BB288" w14:textId="77777777" w:rsidR="005F5674" w:rsidRDefault="00680ADE">
            <w:pPr>
              <w:spacing w:before="240"/>
            </w:pPr>
            <w:r>
              <w:t>This Call-Off Contract is for the provision of Services under:</w:t>
            </w:r>
          </w:p>
          <w:p w14:paraId="5C831D8F" w14:textId="56F9227A" w:rsidR="005F5674" w:rsidRDefault="00680ADE">
            <w:pPr>
              <w:pStyle w:val="ListParagraph"/>
              <w:numPr>
                <w:ilvl w:val="0"/>
                <w:numId w:val="1"/>
              </w:numPr>
              <w:spacing w:before="240"/>
            </w:pPr>
            <w:r>
              <w:t>Lot 3: Cloud support</w:t>
            </w:r>
          </w:p>
        </w:tc>
      </w:tr>
      <w:tr w:rsidR="005F5674" w14:paraId="1D8AB1D9" w14:textId="77777777">
        <w:trPr>
          <w:trHeight w:val="360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F9AA606" w14:textId="77777777" w:rsidR="005F5674" w:rsidRDefault="00680ADE">
            <w:pPr>
              <w:spacing w:before="240"/>
              <w:rPr>
                <w:b/>
              </w:rPr>
            </w:pPr>
            <w:r>
              <w:rPr>
                <w:b/>
              </w:rPr>
              <w:t>G-Cloud services required</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0ADFEC9B" w14:textId="77777777" w:rsidR="005F5674" w:rsidRDefault="00680ADE">
            <w:pPr>
              <w:spacing w:before="240"/>
            </w:pPr>
            <w:r>
              <w:t>The Services to be provided by the Supplier under the above Lot are listed in Framework Section 2 and outlined below:</w:t>
            </w:r>
          </w:p>
          <w:p w14:paraId="461F153D" w14:textId="16611A75" w:rsidR="005F5674" w:rsidRDefault="008649E4" w:rsidP="008649E4">
            <w:pPr>
              <w:pStyle w:val="ListParagraph"/>
              <w:numPr>
                <w:ilvl w:val="0"/>
                <w:numId w:val="38"/>
              </w:numPr>
              <w:spacing w:before="240"/>
            </w:pPr>
            <w:r>
              <w:t xml:space="preserve">Accredited </w:t>
            </w:r>
            <w:r w:rsidR="00D20165">
              <w:t>IT Health Chec</w:t>
            </w:r>
            <w:r w:rsidR="00B24037">
              <w:t>k, including Penetration Testing</w:t>
            </w:r>
            <w:r>
              <w:t xml:space="preserve">. See Schedule 1 for further details. </w:t>
            </w:r>
          </w:p>
          <w:p w14:paraId="23520B5D" w14:textId="1E479ADA" w:rsidR="00923BD6" w:rsidRDefault="00923BD6" w:rsidP="008649E4">
            <w:pPr>
              <w:pStyle w:val="ListParagraph"/>
              <w:numPr>
                <w:ilvl w:val="0"/>
                <w:numId w:val="38"/>
              </w:numPr>
              <w:spacing w:before="240"/>
            </w:pPr>
            <w:r>
              <w:t xml:space="preserve">The Services have one committed element, the </w:t>
            </w:r>
            <w:r w:rsidR="00F76E2D">
              <w:t xml:space="preserve">ITHC </w:t>
            </w:r>
            <w:r>
              <w:t xml:space="preserve">in November 2021, and one optional element, which is a further </w:t>
            </w:r>
            <w:r w:rsidR="00F76E2D">
              <w:t>ITHC</w:t>
            </w:r>
            <w:r w:rsidR="00B653B2">
              <w:t xml:space="preserve">, which may be commissioned, at the price as set out in Schedule 2, with a month’s notice at any point between April 2021 and the end of the Contract. </w:t>
            </w:r>
          </w:p>
        </w:tc>
      </w:tr>
      <w:tr w:rsidR="005F5674" w14:paraId="1A5D9905" w14:textId="77777777">
        <w:trPr>
          <w:trHeight w:val="160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CD59B1C" w14:textId="77777777" w:rsidR="005F5674" w:rsidRDefault="00680ADE">
            <w:pPr>
              <w:spacing w:before="240"/>
              <w:rPr>
                <w:b/>
              </w:rPr>
            </w:pPr>
            <w:r>
              <w:rPr>
                <w:b/>
              </w:rPr>
              <w:t>Additional Services</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47E0E929" w14:textId="28BE8F73" w:rsidR="005F5674" w:rsidRDefault="008649E4" w:rsidP="008649E4">
            <w:pPr>
              <w:spacing w:before="240"/>
            </w:pPr>
            <w:r>
              <w:rPr>
                <w:b/>
              </w:rPr>
              <w:t>N/A</w:t>
            </w:r>
          </w:p>
        </w:tc>
      </w:tr>
      <w:tr w:rsidR="005F5674" w14:paraId="1EF33A6F" w14:textId="77777777">
        <w:trPr>
          <w:trHeight w:val="26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C42777" w14:textId="77777777" w:rsidR="005F5674" w:rsidRDefault="00680ADE">
            <w:pPr>
              <w:spacing w:before="240"/>
              <w:rPr>
                <w:b/>
              </w:rPr>
            </w:pPr>
            <w:r>
              <w:rPr>
                <w:b/>
              </w:rPr>
              <w:t>Location</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6E3F8146" w14:textId="23ECD288" w:rsidR="008649E4" w:rsidRDefault="00680ADE" w:rsidP="008649E4">
            <w:pPr>
              <w:spacing w:before="240"/>
            </w:pPr>
            <w:r>
              <w:t xml:space="preserve">The Services will be delivered </w:t>
            </w:r>
            <w:r w:rsidR="008649E4">
              <w:t>remotely.</w:t>
            </w:r>
          </w:p>
          <w:p w14:paraId="154F516B" w14:textId="40829EE0" w:rsidR="005F5674" w:rsidRDefault="005F5674">
            <w:pPr>
              <w:spacing w:before="240"/>
            </w:pPr>
          </w:p>
        </w:tc>
      </w:tr>
      <w:tr w:rsidR="005F5674" w14:paraId="33B178D4" w14:textId="77777777">
        <w:trPr>
          <w:trHeight w:val="7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4156F84" w14:textId="2398BD10" w:rsidR="005F5674" w:rsidRDefault="00680ADE">
            <w:pPr>
              <w:spacing w:before="240"/>
              <w:rPr>
                <w:b/>
              </w:rPr>
            </w:pPr>
            <w:r>
              <w:rPr>
                <w:b/>
              </w:rPr>
              <w:t xml:space="preserve">Quality </w:t>
            </w:r>
            <w:r w:rsidR="008649E4">
              <w:rPr>
                <w:b/>
              </w:rPr>
              <w:t xml:space="preserve">and Technical </w:t>
            </w:r>
            <w:r>
              <w:rPr>
                <w:b/>
              </w:rPr>
              <w:t>standards</w:t>
            </w:r>
          </w:p>
        </w:tc>
        <w:tc>
          <w:tcPr>
            <w:tcW w:w="6243" w:type="dxa"/>
            <w:tcBorders>
              <w:bottom w:val="single" w:sz="8" w:space="0" w:color="000000"/>
              <w:right w:val="single" w:sz="8" w:space="0" w:color="000000"/>
            </w:tcBorders>
            <w:tcMar>
              <w:top w:w="100" w:type="dxa"/>
              <w:left w:w="100" w:type="dxa"/>
              <w:bottom w:w="100" w:type="dxa"/>
              <w:right w:w="100" w:type="dxa"/>
            </w:tcMar>
          </w:tcPr>
          <w:p w14:paraId="6C917779" w14:textId="513AB8E3" w:rsidR="005F5674" w:rsidRDefault="00680ADE" w:rsidP="008649E4">
            <w:pPr>
              <w:spacing w:before="240"/>
              <w:rPr>
                <w:bCs/>
              </w:rPr>
            </w:pPr>
            <w:r>
              <w:t>The quality standards required for this Call-Off Contract are</w:t>
            </w:r>
            <w:r w:rsidR="008649E4">
              <w:rPr>
                <w:bCs/>
              </w:rPr>
              <w:t>:</w:t>
            </w:r>
          </w:p>
          <w:p w14:paraId="28B8785A" w14:textId="088D6CB4" w:rsidR="008649E4" w:rsidRDefault="008649E4" w:rsidP="008649E4">
            <w:pPr>
              <w:pStyle w:val="ListParagraph"/>
              <w:numPr>
                <w:ilvl w:val="0"/>
                <w:numId w:val="38"/>
              </w:numPr>
              <w:spacing w:before="240"/>
            </w:pPr>
            <w:r>
              <w:t>CREST accreditation, active and maintained throughout the term of the Contract.</w:t>
            </w:r>
          </w:p>
          <w:p w14:paraId="00FE4195" w14:textId="77777777" w:rsidR="008649E4" w:rsidRDefault="008649E4" w:rsidP="008649E4">
            <w:pPr>
              <w:pStyle w:val="ListParagraph"/>
              <w:numPr>
                <w:ilvl w:val="0"/>
                <w:numId w:val="38"/>
              </w:numPr>
              <w:spacing w:before="240"/>
            </w:pPr>
            <w:r>
              <w:t>Certified Ethical Hacker qualification, active and maintained throughout the term of the Contract.</w:t>
            </w:r>
          </w:p>
          <w:p w14:paraId="198D00A6" w14:textId="00F59DA5" w:rsidR="008649E4" w:rsidRDefault="008649E4" w:rsidP="008649E4">
            <w:pPr>
              <w:pStyle w:val="ListParagraph"/>
              <w:numPr>
                <w:ilvl w:val="0"/>
                <w:numId w:val="38"/>
              </w:numPr>
              <w:spacing w:before="240"/>
            </w:pPr>
            <w:r>
              <w:t>CHECK accreditation, active and maintained throughout the term of the Contract.</w:t>
            </w:r>
          </w:p>
        </w:tc>
        <w:tc>
          <w:tcPr>
            <w:tcW w:w="46" w:type="dxa"/>
          </w:tcPr>
          <w:p w14:paraId="515E8F6F" w14:textId="77777777" w:rsidR="005F5674" w:rsidRDefault="005F5674">
            <w:pPr>
              <w:spacing w:before="240"/>
            </w:pPr>
          </w:p>
        </w:tc>
      </w:tr>
      <w:tr w:rsidR="005F5674" w14:paraId="3B3429C8" w14:textId="77777777">
        <w:trPr>
          <w:trHeight w:val="302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0BFD759" w14:textId="77777777" w:rsidR="005F5674" w:rsidRDefault="00680ADE">
            <w:pPr>
              <w:spacing w:before="240"/>
              <w:rPr>
                <w:b/>
              </w:rPr>
            </w:pPr>
            <w:r>
              <w:rPr>
                <w:b/>
              </w:rPr>
              <w:lastRenderedPageBreak/>
              <w:t>Service level agreement:</w:t>
            </w:r>
          </w:p>
        </w:tc>
        <w:tc>
          <w:tcPr>
            <w:tcW w:w="6243" w:type="dxa"/>
            <w:tcBorders>
              <w:bottom w:val="single" w:sz="8" w:space="0" w:color="000000"/>
              <w:right w:val="single" w:sz="8" w:space="0" w:color="000000"/>
            </w:tcBorders>
            <w:tcMar>
              <w:top w:w="100" w:type="dxa"/>
              <w:left w:w="100" w:type="dxa"/>
              <w:bottom w:w="100" w:type="dxa"/>
              <w:right w:w="100" w:type="dxa"/>
            </w:tcMar>
          </w:tcPr>
          <w:p w14:paraId="604FA9AD" w14:textId="28A71A07" w:rsidR="00B2770D" w:rsidRDefault="00680ADE" w:rsidP="008649E4">
            <w:pPr>
              <w:spacing w:before="240"/>
            </w:pPr>
            <w:r>
              <w:t>The service level and availability criteria required for this Call-Off Contract are</w:t>
            </w:r>
            <w:r w:rsidR="00014F3F">
              <w:t>:</w:t>
            </w:r>
          </w:p>
          <w:p w14:paraId="15F44926" w14:textId="2D9E4DD2" w:rsidR="005F5674" w:rsidRDefault="008649E4" w:rsidP="00FF3F6A">
            <w:pPr>
              <w:pStyle w:val="ListParagraph"/>
              <w:numPr>
                <w:ilvl w:val="0"/>
                <w:numId w:val="3"/>
              </w:numPr>
              <w:ind w:left="685" w:hanging="425"/>
            </w:pPr>
            <w:r>
              <w:t xml:space="preserve">Once a </w:t>
            </w:r>
            <w:proofErr w:type="spellStart"/>
            <w:r w:rsidR="00C739E3">
              <w:t>HealthCheck</w:t>
            </w:r>
            <w:proofErr w:type="spellEnd"/>
            <w:r>
              <w:t xml:space="preserve"> is commissioned, an initial sighting of the findings is due within one working week, and the final report issued within a further working week. </w:t>
            </w:r>
          </w:p>
        </w:tc>
        <w:tc>
          <w:tcPr>
            <w:tcW w:w="46" w:type="dxa"/>
          </w:tcPr>
          <w:p w14:paraId="57A6F5E5" w14:textId="77777777" w:rsidR="005F5674" w:rsidRDefault="005F5674">
            <w:pPr>
              <w:pStyle w:val="ListParagraph"/>
            </w:pPr>
          </w:p>
        </w:tc>
      </w:tr>
      <w:tr w:rsidR="005F5674" w14:paraId="55965E97" w14:textId="77777777">
        <w:trPr>
          <w:trHeight w:val="18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33C475" w14:textId="77777777" w:rsidR="005F5674" w:rsidRDefault="00680ADE">
            <w:pPr>
              <w:spacing w:before="240"/>
              <w:rPr>
                <w:b/>
              </w:rPr>
            </w:pPr>
            <w:r>
              <w:rPr>
                <w:b/>
              </w:rPr>
              <w:t>Onboarding</w:t>
            </w:r>
          </w:p>
        </w:tc>
        <w:tc>
          <w:tcPr>
            <w:tcW w:w="6243" w:type="dxa"/>
            <w:tcBorders>
              <w:bottom w:val="single" w:sz="8" w:space="0" w:color="000000"/>
              <w:right w:val="single" w:sz="8" w:space="0" w:color="000000"/>
            </w:tcBorders>
            <w:tcMar>
              <w:top w:w="100" w:type="dxa"/>
              <w:left w:w="100" w:type="dxa"/>
              <w:bottom w:w="100" w:type="dxa"/>
              <w:right w:w="100" w:type="dxa"/>
            </w:tcMar>
          </w:tcPr>
          <w:p w14:paraId="767880F5" w14:textId="2D1C2B83" w:rsidR="005F5674" w:rsidRPr="008649E4" w:rsidRDefault="00680ADE" w:rsidP="008649E4">
            <w:pPr>
              <w:spacing w:before="240"/>
              <w:rPr>
                <w:bCs/>
              </w:rPr>
            </w:pPr>
            <w:r>
              <w:t xml:space="preserve">The onboarding plan for this Call-Off Contract is </w:t>
            </w:r>
            <w:r w:rsidR="008649E4">
              <w:rPr>
                <w:bCs/>
              </w:rPr>
              <w:t xml:space="preserve">the Supplier and Buyer teams will meet as soon as practicable following Contract signature, agreeing dependencies that need to be addressed </w:t>
            </w:r>
            <w:proofErr w:type="gramStart"/>
            <w:r w:rsidR="008649E4">
              <w:rPr>
                <w:bCs/>
              </w:rPr>
              <w:t>in order to</w:t>
            </w:r>
            <w:proofErr w:type="gramEnd"/>
            <w:r w:rsidR="008649E4">
              <w:rPr>
                <w:bCs/>
              </w:rPr>
              <w:t xml:space="preserve"> enable the </w:t>
            </w:r>
            <w:proofErr w:type="spellStart"/>
            <w:r w:rsidR="00C739E3">
              <w:rPr>
                <w:bCs/>
              </w:rPr>
              <w:t>HealthCheck</w:t>
            </w:r>
            <w:proofErr w:type="spellEnd"/>
            <w:r w:rsidR="008649E4">
              <w:rPr>
                <w:bCs/>
              </w:rPr>
              <w:t xml:space="preserve"> as set out in Schedule 1 to commence, and timescales and action owners to address those dependencies.</w:t>
            </w:r>
          </w:p>
        </w:tc>
        <w:tc>
          <w:tcPr>
            <w:tcW w:w="46" w:type="dxa"/>
          </w:tcPr>
          <w:p w14:paraId="07F82454" w14:textId="77777777" w:rsidR="005F5674" w:rsidRDefault="005F5674">
            <w:pPr>
              <w:pStyle w:val="ListParagraph"/>
            </w:pPr>
          </w:p>
        </w:tc>
      </w:tr>
      <w:tr w:rsidR="005F5674" w14:paraId="3A0B1685" w14:textId="77777777">
        <w:trPr>
          <w:trHeight w:val="18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4B7A9EA" w14:textId="77777777" w:rsidR="005F5674" w:rsidRDefault="00680ADE">
            <w:pPr>
              <w:spacing w:before="240"/>
              <w:rPr>
                <w:b/>
              </w:rPr>
            </w:pPr>
            <w:r>
              <w:rPr>
                <w:b/>
              </w:rPr>
              <w:t>Offboarding</w:t>
            </w:r>
          </w:p>
        </w:tc>
        <w:tc>
          <w:tcPr>
            <w:tcW w:w="6243" w:type="dxa"/>
            <w:tcBorders>
              <w:bottom w:val="single" w:sz="8" w:space="0" w:color="000000"/>
              <w:right w:val="single" w:sz="8" w:space="0" w:color="000000"/>
            </w:tcBorders>
            <w:tcMar>
              <w:top w:w="100" w:type="dxa"/>
              <w:left w:w="100" w:type="dxa"/>
              <w:bottom w:w="100" w:type="dxa"/>
              <w:right w:w="100" w:type="dxa"/>
            </w:tcMar>
          </w:tcPr>
          <w:p w14:paraId="2A6D987B" w14:textId="13BC889A" w:rsidR="005F5674" w:rsidRDefault="00680ADE" w:rsidP="008649E4">
            <w:pPr>
              <w:spacing w:before="240"/>
            </w:pPr>
            <w:r>
              <w:t xml:space="preserve">The offboarding plan for this Call-Off Contract is </w:t>
            </w:r>
            <w:r w:rsidR="008649E4" w:rsidRPr="00FF3F6A">
              <w:rPr>
                <w:bCs/>
              </w:rPr>
              <w:t xml:space="preserve">for the Supplier to provide a full handover of materials produced in delivery of the Services during the term of the Contract to the Buyer.  </w:t>
            </w:r>
          </w:p>
        </w:tc>
        <w:tc>
          <w:tcPr>
            <w:tcW w:w="46" w:type="dxa"/>
          </w:tcPr>
          <w:p w14:paraId="497F7728" w14:textId="77777777" w:rsidR="005F5674" w:rsidRDefault="005F5674">
            <w:pPr>
              <w:pStyle w:val="ListParagraph"/>
            </w:pPr>
          </w:p>
        </w:tc>
      </w:tr>
      <w:tr w:rsidR="005F5674" w14:paraId="663561C4" w14:textId="77777777">
        <w:trPr>
          <w:trHeight w:val="21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66BAFC0" w14:textId="77777777" w:rsidR="005F5674" w:rsidRDefault="00680ADE">
            <w:pPr>
              <w:spacing w:before="240"/>
              <w:rPr>
                <w:b/>
              </w:rPr>
            </w:pPr>
            <w:r>
              <w:rPr>
                <w:b/>
              </w:rPr>
              <w:t>Collaboration agreement</w:t>
            </w:r>
          </w:p>
        </w:tc>
        <w:tc>
          <w:tcPr>
            <w:tcW w:w="6243" w:type="dxa"/>
            <w:tcBorders>
              <w:bottom w:val="single" w:sz="8" w:space="0" w:color="000000"/>
              <w:right w:val="single" w:sz="8" w:space="0" w:color="000000"/>
            </w:tcBorders>
            <w:tcMar>
              <w:top w:w="100" w:type="dxa"/>
              <w:left w:w="100" w:type="dxa"/>
              <w:bottom w:w="100" w:type="dxa"/>
              <w:right w:w="100" w:type="dxa"/>
            </w:tcMar>
          </w:tcPr>
          <w:p w14:paraId="1558FCFA" w14:textId="26AABF2F" w:rsidR="005F5674" w:rsidRDefault="008649E4">
            <w:pPr>
              <w:spacing w:before="240"/>
            </w:pPr>
            <w:r>
              <w:t>N/A</w:t>
            </w:r>
          </w:p>
        </w:tc>
        <w:tc>
          <w:tcPr>
            <w:tcW w:w="46" w:type="dxa"/>
          </w:tcPr>
          <w:p w14:paraId="11EDADE8" w14:textId="77777777" w:rsidR="005F5674" w:rsidRDefault="005F5674">
            <w:pPr>
              <w:spacing w:before="240"/>
            </w:pPr>
          </w:p>
        </w:tc>
      </w:tr>
      <w:tr w:rsidR="005F5674" w14:paraId="45D64352" w14:textId="77777777">
        <w:trPr>
          <w:trHeight w:val="546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F476CB" w14:textId="77777777" w:rsidR="005F5674" w:rsidRDefault="00680ADE">
            <w:pPr>
              <w:spacing w:before="240"/>
              <w:rPr>
                <w:b/>
              </w:rPr>
            </w:pPr>
            <w:r>
              <w:rPr>
                <w:b/>
              </w:rPr>
              <w:lastRenderedPageBreak/>
              <w:t>Limit on Parties’ liability</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57E1460" w14:textId="0D8E46E0" w:rsidR="005F5674" w:rsidRDefault="00680ADE">
            <w:pPr>
              <w:spacing w:before="240"/>
            </w:pPr>
            <w:r>
              <w:t xml:space="preserve">The annual total liability of either Party for all Property Defaults will not exceed </w:t>
            </w:r>
            <w:r w:rsidR="008649E4">
              <w:t>£100,000.</w:t>
            </w:r>
          </w:p>
          <w:p w14:paraId="449CB175" w14:textId="77777777" w:rsidR="008649E4" w:rsidRDefault="00680ADE">
            <w:pPr>
              <w:spacing w:before="240"/>
            </w:pPr>
            <w:r>
              <w:t xml:space="preserve">The annual total liability for Buyer Data Defaults will not exceed </w:t>
            </w:r>
            <w:r>
              <w:rPr>
                <w:b/>
              </w:rPr>
              <w:t>£</w:t>
            </w:r>
            <w:r w:rsidR="008649E4">
              <w:rPr>
                <w:b/>
              </w:rPr>
              <w:t xml:space="preserve">200,000 </w:t>
            </w:r>
            <w:r>
              <w:t xml:space="preserve">or </w:t>
            </w:r>
            <w:r w:rsidR="008649E4" w:rsidRPr="008649E4">
              <w:rPr>
                <w:b/>
                <w:bCs/>
              </w:rPr>
              <w:t>125%</w:t>
            </w:r>
            <w:r>
              <w:t xml:space="preserve"> of the Charges payable by the Buyer to the Supplier during the Call-Off Contract Term (whichever is the greater).</w:t>
            </w:r>
          </w:p>
          <w:p w14:paraId="322200DE" w14:textId="525A1A4B" w:rsidR="005F5674" w:rsidRDefault="00680ADE">
            <w:pPr>
              <w:spacing w:before="240"/>
            </w:pPr>
            <w:r>
              <w:t>The annual total liability for all other Defaults will not exceed the greater of</w:t>
            </w:r>
            <w:r w:rsidR="008649E4">
              <w:t xml:space="preserve"> </w:t>
            </w:r>
            <w:r>
              <w:rPr>
                <w:b/>
              </w:rPr>
              <w:t>£</w:t>
            </w:r>
            <w:r w:rsidR="008649E4">
              <w:rPr>
                <w:b/>
              </w:rPr>
              <w:t xml:space="preserve">200,000 </w:t>
            </w:r>
            <w:r>
              <w:t xml:space="preserve">or </w:t>
            </w:r>
            <w:r w:rsidR="008649E4" w:rsidRPr="008649E4">
              <w:rPr>
                <w:b/>
                <w:bCs/>
              </w:rPr>
              <w:t>125</w:t>
            </w:r>
            <w:r>
              <w:rPr>
                <w:b/>
              </w:rPr>
              <w:t>%</w:t>
            </w:r>
            <w:r>
              <w:t xml:space="preserve"> of the Charges payable by the Buyer to the Supplier during the Call-Off Contract Term (whichever is the greater).</w:t>
            </w:r>
          </w:p>
        </w:tc>
        <w:tc>
          <w:tcPr>
            <w:tcW w:w="46" w:type="dxa"/>
          </w:tcPr>
          <w:p w14:paraId="5D88028A" w14:textId="77777777" w:rsidR="005F5674" w:rsidRDefault="005F5674">
            <w:pPr>
              <w:spacing w:before="240"/>
            </w:pPr>
          </w:p>
        </w:tc>
      </w:tr>
      <w:tr w:rsidR="005F5674" w14:paraId="6E8D8288" w14:textId="77777777">
        <w:trPr>
          <w:trHeight w:val="560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7E17CCD" w14:textId="77777777" w:rsidR="005F5674" w:rsidRDefault="00680ADE">
            <w:pPr>
              <w:spacing w:before="240"/>
              <w:rPr>
                <w:b/>
              </w:rPr>
            </w:pPr>
            <w:r>
              <w:rPr>
                <w:b/>
              </w:rPr>
              <w:t>Insurance</w:t>
            </w:r>
          </w:p>
        </w:tc>
        <w:tc>
          <w:tcPr>
            <w:tcW w:w="6243" w:type="dxa"/>
            <w:tcBorders>
              <w:bottom w:val="single" w:sz="8" w:space="0" w:color="000000"/>
              <w:right w:val="single" w:sz="8" w:space="0" w:color="000000"/>
            </w:tcBorders>
            <w:tcMar>
              <w:top w:w="100" w:type="dxa"/>
              <w:left w:w="100" w:type="dxa"/>
              <w:bottom w:w="100" w:type="dxa"/>
              <w:right w:w="100" w:type="dxa"/>
            </w:tcMar>
          </w:tcPr>
          <w:p w14:paraId="307DA069" w14:textId="77777777" w:rsidR="005F5674" w:rsidRDefault="00680ADE">
            <w:pPr>
              <w:spacing w:before="240"/>
            </w:pPr>
            <w:r>
              <w:t>The insurance(s) required will be:</w:t>
            </w:r>
          </w:p>
          <w:p w14:paraId="5E7FB11D" w14:textId="22347252" w:rsidR="005F5674" w:rsidRDefault="00680ADE">
            <w:pPr>
              <w:numPr>
                <w:ilvl w:val="0"/>
                <w:numId w:val="6"/>
              </w:numPr>
            </w:pPr>
            <w:r>
              <w:rPr>
                <w:sz w:val="14"/>
                <w:szCs w:val="14"/>
              </w:rPr>
              <w:t xml:space="preserve"> </w:t>
            </w:r>
            <w:r>
              <w:t xml:space="preserve">a minimum insurance period of </w:t>
            </w:r>
            <w:r w:rsidR="008649E4">
              <w:t>1</w:t>
            </w:r>
            <w:r>
              <w:t xml:space="preserve"> year following the expiration or Ending of this Call-Off Contract</w:t>
            </w:r>
          </w:p>
          <w:p w14:paraId="63BA7E9F" w14:textId="4B35A02F" w:rsidR="005F5674" w:rsidRDefault="00680ADE">
            <w:pPr>
              <w:numPr>
                <w:ilvl w:val="0"/>
                <w:numId w:val="6"/>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6D2C4C57" w14:textId="4C3CB91D" w:rsidR="005F5674" w:rsidRDefault="00680ADE" w:rsidP="001D4FC3">
            <w:pPr>
              <w:numPr>
                <w:ilvl w:val="0"/>
                <w:numId w:val="6"/>
              </w:numPr>
            </w:pPr>
            <w:r>
              <w:t>employers' liability insurance with a minimum limit of £5,000,000 or any higher minimum limit required by Law</w:t>
            </w:r>
          </w:p>
        </w:tc>
        <w:tc>
          <w:tcPr>
            <w:tcW w:w="46" w:type="dxa"/>
          </w:tcPr>
          <w:p w14:paraId="57799672" w14:textId="77777777" w:rsidR="005F5674" w:rsidRDefault="005F5674">
            <w:pPr>
              <w:spacing w:before="240"/>
            </w:pPr>
          </w:p>
        </w:tc>
      </w:tr>
      <w:tr w:rsidR="005F5674" w14:paraId="2DBEB004" w14:textId="77777777">
        <w:trPr>
          <w:trHeight w:val="106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D5838E" w14:textId="77777777" w:rsidR="005F5674" w:rsidRDefault="00680ADE">
            <w:pPr>
              <w:spacing w:before="240"/>
              <w:rPr>
                <w:b/>
              </w:rPr>
            </w:pPr>
            <w:r>
              <w:rPr>
                <w:b/>
              </w:rPr>
              <w:t>Force majeure</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D8CDF32" w14:textId="30E995D3" w:rsidR="005F5674" w:rsidRDefault="00680ADE">
            <w:pPr>
              <w:spacing w:before="240"/>
            </w:pPr>
            <w:r>
              <w:t xml:space="preserve">A Party may End this Call-Off Contract if the Other Party is affected by a Force Majeure Event that lasts for more than </w:t>
            </w:r>
            <w:r w:rsidR="001D4FC3">
              <w:t xml:space="preserve">30 </w:t>
            </w:r>
            <w:r>
              <w:t>consecutive days.</w:t>
            </w:r>
          </w:p>
        </w:tc>
        <w:tc>
          <w:tcPr>
            <w:tcW w:w="46" w:type="dxa"/>
          </w:tcPr>
          <w:p w14:paraId="605B6857" w14:textId="77777777" w:rsidR="005F5674" w:rsidRDefault="005F5674">
            <w:pPr>
              <w:spacing w:before="240"/>
            </w:pPr>
          </w:p>
        </w:tc>
      </w:tr>
      <w:tr w:rsidR="005F5674" w14:paraId="3BE21854" w14:textId="77777777">
        <w:trPr>
          <w:trHeight w:val="21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B3099B1" w14:textId="77777777" w:rsidR="005F5674" w:rsidRDefault="00680ADE">
            <w:pPr>
              <w:spacing w:before="240"/>
              <w:rPr>
                <w:b/>
              </w:rPr>
            </w:pPr>
            <w:r>
              <w:rPr>
                <w:b/>
              </w:rPr>
              <w:lastRenderedPageBreak/>
              <w:t>Buyer’s responsibilities</w:t>
            </w:r>
          </w:p>
        </w:tc>
        <w:tc>
          <w:tcPr>
            <w:tcW w:w="6243" w:type="dxa"/>
            <w:tcBorders>
              <w:bottom w:val="single" w:sz="8" w:space="0" w:color="000000"/>
              <w:right w:val="single" w:sz="8" w:space="0" w:color="000000"/>
            </w:tcBorders>
            <w:tcMar>
              <w:top w:w="100" w:type="dxa"/>
              <w:left w:w="100" w:type="dxa"/>
              <w:bottom w:w="100" w:type="dxa"/>
              <w:right w:w="100" w:type="dxa"/>
            </w:tcMar>
          </w:tcPr>
          <w:p w14:paraId="5284F058" w14:textId="7CA7CDCA" w:rsidR="005F5674" w:rsidRDefault="00680ADE">
            <w:pPr>
              <w:spacing w:before="240"/>
            </w:pPr>
            <w:r>
              <w:t>The Buyer is responsible for</w:t>
            </w:r>
            <w:r w:rsidR="001D4FC3">
              <w:t xml:space="preserve"> granting access to relevant aspects of the Case Management System as necessary for the conducting of the Services by the Supplier.</w:t>
            </w:r>
          </w:p>
          <w:p w14:paraId="51054007" w14:textId="35A0E23C" w:rsidR="005F5674" w:rsidRDefault="005F5674">
            <w:pPr>
              <w:spacing w:before="240"/>
            </w:pPr>
          </w:p>
        </w:tc>
        <w:tc>
          <w:tcPr>
            <w:tcW w:w="46" w:type="dxa"/>
          </w:tcPr>
          <w:p w14:paraId="51762123" w14:textId="77777777" w:rsidR="005F5674" w:rsidRDefault="005F5674">
            <w:pPr>
              <w:spacing w:before="240"/>
            </w:pPr>
          </w:p>
        </w:tc>
      </w:tr>
      <w:tr w:rsidR="005F5674" w14:paraId="61C8E93B" w14:textId="77777777">
        <w:trPr>
          <w:trHeight w:val="326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BCC1578" w14:textId="77777777" w:rsidR="005F5674" w:rsidRDefault="00680ADE">
            <w:pPr>
              <w:spacing w:before="240"/>
              <w:rPr>
                <w:b/>
              </w:rPr>
            </w:pPr>
            <w:r>
              <w:rPr>
                <w:b/>
              </w:rPr>
              <w:t>Buyer’s equipment</w:t>
            </w:r>
          </w:p>
        </w:tc>
        <w:tc>
          <w:tcPr>
            <w:tcW w:w="6243" w:type="dxa"/>
            <w:tcBorders>
              <w:bottom w:val="single" w:sz="8" w:space="0" w:color="000000"/>
              <w:right w:val="single" w:sz="8" w:space="0" w:color="000000"/>
            </w:tcBorders>
            <w:tcMar>
              <w:top w:w="100" w:type="dxa"/>
              <w:left w:w="100" w:type="dxa"/>
              <w:bottom w:w="100" w:type="dxa"/>
              <w:right w:w="100" w:type="dxa"/>
            </w:tcMar>
          </w:tcPr>
          <w:p w14:paraId="3898EA06" w14:textId="28FB424B" w:rsidR="005F5674" w:rsidRDefault="001D4FC3">
            <w:pPr>
              <w:spacing w:before="240"/>
            </w:pPr>
            <w:r>
              <w:t>N/A</w:t>
            </w:r>
          </w:p>
        </w:tc>
        <w:tc>
          <w:tcPr>
            <w:tcW w:w="46" w:type="dxa"/>
          </w:tcPr>
          <w:p w14:paraId="5D56B0C9" w14:textId="77777777" w:rsidR="005F5674" w:rsidRDefault="005F5674">
            <w:pPr>
              <w:spacing w:before="240"/>
            </w:pPr>
          </w:p>
        </w:tc>
      </w:tr>
    </w:tbl>
    <w:p w14:paraId="73A870F2" w14:textId="77777777" w:rsidR="005F5674" w:rsidRDefault="005F5674">
      <w:pPr>
        <w:spacing w:before="240" w:after="120"/>
      </w:pPr>
    </w:p>
    <w:p w14:paraId="2001DF10" w14:textId="77777777" w:rsidR="005F5674" w:rsidRDefault="00680ADE">
      <w:pPr>
        <w:pStyle w:val="Heading3"/>
        <w:rPr>
          <w:color w:val="auto"/>
        </w:rPr>
      </w:pPr>
      <w:r>
        <w:rPr>
          <w:color w:val="auto"/>
        </w:rP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5F5674" w14:paraId="2DF0FDEA" w14:textId="77777777">
        <w:trPr>
          <w:trHeight w:val="1600"/>
        </w:trPr>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D73911" w14:textId="77777777" w:rsidR="005F5674" w:rsidRDefault="00680ADE">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7713AFE" w14:textId="368B0C54" w:rsidR="005F5674" w:rsidRDefault="001D4FC3">
            <w:pPr>
              <w:spacing w:before="240"/>
            </w:pPr>
            <w:r>
              <w:t>N/A</w:t>
            </w:r>
          </w:p>
        </w:tc>
      </w:tr>
    </w:tbl>
    <w:p w14:paraId="1149B31B" w14:textId="77777777" w:rsidR="005F5674" w:rsidRDefault="005F5674">
      <w:pPr>
        <w:spacing w:before="240" w:after="120"/>
      </w:pPr>
    </w:p>
    <w:p w14:paraId="5368D605" w14:textId="77777777" w:rsidR="005F5674" w:rsidRDefault="00680ADE">
      <w:pPr>
        <w:pStyle w:val="Heading3"/>
        <w:rPr>
          <w:color w:val="auto"/>
        </w:rPr>
      </w:pPr>
      <w:r>
        <w:rPr>
          <w:color w:val="auto"/>
        </w:rPr>
        <w:t>Call-Off Contract charges and payment</w:t>
      </w:r>
    </w:p>
    <w:p w14:paraId="77E75508" w14:textId="77777777" w:rsidR="005F5674" w:rsidRDefault="00680ADE">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5F5674" w14:paraId="16391AA9"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B5FE3C" w14:textId="77777777" w:rsidR="005F5674" w:rsidRDefault="00680ADE">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E6EDAE" w14:textId="35647221" w:rsidR="005F5674" w:rsidRDefault="00680ADE">
            <w:pPr>
              <w:spacing w:before="240"/>
            </w:pPr>
            <w:r>
              <w:t>The payment method for this Call-Off Contract is</w:t>
            </w:r>
            <w:r w:rsidR="001D4FC3">
              <w:t xml:space="preserve"> Time &amp; Materials as further set out in Schedule 2.</w:t>
            </w:r>
          </w:p>
        </w:tc>
      </w:tr>
      <w:tr w:rsidR="005F5674" w14:paraId="4DD4C3CF" w14:textId="77777777">
        <w:trPr>
          <w:trHeight w:val="18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C07A4C" w14:textId="77777777" w:rsidR="005F5674" w:rsidRDefault="00680ADE">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20723B" w14:textId="2CBDF93D" w:rsidR="005F5674" w:rsidRDefault="00680ADE">
            <w:pPr>
              <w:spacing w:before="240"/>
            </w:pPr>
            <w:r>
              <w:t>The payment profile for this Call-Off Contract is in arrears</w:t>
            </w:r>
            <w:r w:rsidR="001D4FC3">
              <w:t xml:space="preserve"> as and when </w:t>
            </w:r>
            <w:proofErr w:type="spellStart"/>
            <w:r w:rsidR="00C739E3">
              <w:t>HealthCheck</w:t>
            </w:r>
            <w:r w:rsidR="001D4FC3">
              <w:t>s</w:t>
            </w:r>
            <w:proofErr w:type="spellEnd"/>
            <w:r w:rsidR="001D4FC3">
              <w:t xml:space="preserve"> are conducted, as set out in Schedules 1 and 2. </w:t>
            </w:r>
          </w:p>
          <w:p w14:paraId="5DCAF2E3" w14:textId="3D2466E5" w:rsidR="005F5674" w:rsidRDefault="005F5674">
            <w:pPr>
              <w:spacing w:before="240"/>
            </w:pPr>
          </w:p>
        </w:tc>
      </w:tr>
      <w:tr w:rsidR="005F5674" w14:paraId="12394909" w14:textId="77777777">
        <w:trPr>
          <w:trHeight w:val="106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68B1C4" w14:textId="77777777" w:rsidR="005F5674" w:rsidRDefault="00680ADE">
            <w:pPr>
              <w:spacing w:before="240"/>
              <w:rPr>
                <w:b/>
              </w:rPr>
            </w:pPr>
            <w:r>
              <w:rPr>
                <w:b/>
              </w:rPr>
              <w:lastRenderedPageBreak/>
              <w:t>Invoice details</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7896AE" w14:textId="6F6845F8" w:rsidR="005F5674" w:rsidRDefault="00680ADE">
            <w:pPr>
              <w:spacing w:before="240"/>
            </w:pPr>
            <w:r>
              <w:t>The Supplier will issue electronic invoic</w:t>
            </w:r>
            <w:r w:rsidR="001D4FC3">
              <w:t xml:space="preserve">es </w:t>
            </w:r>
            <w:r>
              <w:t>in arrears</w:t>
            </w:r>
            <w:r w:rsidR="001D4FC3">
              <w:t>, following delivery of an agreed final version of a report</w:t>
            </w:r>
            <w:r>
              <w:t xml:space="preserve">. The Buyer will pay the Supplier within </w:t>
            </w:r>
            <w:r>
              <w:rPr>
                <w:b/>
              </w:rPr>
              <w:t>30</w:t>
            </w:r>
            <w:r>
              <w:t xml:space="preserve"> days of receipt of a valid invoice.</w:t>
            </w:r>
          </w:p>
        </w:tc>
      </w:tr>
      <w:tr w:rsidR="005F5674" w14:paraId="0B4F3ECD" w14:textId="77777777">
        <w:trPr>
          <w:trHeight w:val="509"/>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B39E1C" w14:textId="77777777" w:rsidR="005F5674" w:rsidRDefault="00680ADE">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C568B9" w14:textId="1B9ECDA1" w:rsidR="005F5674" w:rsidRDefault="00680ADE" w:rsidP="00732BC0">
            <w:pPr>
              <w:spacing w:after="120"/>
            </w:pPr>
            <w:r>
              <w:t xml:space="preserve">Invoices will be sent to </w:t>
            </w:r>
            <w:r w:rsidR="00732BC0">
              <w:t>[redacted]</w:t>
            </w:r>
          </w:p>
        </w:tc>
      </w:tr>
      <w:tr w:rsidR="005F5674" w14:paraId="0E624D63" w14:textId="77777777">
        <w:trPr>
          <w:trHeight w:val="1161"/>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28FDC9" w14:textId="77777777" w:rsidR="005F5674" w:rsidRDefault="00680ADE">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5D4664" w14:textId="73057C48" w:rsidR="005F5674" w:rsidRDefault="00680ADE" w:rsidP="001D4FC3">
            <w:pPr>
              <w:spacing w:before="240"/>
            </w:pPr>
            <w:r>
              <w:t xml:space="preserve">All invoices must include </w:t>
            </w:r>
            <w:r w:rsidR="001D4FC3">
              <w:t xml:space="preserve">the TRN contract reference number, the Purchase Order number, and a brief summary of the Services delivered that the invoices </w:t>
            </w:r>
            <w:proofErr w:type="gramStart"/>
            <w:r w:rsidR="001D4FC3">
              <w:t>relates</w:t>
            </w:r>
            <w:proofErr w:type="gramEnd"/>
            <w:r w:rsidR="001D4FC3">
              <w:t xml:space="preserve"> to. </w:t>
            </w:r>
          </w:p>
        </w:tc>
      </w:tr>
      <w:tr w:rsidR="005F5674" w14:paraId="2C75B162" w14:textId="77777777">
        <w:trPr>
          <w:trHeight w:val="50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F8762" w14:textId="77777777" w:rsidR="005F5674" w:rsidRDefault="00680ADE">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39B230" w14:textId="2A0CF338" w:rsidR="005F5674" w:rsidRDefault="00680ADE">
            <w:pPr>
              <w:spacing w:before="240"/>
            </w:pPr>
            <w:r>
              <w:t>Invoice will be sent to the Buyer</w:t>
            </w:r>
            <w:r w:rsidR="001D4FC3">
              <w:t xml:space="preserve"> following delivery of an agreed final version of a report</w:t>
            </w:r>
          </w:p>
        </w:tc>
      </w:tr>
      <w:tr w:rsidR="005F5674" w14:paraId="3C1DF372"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22BD31" w14:textId="77777777" w:rsidR="005F5674" w:rsidRDefault="00680ADE">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C0CA4E" w14:textId="18E2B391" w:rsidR="005F5674" w:rsidRDefault="00680ADE">
            <w:pPr>
              <w:spacing w:before="240"/>
            </w:pPr>
            <w:r>
              <w:t xml:space="preserve">The total value of this Call-Off Contract is </w:t>
            </w:r>
            <w:r w:rsidR="00850314">
              <w:t>£22,000 (excluding VAT).</w:t>
            </w:r>
          </w:p>
        </w:tc>
      </w:tr>
      <w:tr w:rsidR="005F5674" w14:paraId="15D9D54E" w14:textId="77777777">
        <w:trPr>
          <w:trHeight w:val="18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111F79" w14:textId="77777777" w:rsidR="005F5674" w:rsidRDefault="00680ADE">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476425" w14:textId="285558D7" w:rsidR="005F5674" w:rsidRDefault="00680ADE" w:rsidP="001D4FC3">
            <w:pPr>
              <w:spacing w:before="240"/>
            </w:pPr>
            <w:r>
              <w:t xml:space="preserve">The breakdown of the Charges </w:t>
            </w:r>
            <w:r w:rsidR="001D4FC3">
              <w:t>can be seen in Schedule 2.</w:t>
            </w:r>
          </w:p>
        </w:tc>
      </w:tr>
    </w:tbl>
    <w:p w14:paraId="60D8E075" w14:textId="77777777" w:rsidR="005F5674" w:rsidRDefault="005F5674"/>
    <w:p w14:paraId="7B27E183" w14:textId="77777777" w:rsidR="005F5674" w:rsidRDefault="00680ADE">
      <w:pPr>
        <w:pStyle w:val="Heading3"/>
        <w:rPr>
          <w:color w:val="auto"/>
        </w:rPr>
      </w:pPr>
      <w:r>
        <w:rPr>
          <w:color w:val="auto"/>
        </w:rPr>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5F5674" w14:paraId="275151B4" w14:textId="77777777">
        <w:trPr>
          <w:trHeight w:val="164"/>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0345D7" w14:textId="77777777" w:rsidR="005F5674" w:rsidRDefault="00680ADE">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9B2EA2" w14:textId="77777777" w:rsidR="005F5674" w:rsidRDefault="00680ADE">
            <w:pPr>
              <w:spacing w:before="240"/>
            </w:pPr>
            <w:r>
              <w:t>This Call-Off Contract will include the following Implementation Plan, exit and offboarding plans and milestones:</w:t>
            </w:r>
          </w:p>
          <w:p w14:paraId="6C786CCB" w14:textId="77777777" w:rsidR="001D4FC3" w:rsidRPr="001D4FC3" w:rsidRDefault="001D4FC3" w:rsidP="001D4FC3">
            <w:pPr>
              <w:pStyle w:val="ListParagraph"/>
              <w:numPr>
                <w:ilvl w:val="0"/>
                <w:numId w:val="39"/>
              </w:numPr>
              <w:suppressAutoHyphens w:val="0"/>
              <w:autoSpaceDN/>
              <w:spacing w:line="240" w:lineRule="auto"/>
              <w:contextualSpacing/>
              <w:textAlignment w:val="auto"/>
            </w:pPr>
            <w:r w:rsidRPr="001D4FC3">
              <w:t>Conduct first round of IT Health Check ideally in the week starting 15</w:t>
            </w:r>
            <w:r w:rsidRPr="001D4FC3">
              <w:rPr>
                <w:vertAlign w:val="superscript"/>
              </w:rPr>
              <w:t>th</w:t>
            </w:r>
            <w:r w:rsidRPr="001D4FC3">
              <w:t xml:space="preserve"> of November 2021</w:t>
            </w:r>
          </w:p>
          <w:p w14:paraId="62F2A15A" w14:textId="77777777" w:rsidR="001D4FC3" w:rsidRPr="001D4FC3" w:rsidRDefault="001D4FC3" w:rsidP="001D4FC3">
            <w:pPr>
              <w:pStyle w:val="ListParagraph"/>
              <w:numPr>
                <w:ilvl w:val="0"/>
                <w:numId w:val="39"/>
              </w:numPr>
              <w:suppressAutoHyphens w:val="0"/>
              <w:autoSpaceDN/>
              <w:spacing w:line="240" w:lineRule="auto"/>
              <w:contextualSpacing/>
              <w:textAlignment w:val="auto"/>
            </w:pPr>
            <w:r w:rsidRPr="001D4FC3">
              <w:t>Early sight of the findings by Friday 19</w:t>
            </w:r>
            <w:r w:rsidRPr="001D4FC3">
              <w:rPr>
                <w:vertAlign w:val="superscript"/>
              </w:rPr>
              <w:t>th</w:t>
            </w:r>
            <w:r w:rsidRPr="001D4FC3">
              <w:t xml:space="preserve"> with final report issued by 24th November</w:t>
            </w:r>
          </w:p>
          <w:p w14:paraId="1124F268" w14:textId="77777777" w:rsidR="001D4FC3" w:rsidRPr="001D4FC3" w:rsidRDefault="001D4FC3" w:rsidP="001D4FC3">
            <w:pPr>
              <w:pStyle w:val="ListParagraph"/>
              <w:numPr>
                <w:ilvl w:val="0"/>
                <w:numId w:val="39"/>
              </w:numPr>
              <w:suppressAutoHyphens w:val="0"/>
              <w:autoSpaceDN/>
              <w:spacing w:line="240" w:lineRule="auto"/>
              <w:contextualSpacing/>
              <w:textAlignment w:val="auto"/>
            </w:pPr>
            <w:r w:rsidRPr="001D4FC3">
              <w:t>Possible re-test of selected items during week commencing 6</w:t>
            </w:r>
            <w:r w:rsidRPr="001D4FC3">
              <w:rPr>
                <w:vertAlign w:val="superscript"/>
              </w:rPr>
              <w:t>th</w:t>
            </w:r>
            <w:r w:rsidRPr="001D4FC3">
              <w:t xml:space="preserve"> December 2021</w:t>
            </w:r>
          </w:p>
          <w:p w14:paraId="3078DA09" w14:textId="22D0EF0D" w:rsidR="005F5674" w:rsidRDefault="001D4FC3">
            <w:pPr>
              <w:spacing w:before="240"/>
            </w:pPr>
            <w:r>
              <w:t>Milestones for the optional 2</w:t>
            </w:r>
            <w:r w:rsidRPr="001D4FC3">
              <w:rPr>
                <w:vertAlign w:val="superscript"/>
              </w:rPr>
              <w:t>nd</w:t>
            </w:r>
            <w:r>
              <w:t xml:space="preserve"> review shall be agreed in advance of commissioning it.</w:t>
            </w:r>
          </w:p>
        </w:tc>
      </w:tr>
      <w:tr w:rsidR="005F5674" w14:paraId="7C1642F0" w14:textId="77777777">
        <w:trPr>
          <w:trHeight w:val="21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B83656" w14:textId="77777777" w:rsidR="005F5674" w:rsidRDefault="00680ADE">
            <w:pPr>
              <w:spacing w:before="240"/>
              <w:rPr>
                <w:b/>
              </w:rPr>
            </w:pPr>
            <w:r>
              <w:rPr>
                <w:b/>
              </w:rPr>
              <w:lastRenderedPageBreak/>
              <w:t>Guarantee</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41F9BB" w14:textId="66351E39" w:rsidR="005F5674" w:rsidRDefault="001D4FC3">
            <w:pPr>
              <w:spacing w:before="240"/>
            </w:pPr>
            <w:r>
              <w:t>N/A</w:t>
            </w:r>
          </w:p>
        </w:tc>
      </w:tr>
      <w:tr w:rsidR="005F5674" w14:paraId="3E4B2077" w14:textId="77777777">
        <w:trPr>
          <w:trHeight w:val="1613"/>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12EBE1" w14:textId="77777777" w:rsidR="005F5674" w:rsidRDefault="00680ADE">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50F16F" w14:textId="4D4AD399" w:rsidR="005F5674" w:rsidRDefault="001D4FC3">
            <w:pPr>
              <w:spacing w:before="240"/>
            </w:pPr>
            <w:r>
              <w:t>N/A</w:t>
            </w:r>
          </w:p>
        </w:tc>
      </w:tr>
      <w:tr w:rsidR="005F5674" w14:paraId="63EC53BE" w14:textId="77777777">
        <w:trPr>
          <w:trHeight w:val="13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2959B5" w14:textId="77777777" w:rsidR="005F5674" w:rsidRDefault="00680ADE">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20A87B" w14:textId="4041AA96" w:rsidR="005F5674" w:rsidRDefault="001D4FC3">
            <w:pPr>
              <w:spacing w:before="240"/>
            </w:pPr>
            <w:r>
              <w:t>N/A</w:t>
            </w:r>
          </w:p>
        </w:tc>
      </w:tr>
      <w:tr w:rsidR="005F5674" w14:paraId="548905E8" w14:textId="77777777">
        <w:trPr>
          <w:trHeight w:val="219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5590CA" w14:textId="77777777" w:rsidR="005F5674" w:rsidRDefault="00680ADE">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6C230A" w14:textId="046005FB" w:rsidR="005F5674" w:rsidRDefault="001D4FC3">
            <w:pPr>
              <w:spacing w:before="240"/>
            </w:pPr>
            <w:r>
              <w:t>N/A</w:t>
            </w:r>
          </w:p>
        </w:tc>
      </w:tr>
      <w:tr w:rsidR="005F5674" w14:paraId="46E4D174" w14:textId="77777777">
        <w:trPr>
          <w:trHeight w:val="14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475DE" w14:textId="77777777" w:rsidR="005F5674" w:rsidRDefault="00680ADE">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BE961" w14:textId="690A2490" w:rsidR="005F5674" w:rsidRDefault="001D4FC3">
            <w:pPr>
              <w:spacing w:before="240"/>
            </w:pPr>
            <w:r>
              <w:t>N/A</w:t>
            </w:r>
          </w:p>
        </w:tc>
      </w:tr>
      <w:tr w:rsidR="005F5674" w14:paraId="105287C0" w14:textId="77777777">
        <w:trPr>
          <w:trHeight w:val="21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443737" w14:textId="77777777" w:rsidR="005F5674" w:rsidRDefault="00680ADE">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1FF04D" w14:textId="74D95600" w:rsidR="005F5674" w:rsidRDefault="001D4FC3">
            <w:pPr>
              <w:spacing w:before="240"/>
            </w:pPr>
            <w:r>
              <w:t>N/A</w:t>
            </w:r>
          </w:p>
        </w:tc>
      </w:tr>
      <w:tr w:rsidR="005F5674" w14:paraId="2CB62E05" w14:textId="77777777">
        <w:trPr>
          <w:trHeight w:val="873"/>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2E990E" w14:textId="77777777" w:rsidR="005F5674" w:rsidRDefault="00680ADE">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292CB" w14:textId="70435443" w:rsidR="005F5674" w:rsidRDefault="00680ADE">
            <w:pPr>
              <w:spacing w:before="240"/>
            </w:pPr>
            <w:r>
              <w:t xml:space="preserve">Confirm whether Annex 1 (and Annex 2, if applicable) of Schedule 7 is being used: </w:t>
            </w:r>
            <w:r w:rsidR="001D4FC3">
              <w:t>Annex 1 only</w:t>
            </w:r>
          </w:p>
        </w:tc>
      </w:tr>
    </w:tbl>
    <w:p w14:paraId="6410391A" w14:textId="77777777" w:rsidR="005F5674" w:rsidRDefault="00680ADE">
      <w:pPr>
        <w:spacing w:before="240" w:after="240"/>
      </w:pPr>
      <w:r>
        <w:t xml:space="preserve"> </w:t>
      </w:r>
    </w:p>
    <w:p w14:paraId="5D6B78A1" w14:textId="77777777" w:rsidR="005F5674" w:rsidRDefault="00680ADE">
      <w:pPr>
        <w:pStyle w:val="Heading3"/>
        <w:rPr>
          <w:color w:val="auto"/>
        </w:rPr>
      </w:pPr>
      <w:r>
        <w:rPr>
          <w:color w:val="auto"/>
        </w:rPr>
        <w:lastRenderedPageBreak/>
        <w:t xml:space="preserve">1. </w:t>
      </w:r>
      <w:r>
        <w:rPr>
          <w:color w:val="auto"/>
        </w:rPr>
        <w:tab/>
        <w:t>Formation of contract</w:t>
      </w:r>
    </w:p>
    <w:p w14:paraId="7EFF9EB0" w14:textId="77777777" w:rsidR="005F5674" w:rsidRDefault="00680ADE">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2F77BCDA" w14:textId="77777777" w:rsidR="005F5674" w:rsidRDefault="005F5674">
      <w:pPr>
        <w:ind w:firstLine="720"/>
      </w:pPr>
    </w:p>
    <w:p w14:paraId="1F94B4DD" w14:textId="77777777" w:rsidR="005F5674" w:rsidRDefault="00680ADE">
      <w:pPr>
        <w:ind w:left="720" w:hanging="720"/>
      </w:pPr>
      <w:r>
        <w:t>1.2</w:t>
      </w:r>
      <w:r>
        <w:tab/>
        <w:t>The Parties agree that they have read the Order Form (Part A) and the Call-Off Contract terms and by signing below agree to be bound by this Call-Off Contract.</w:t>
      </w:r>
    </w:p>
    <w:p w14:paraId="26EB4892" w14:textId="77777777" w:rsidR="005F5674" w:rsidRDefault="005F5674">
      <w:pPr>
        <w:ind w:firstLine="720"/>
      </w:pPr>
    </w:p>
    <w:p w14:paraId="2B4BCB0D" w14:textId="77777777" w:rsidR="005F5674" w:rsidRDefault="00680ADE">
      <w:pPr>
        <w:ind w:left="720" w:hanging="720"/>
      </w:pPr>
      <w:r>
        <w:t>1.3</w:t>
      </w:r>
      <w:r>
        <w:tab/>
        <w:t>This Call-Off Contract will be formed when the Buyer acknowledges receipt of the signed copy of the Order Form from the Supplier.</w:t>
      </w:r>
    </w:p>
    <w:p w14:paraId="15B98C8A" w14:textId="77777777" w:rsidR="005F5674" w:rsidRDefault="005F5674">
      <w:pPr>
        <w:ind w:firstLine="720"/>
      </w:pPr>
    </w:p>
    <w:p w14:paraId="0A51434F" w14:textId="77777777" w:rsidR="005F5674" w:rsidRDefault="00680ADE">
      <w:pPr>
        <w:ind w:left="720" w:hanging="720"/>
      </w:pPr>
      <w:r>
        <w:t>1.4</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6A8FD183" w14:textId="77777777" w:rsidR="005F5674" w:rsidRDefault="005F5674"/>
    <w:p w14:paraId="2A65880D" w14:textId="77777777" w:rsidR="005F5674" w:rsidRDefault="00680ADE">
      <w:pPr>
        <w:pStyle w:val="Heading3"/>
        <w:rPr>
          <w:color w:val="auto"/>
        </w:rPr>
      </w:pPr>
      <w:r>
        <w:rPr>
          <w:color w:val="auto"/>
        </w:rPr>
        <w:t xml:space="preserve">2. </w:t>
      </w:r>
      <w:r>
        <w:rPr>
          <w:color w:val="auto"/>
        </w:rPr>
        <w:tab/>
        <w:t>Background to the agreement</w:t>
      </w:r>
    </w:p>
    <w:p w14:paraId="14211F0F" w14:textId="77777777" w:rsidR="005F5674" w:rsidRDefault="00680ADE">
      <w:pPr>
        <w:ind w:left="720" w:hanging="720"/>
      </w:pPr>
      <w:r>
        <w:t>2.1</w:t>
      </w:r>
      <w:r>
        <w:tab/>
        <w:t>The Supplier is a provider of G-Cloud Services and agreed to provide the Services under the terms of Framework Agreement number RM1557.12.</w:t>
      </w:r>
    </w:p>
    <w:p w14:paraId="55B14F1A" w14:textId="77777777" w:rsidR="005F5674" w:rsidRDefault="005F5674">
      <w:pPr>
        <w:ind w:left="720"/>
      </w:pPr>
    </w:p>
    <w:p w14:paraId="0E346B52" w14:textId="77777777" w:rsidR="005F5674" w:rsidRDefault="00680ADE">
      <w:r>
        <w:t>2.2</w:t>
      </w:r>
      <w:r>
        <w:tab/>
        <w:t>The Buyer provided an Order Form for Services to the Supplier.</w:t>
      </w:r>
    </w:p>
    <w:p w14:paraId="0C05D839" w14:textId="77777777" w:rsidR="005F5674" w:rsidRDefault="005F5674"/>
    <w:p w14:paraId="5744B55C" w14:textId="77777777" w:rsidR="005F5674" w:rsidRDefault="005F5674">
      <w:pPr>
        <w:pageBreakBefore/>
      </w:pPr>
    </w:p>
    <w:p w14:paraId="01EE5C2C" w14:textId="77777777" w:rsidR="005F5674" w:rsidRDefault="005F5674"/>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5F5674" w14:paraId="47C2BAEB"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52BDFB" w14:textId="77777777" w:rsidR="005F5674" w:rsidRDefault="00680ADE">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4F104A" w14:textId="77777777" w:rsidR="005F5674" w:rsidRDefault="00680ADE">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30CA04" w14:textId="77777777" w:rsidR="005F5674" w:rsidRDefault="00680ADE">
            <w:pPr>
              <w:spacing w:before="240"/>
            </w:pPr>
            <w:r>
              <w:t>Buyer</w:t>
            </w:r>
          </w:p>
        </w:tc>
      </w:tr>
      <w:tr w:rsidR="005F5674" w14:paraId="3C02C564"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899D72" w14:textId="77777777" w:rsidR="005F5674" w:rsidRDefault="00680ADE">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69D5B5" w14:textId="5095DE43" w:rsidR="005F5674" w:rsidRDefault="00732BC0" w:rsidP="00732BC0">
            <w:pPr>
              <w:spacing w:after="120"/>
            </w:pPr>
            <w:r>
              <w:t>[redacted]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3882E8" w14:textId="7B17FA80" w:rsidR="005F5674" w:rsidRDefault="00732BC0" w:rsidP="00732BC0">
            <w:pPr>
              <w:spacing w:after="120"/>
            </w:pPr>
            <w:r>
              <w:t>[redacted]</w:t>
            </w:r>
          </w:p>
        </w:tc>
      </w:tr>
      <w:tr w:rsidR="005F5674" w14:paraId="45E8E6C2"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5B4F44" w14:textId="77777777" w:rsidR="005F5674" w:rsidRDefault="00680ADE">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FCB78C" w14:textId="6552126F" w:rsidR="005F5674" w:rsidRDefault="00732BC0" w:rsidP="00732BC0">
            <w:pPr>
              <w:spacing w:after="120"/>
            </w:pPr>
            <w:r>
              <w:t>[redacted]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1A5984" w14:textId="1D877A54" w:rsidR="005F5674" w:rsidRDefault="00732BC0" w:rsidP="00732BC0">
            <w:pPr>
              <w:spacing w:after="120"/>
            </w:pPr>
            <w:r>
              <w:t>[redacted]</w:t>
            </w:r>
          </w:p>
        </w:tc>
      </w:tr>
      <w:tr w:rsidR="005F5674" w14:paraId="2B3D6E77" w14:textId="77777777">
        <w:trPr>
          <w:trHeight w:val="84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E97719" w14:textId="77777777" w:rsidR="005F5674" w:rsidRDefault="00680ADE">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8AACA9" w14:textId="683047D3" w:rsidR="005F5674" w:rsidRDefault="00732BC0" w:rsidP="00732BC0">
            <w:pPr>
              <w:spacing w:after="120"/>
            </w:pPr>
            <w:r>
              <w:t>[redacted]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0E9A2C" w14:textId="6FD7035D" w:rsidR="005F5674" w:rsidRDefault="00732BC0" w:rsidP="00732BC0">
            <w:pPr>
              <w:spacing w:after="120"/>
            </w:pPr>
            <w:r>
              <w:t>[redacted]</w:t>
            </w:r>
          </w:p>
        </w:tc>
      </w:tr>
      <w:tr w:rsidR="005F5674" w14:paraId="79B70939"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394F5" w14:textId="77777777" w:rsidR="005F5674" w:rsidRDefault="00680ADE">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367104" w14:textId="361DB9BA" w:rsidR="005F5674" w:rsidRDefault="00732BC0">
            <w:pPr>
              <w:spacing w:before="240"/>
            </w:pPr>
            <w:r>
              <w:t>1 November 2021</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9A8397" w14:textId="3569320A" w:rsidR="005F5674" w:rsidRDefault="00732BC0">
            <w:pPr>
              <w:spacing w:before="240"/>
            </w:pPr>
            <w:r>
              <w:t>1 November 2021</w:t>
            </w:r>
          </w:p>
        </w:tc>
      </w:tr>
    </w:tbl>
    <w:p w14:paraId="7DE9D9F2" w14:textId="77777777" w:rsidR="005F5674" w:rsidRDefault="00680ADE">
      <w:pPr>
        <w:spacing w:before="240"/>
        <w:rPr>
          <w:b/>
        </w:rPr>
      </w:pPr>
      <w:r>
        <w:rPr>
          <w:b/>
        </w:rPr>
        <w:t xml:space="preserve"> </w:t>
      </w:r>
    </w:p>
    <w:p w14:paraId="0F5B1E11" w14:textId="77777777" w:rsidR="005F5674" w:rsidRDefault="00680ADE">
      <w:pPr>
        <w:pStyle w:val="Heading2"/>
      </w:pPr>
      <w:bookmarkStart w:id="3" w:name="_Toc33176233"/>
      <w:r>
        <w:t>Schedule 1: Services</w:t>
      </w:r>
      <w:bookmarkEnd w:id="3"/>
    </w:p>
    <w:p w14:paraId="32414076" w14:textId="7C51AA44" w:rsidR="005F5674" w:rsidRPr="001D4FC3" w:rsidRDefault="001D4FC3">
      <w:pPr>
        <w:spacing w:before="240"/>
      </w:pPr>
      <w:r w:rsidRPr="001D4FC3">
        <w:t xml:space="preserve">Part 1 of Schedule 1 is the Buyer’s Requirement document sent to shortlisted suppliers, while part 2 of Schedule 1 is formed of aspects of the Supplier’s clarificatory response to that document. In case of any conflict on any individual point, the prevailing document in that </w:t>
      </w:r>
      <w:proofErr w:type="gramStart"/>
      <w:r w:rsidRPr="001D4FC3">
        <w:t>particular instance</w:t>
      </w:r>
      <w:proofErr w:type="gramEnd"/>
      <w:r w:rsidRPr="001D4FC3">
        <w:t xml:space="preserve"> shall be the one that contained the preferential commercial position from the Buyer’s perspective.</w:t>
      </w:r>
    </w:p>
    <w:p w14:paraId="546DDF9D" w14:textId="2425EDF9" w:rsidR="001D4FC3" w:rsidRPr="001D4FC3" w:rsidRDefault="001D4FC3">
      <w:pPr>
        <w:spacing w:before="240"/>
        <w:rPr>
          <w:b/>
          <w:bCs/>
        </w:rPr>
      </w:pPr>
      <w:r w:rsidRPr="001D4FC3">
        <w:rPr>
          <w:b/>
          <w:bCs/>
        </w:rPr>
        <w:t>Part 1 – Buyer’s Requirement Document</w:t>
      </w:r>
    </w:p>
    <w:p w14:paraId="57BB22F5" w14:textId="77777777" w:rsidR="001D4FC3" w:rsidRPr="001D4FC3" w:rsidRDefault="001D4FC3" w:rsidP="001D4FC3">
      <w:pPr>
        <w:jc w:val="both"/>
        <w:rPr>
          <w:rStyle w:val="normaltextrun"/>
          <w:rFonts w:eastAsiaTheme="majorEastAsia"/>
          <w:b/>
          <w:bCs/>
          <w:color w:val="2F5496" w:themeColor="accent1" w:themeShade="BF"/>
          <w:sz w:val="24"/>
          <w:szCs w:val="18"/>
          <w:shd w:val="clear" w:color="auto" w:fill="FFFFFF"/>
        </w:rPr>
      </w:pPr>
      <w:bookmarkStart w:id="4" w:name="_Toc83725114"/>
    </w:p>
    <w:p w14:paraId="06641E69" w14:textId="72A8FB3C" w:rsidR="001D4FC3" w:rsidRPr="001D4FC3" w:rsidRDefault="001D4FC3" w:rsidP="001D4FC3">
      <w:pPr>
        <w:jc w:val="both"/>
        <w:rPr>
          <w:rStyle w:val="normaltextrun"/>
          <w:rFonts w:eastAsiaTheme="majorEastAsia"/>
          <w:b/>
          <w:bCs/>
          <w:color w:val="2F5496" w:themeColor="accent1" w:themeShade="BF"/>
          <w:sz w:val="24"/>
          <w:szCs w:val="18"/>
          <w:shd w:val="clear" w:color="auto" w:fill="FFFFFF"/>
        </w:rPr>
      </w:pPr>
      <w:r w:rsidRPr="001D4FC3">
        <w:rPr>
          <w:rStyle w:val="normaltextrun"/>
          <w:rFonts w:eastAsiaTheme="majorEastAsia"/>
          <w:b/>
          <w:bCs/>
          <w:color w:val="2F5496" w:themeColor="accent1" w:themeShade="BF"/>
          <w:sz w:val="24"/>
          <w:szCs w:val="18"/>
          <w:shd w:val="clear" w:color="auto" w:fill="FFFFFF"/>
        </w:rPr>
        <w:t>Background</w:t>
      </w:r>
      <w:bookmarkEnd w:id="4"/>
    </w:p>
    <w:p w14:paraId="49EF5997" w14:textId="77777777" w:rsidR="001D4FC3" w:rsidRPr="001D4FC3" w:rsidRDefault="001D4FC3" w:rsidP="001D4FC3">
      <w:pPr>
        <w:jc w:val="both"/>
        <w:rPr>
          <w:szCs w:val="24"/>
        </w:rPr>
      </w:pPr>
      <w:r w:rsidRPr="001D4FC3">
        <w:rPr>
          <w:szCs w:val="24"/>
        </w:rPr>
        <w:t>This service enables acquirers and their legal representatives to notify HM Government about acquisitions of assets or entities within sectors of interest (as per the National Security Investment Act (NSIA) 2021).</w:t>
      </w:r>
    </w:p>
    <w:p w14:paraId="7E4CDF93" w14:textId="77777777" w:rsidR="001D4FC3" w:rsidRPr="001D4FC3" w:rsidRDefault="001D4FC3" w:rsidP="001D4FC3">
      <w:pPr>
        <w:jc w:val="both"/>
        <w:rPr>
          <w:szCs w:val="24"/>
        </w:rPr>
      </w:pPr>
    </w:p>
    <w:p w14:paraId="662A15EB" w14:textId="77777777" w:rsidR="001D4FC3" w:rsidRPr="001D4FC3" w:rsidRDefault="001D4FC3" w:rsidP="001D4FC3">
      <w:pPr>
        <w:jc w:val="both"/>
        <w:rPr>
          <w:szCs w:val="24"/>
        </w:rPr>
      </w:pPr>
      <w:r w:rsidRPr="001D4FC3">
        <w:rPr>
          <w:szCs w:val="24"/>
        </w:rPr>
        <w:t xml:space="preserve">The service will be managed by the Investment Security Unit (ISU), a new operational unit within the Department for Business, </w:t>
      </w:r>
      <w:proofErr w:type="gramStart"/>
      <w:r w:rsidRPr="001D4FC3">
        <w:rPr>
          <w:szCs w:val="24"/>
        </w:rPr>
        <w:t>Energy</w:t>
      </w:r>
      <w:proofErr w:type="gramEnd"/>
      <w:r w:rsidRPr="001D4FC3">
        <w:rPr>
          <w:szCs w:val="24"/>
        </w:rPr>
        <w:t xml:space="preserve"> and Industrial Strategy. The unit will be responsible for identifying, </w:t>
      </w:r>
      <w:proofErr w:type="gramStart"/>
      <w:r w:rsidRPr="001D4FC3">
        <w:rPr>
          <w:szCs w:val="24"/>
        </w:rPr>
        <w:t>addressing</w:t>
      </w:r>
      <w:proofErr w:type="gramEnd"/>
      <w:r w:rsidRPr="001D4FC3">
        <w:rPr>
          <w:szCs w:val="24"/>
        </w:rPr>
        <w:t xml:space="preserve"> and mitigating national security risks to the UK arising when a person gains control of a qualifying asset or qualifying entity as set out in NSIA 2021.</w:t>
      </w:r>
    </w:p>
    <w:p w14:paraId="7797BA99" w14:textId="77777777" w:rsidR="001D4FC3" w:rsidRPr="001D4FC3" w:rsidRDefault="001D4FC3" w:rsidP="001D4FC3">
      <w:pPr>
        <w:jc w:val="both"/>
        <w:rPr>
          <w:szCs w:val="24"/>
        </w:rPr>
      </w:pPr>
    </w:p>
    <w:p w14:paraId="12DE84CF" w14:textId="77777777" w:rsidR="001D4FC3" w:rsidRPr="001D4FC3" w:rsidRDefault="001D4FC3" w:rsidP="001D4FC3">
      <w:pPr>
        <w:jc w:val="both"/>
        <w:rPr>
          <w:szCs w:val="24"/>
        </w:rPr>
      </w:pPr>
      <w:r w:rsidRPr="001D4FC3">
        <w:rPr>
          <w:szCs w:val="24"/>
        </w:rPr>
        <w:t xml:space="preserve">The service includes the GOV.UK transactional service aimed at external and internal users, and the internal caseworker workflow and collaboration solution (Microsoft Dynamics 365). The solution also includes the Rosa document management </w:t>
      </w:r>
      <w:proofErr w:type="gramStart"/>
      <w:r w:rsidRPr="001D4FC3">
        <w:rPr>
          <w:szCs w:val="24"/>
        </w:rPr>
        <w:t>service</w:t>
      </w:r>
      <w:proofErr w:type="gramEnd"/>
      <w:r w:rsidRPr="001D4FC3">
        <w:rPr>
          <w:szCs w:val="24"/>
        </w:rPr>
        <w:t xml:space="preserve"> but it is not in scope of this IT Health Check.</w:t>
      </w:r>
    </w:p>
    <w:p w14:paraId="7D99AB2C" w14:textId="77777777" w:rsidR="001D4FC3" w:rsidRPr="001D4FC3" w:rsidRDefault="001D4FC3" w:rsidP="001D4FC3">
      <w:pPr>
        <w:jc w:val="both"/>
        <w:rPr>
          <w:szCs w:val="24"/>
        </w:rPr>
      </w:pPr>
    </w:p>
    <w:p w14:paraId="0B48BD1C" w14:textId="77777777" w:rsidR="001D4FC3" w:rsidRPr="001D4FC3" w:rsidRDefault="001D4FC3" w:rsidP="001D4FC3">
      <w:pPr>
        <w:jc w:val="both"/>
        <w:rPr>
          <w:rStyle w:val="normaltextrun"/>
          <w:rFonts w:eastAsiaTheme="majorEastAsia"/>
          <w:b/>
          <w:bCs/>
          <w:color w:val="2F5496" w:themeColor="accent1" w:themeShade="BF"/>
          <w:sz w:val="24"/>
          <w:szCs w:val="18"/>
          <w:shd w:val="clear" w:color="auto" w:fill="FFFFFF"/>
        </w:rPr>
      </w:pPr>
      <w:r w:rsidRPr="001D4FC3">
        <w:rPr>
          <w:rStyle w:val="normaltextrun"/>
          <w:rFonts w:eastAsiaTheme="majorEastAsia"/>
          <w:b/>
          <w:bCs/>
          <w:color w:val="2F5496" w:themeColor="accent1" w:themeShade="BF"/>
          <w:sz w:val="24"/>
          <w:szCs w:val="18"/>
          <w:shd w:val="clear" w:color="auto" w:fill="FFFFFF"/>
        </w:rPr>
        <w:t>Timelines</w:t>
      </w:r>
    </w:p>
    <w:p w14:paraId="008B940C" w14:textId="77777777" w:rsidR="001D4FC3" w:rsidRPr="001D4FC3" w:rsidRDefault="001D4FC3" w:rsidP="001D4FC3">
      <w:pPr>
        <w:jc w:val="both"/>
        <w:rPr>
          <w:szCs w:val="24"/>
        </w:rPr>
      </w:pPr>
      <w:r w:rsidRPr="001D4FC3">
        <w:rPr>
          <w:szCs w:val="24"/>
        </w:rPr>
        <w:t>The NS&amp;I system will require an annual IT Security Health Check. Provisions are made across FY21/22 and FY22/23 for two checks. The agreement will be on a time and materials basis where commitment is made initially for the FY21/22 IT Health Check to be complete in November 2021. In FY 22/23 the decision will be taken on the timing of the IT Health Check and the supplier will be re-engaged if/when required.</w:t>
      </w:r>
    </w:p>
    <w:p w14:paraId="05BB3EAB" w14:textId="77777777" w:rsidR="001D4FC3" w:rsidRPr="001D4FC3" w:rsidRDefault="001D4FC3" w:rsidP="001D4FC3">
      <w:pPr>
        <w:jc w:val="both"/>
        <w:rPr>
          <w:szCs w:val="24"/>
        </w:rPr>
      </w:pPr>
    </w:p>
    <w:p w14:paraId="7B5FE356" w14:textId="77777777" w:rsidR="001D4FC3" w:rsidRPr="001D4FC3" w:rsidRDefault="001D4FC3" w:rsidP="001D4FC3">
      <w:pPr>
        <w:jc w:val="both"/>
        <w:rPr>
          <w:b/>
          <w:bCs/>
          <w:sz w:val="44"/>
          <w:szCs w:val="28"/>
          <w:shd w:val="clear" w:color="auto" w:fill="FFFFFF"/>
        </w:rPr>
      </w:pPr>
      <w:bookmarkStart w:id="5" w:name="_Toc83725115"/>
      <w:r w:rsidRPr="001D4FC3">
        <w:rPr>
          <w:rStyle w:val="normaltextrun"/>
          <w:rFonts w:eastAsiaTheme="majorEastAsia"/>
          <w:b/>
          <w:bCs/>
          <w:color w:val="2F5496" w:themeColor="accent1" w:themeShade="BF"/>
          <w:sz w:val="24"/>
          <w:szCs w:val="18"/>
          <w:shd w:val="clear" w:color="auto" w:fill="FFFFFF"/>
        </w:rPr>
        <w:t>Scope</w:t>
      </w:r>
      <w:bookmarkEnd w:id="5"/>
    </w:p>
    <w:p w14:paraId="28A14EF1" w14:textId="77777777" w:rsidR="001D4FC3" w:rsidRPr="001D4FC3" w:rsidRDefault="001D4FC3" w:rsidP="001D4FC3">
      <w:pPr>
        <w:jc w:val="both"/>
        <w:rPr>
          <w:szCs w:val="24"/>
        </w:rPr>
      </w:pPr>
      <w:r w:rsidRPr="001D4FC3">
        <w:rPr>
          <w:szCs w:val="24"/>
        </w:rPr>
        <w:lastRenderedPageBreak/>
        <w:t>The scope of the IT Health Check includes all the components listed or shown in the diagram below. There are two distinct areas detailed below.</w:t>
      </w:r>
    </w:p>
    <w:p w14:paraId="4F5E2EF8" w14:textId="77777777" w:rsidR="001D4FC3" w:rsidRPr="001D4FC3" w:rsidRDefault="001D4FC3" w:rsidP="001D4FC3">
      <w:pPr>
        <w:jc w:val="both"/>
        <w:rPr>
          <w:szCs w:val="24"/>
        </w:rPr>
      </w:pPr>
      <w:r w:rsidRPr="001D4FC3">
        <w:rPr>
          <w:szCs w:val="24"/>
        </w:rPr>
        <w:t>In scope for testing in the Production environment:</w:t>
      </w:r>
    </w:p>
    <w:p w14:paraId="6B3CBB81" w14:textId="77777777" w:rsidR="001D4FC3" w:rsidRPr="001D4FC3" w:rsidRDefault="001D4FC3" w:rsidP="001D4FC3">
      <w:pPr>
        <w:jc w:val="both"/>
        <w:rPr>
          <w:szCs w:val="24"/>
        </w:rPr>
      </w:pPr>
    </w:p>
    <w:p w14:paraId="13F234C9" w14:textId="77777777" w:rsidR="001D4FC3" w:rsidRPr="001D4FC3" w:rsidRDefault="001D4FC3" w:rsidP="001D4FC3">
      <w:pPr>
        <w:jc w:val="both"/>
        <w:rPr>
          <w:rStyle w:val="normaltextrun"/>
          <w:rFonts w:eastAsiaTheme="majorEastAsia"/>
          <w:b/>
          <w:bCs/>
          <w:color w:val="2F5496" w:themeColor="accent1" w:themeShade="BF"/>
          <w:sz w:val="24"/>
          <w:szCs w:val="18"/>
          <w:shd w:val="clear" w:color="auto" w:fill="FFFFFF"/>
        </w:rPr>
      </w:pPr>
      <w:bookmarkStart w:id="6" w:name="_Toc83725116"/>
      <w:r w:rsidRPr="001D4FC3">
        <w:rPr>
          <w:rStyle w:val="normaltextrun"/>
          <w:rFonts w:eastAsiaTheme="majorEastAsia"/>
          <w:b/>
          <w:bCs/>
          <w:color w:val="2F5496" w:themeColor="accent1" w:themeShade="BF"/>
          <w:sz w:val="24"/>
          <w:szCs w:val="18"/>
          <w:shd w:val="clear" w:color="auto" w:fill="FFFFFF"/>
        </w:rPr>
        <w:t>Azure Subscription</w:t>
      </w:r>
      <w:bookmarkEnd w:id="6"/>
    </w:p>
    <w:p w14:paraId="4DDFAC4E" w14:textId="77777777" w:rsidR="001D4FC3" w:rsidRPr="001D4FC3" w:rsidRDefault="001D4FC3" w:rsidP="001D4FC3">
      <w:pPr>
        <w:pStyle w:val="ListParagraph"/>
        <w:numPr>
          <w:ilvl w:val="0"/>
          <w:numId w:val="40"/>
        </w:numPr>
        <w:suppressAutoHyphens w:val="0"/>
        <w:autoSpaceDN/>
        <w:spacing w:before="40"/>
        <w:contextualSpacing/>
        <w:textAlignment w:val="auto"/>
        <w:rPr>
          <w:szCs w:val="24"/>
        </w:rPr>
      </w:pPr>
      <w:r w:rsidRPr="001D4FC3">
        <w:rPr>
          <w:szCs w:val="24"/>
        </w:rPr>
        <w:t>Network Setup</w:t>
      </w:r>
    </w:p>
    <w:p w14:paraId="18E20966" w14:textId="77777777" w:rsidR="001D4FC3" w:rsidRPr="001D4FC3" w:rsidRDefault="001D4FC3" w:rsidP="001D4FC3">
      <w:pPr>
        <w:pStyle w:val="ListParagraph"/>
        <w:numPr>
          <w:ilvl w:val="0"/>
          <w:numId w:val="40"/>
        </w:numPr>
        <w:suppressAutoHyphens w:val="0"/>
        <w:autoSpaceDN/>
        <w:spacing w:before="40"/>
        <w:contextualSpacing/>
        <w:textAlignment w:val="auto"/>
        <w:rPr>
          <w:szCs w:val="24"/>
        </w:rPr>
      </w:pPr>
      <w:r w:rsidRPr="001D4FC3">
        <w:rPr>
          <w:szCs w:val="24"/>
        </w:rPr>
        <w:t xml:space="preserve">Azure Identity Configuration </w:t>
      </w:r>
    </w:p>
    <w:p w14:paraId="328F5876" w14:textId="77777777" w:rsidR="001D4FC3" w:rsidRPr="001D4FC3" w:rsidRDefault="001D4FC3" w:rsidP="001D4FC3">
      <w:pPr>
        <w:pStyle w:val="ListParagraph"/>
        <w:numPr>
          <w:ilvl w:val="0"/>
          <w:numId w:val="40"/>
        </w:numPr>
        <w:suppressAutoHyphens w:val="0"/>
        <w:autoSpaceDN/>
        <w:spacing w:before="40"/>
        <w:contextualSpacing/>
        <w:textAlignment w:val="auto"/>
        <w:rPr>
          <w:szCs w:val="24"/>
        </w:rPr>
      </w:pPr>
      <w:r w:rsidRPr="001D4FC3">
        <w:rPr>
          <w:szCs w:val="24"/>
        </w:rPr>
        <w:t xml:space="preserve">Notification Portal application for External Users - Azure App Service </w:t>
      </w:r>
    </w:p>
    <w:p w14:paraId="40416881" w14:textId="77777777" w:rsidR="001D4FC3" w:rsidRPr="001D4FC3" w:rsidRDefault="001D4FC3" w:rsidP="001D4FC3">
      <w:pPr>
        <w:pStyle w:val="ListParagraph"/>
        <w:numPr>
          <w:ilvl w:val="0"/>
          <w:numId w:val="40"/>
        </w:numPr>
        <w:suppressAutoHyphens w:val="0"/>
        <w:autoSpaceDN/>
        <w:spacing w:before="40"/>
        <w:contextualSpacing/>
        <w:textAlignment w:val="auto"/>
        <w:rPr>
          <w:szCs w:val="24"/>
        </w:rPr>
      </w:pPr>
      <w:r w:rsidRPr="001D4FC3">
        <w:rPr>
          <w:szCs w:val="24"/>
        </w:rPr>
        <w:t xml:space="preserve">Notification Portal application for Internal Users - Azure App Service </w:t>
      </w:r>
    </w:p>
    <w:p w14:paraId="2852FB33" w14:textId="77777777" w:rsidR="001D4FC3" w:rsidRPr="001D4FC3" w:rsidRDefault="001D4FC3" w:rsidP="001D4FC3">
      <w:pPr>
        <w:pStyle w:val="ListParagraph"/>
        <w:numPr>
          <w:ilvl w:val="0"/>
          <w:numId w:val="40"/>
        </w:numPr>
        <w:suppressAutoHyphens w:val="0"/>
        <w:autoSpaceDN/>
        <w:spacing w:before="40"/>
        <w:contextualSpacing/>
        <w:textAlignment w:val="auto"/>
        <w:rPr>
          <w:szCs w:val="24"/>
        </w:rPr>
      </w:pPr>
      <w:r w:rsidRPr="001D4FC3">
        <w:rPr>
          <w:szCs w:val="24"/>
        </w:rPr>
        <w:t xml:space="preserve">Notification Portal Database - Azure SQL Service </w:t>
      </w:r>
    </w:p>
    <w:p w14:paraId="127BA14E" w14:textId="77777777" w:rsidR="001D4FC3" w:rsidRPr="001D4FC3" w:rsidRDefault="001D4FC3" w:rsidP="001D4FC3">
      <w:pPr>
        <w:pStyle w:val="ListParagraph"/>
        <w:numPr>
          <w:ilvl w:val="0"/>
          <w:numId w:val="40"/>
        </w:numPr>
        <w:suppressAutoHyphens w:val="0"/>
        <w:autoSpaceDN/>
        <w:spacing w:before="40"/>
        <w:contextualSpacing/>
        <w:textAlignment w:val="auto"/>
        <w:rPr>
          <w:szCs w:val="24"/>
        </w:rPr>
      </w:pPr>
      <w:r w:rsidRPr="001D4FC3">
        <w:rPr>
          <w:szCs w:val="24"/>
        </w:rPr>
        <w:t>Integration of Notification Portal with CRM - Azure App Service / Azure Functions</w:t>
      </w:r>
      <w:r w:rsidRPr="001D4FC3">
        <w:rPr>
          <w:szCs w:val="24"/>
        </w:rPr>
        <w:br/>
      </w:r>
    </w:p>
    <w:p w14:paraId="2BE7F5A5" w14:textId="77777777" w:rsidR="001D4FC3" w:rsidRPr="001D4FC3" w:rsidRDefault="001D4FC3" w:rsidP="001D4FC3">
      <w:pPr>
        <w:jc w:val="both"/>
        <w:rPr>
          <w:rStyle w:val="normaltextrun"/>
          <w:rFonts w:eastAsiaTheme="majorEastAsia"/>
          <w:b/>
          <w:bCs/>
          <w:color w:val="2F5496" w:themeColor="accent1" w:themeShade="BF"/>
          <w:sz w:val="24"/>
          <w:szCs w:val="18"/>
          <w:shd w:val="clear" w:color="auto" w:fill="FFFFFF"/>
        </w:rPr>
      </w:pPr>
      <w:bookmarkStart w:id="7" w:name="_Toc83725117"/>
      <w:r w:rsidRPr="001D4FC3">
        <w:rPr>
          <w:rStyle w:val="normaltextrun"/>
          <w:rFonts w:eastAsiaTheme="majorEastAsia"/>
          <w:b/>
          <w:bCs/>
          <w:color w:val="2F5496" w:themeColor="accent1" w:themeShade="BF"/>
          <w:sz w:val="24"/>
          <w:szCs w:val="18"/>
          <w:shd w:val="clear" w:color="auto" w:fill="FFFFFF"/>
        </w:rPr>
        <w:t>MS Dynamics Tenant on Office 365</w:t>
      </w:r>
      <w:bookmarkEnd w:id="7"/>
    </w:p>
    <w:p w14:paraId="7CC77947" w14:textId="77777777" w:rsidR="001D4FC3" w:rsidRPr="001D4FC3" w:rsidRDefault="001D4FC3" w:rsidP="001D4FC3">
      <w:pPr>
        <w:pStyle w:val="ListParagraph"/>
        <w:numPr>
          <w:ilvl w:val="0"/>
          <w:numId w:val="41"/>
        </w:numPr>
        <w:suppressAutoHyphens w:val="0"/>
        <w:autoSpaceDN/>
        <w:spacing w:before="40"/>
        <w:contextualSpacing/>
        <w:textAlignment w:val="auto"/>
        <w:rPr>
          <w:szCs w:val="24"/>
        </w:rPr>
      </w:pPr>
      <w:r w:rsidRPr="001D4FC3">
        <w:rPr>
          <w:szCs w:val="24"/>
        </w:rPr>
        <w:t xml:space="preserve">CRM configuration - MS Dynamics </w:t>
      </w:r>
    </w:p>
    <w:p w14:paraId="0B849DCB" w14:textId="77777777" w:rsidR="001D4FC3" w:rsidRPr="001D4FC3" w:rsidRDefault="001D4FC3" w:rsidP="001D4FC3">
      <w:pPr>
        <w:pStyle w:val="ListParagraph"/>
        <w:numPr>
          <w:ilvl w:val="0"/>
          <w:numId w:val="41"/>
        </w:numPr>
        <w:suppressAutoHyphens w:val="0"/>
        <w:autoSpaceDN/>
        <w:spacing w:before="40"/>
        <w:contextualSpacing/>
        <w:textAlignment w:val="auto"/>
        <w:rPr>
          <w:szCs w:val="24"/>
        </w:rPr>
      </w:pPr>
      <w:r w:rsidRPr="001D4FC3">
        <w:rPr>
          <w:szCs w:val="24"/>
        </w:rPr>
        <w:t xml:space="preserve">Integration of CRM with Rosa - Azure App Service / Azure Functions </w:t>
      </w:r>
    </w:p>
    <w:p w14:paraId="79A6381A" w14:textId="77777777" w:rsidR="001D4FC3" w:rsidRPr="001D4FC3" w:rsidRDefault="001D4FC3" w:rsidP="001D4FC3">
      <w:pPr>
        <w:jc w:val="both"/>
        <w:rPr>
          <w:szCs w:val="24"/>
        </w:rPr>
      </w:pPr>
    </w:p>
    <w:p w14:paraId="78C348F5" w14:textId="77777777" w:rsidR="001D4FC3" w:rsidRPr="001D4FC3" w:rsidRDefault="001D4FC3" w:rsidP="001D4FC3">
      <w:pPr>
        <w:jc w:val="both"/>
        <w:rPr>
          <w:szCs w:val="24"/>
        </w:rPr>
      </w:pPr>
    </w:p>
    <w:p w14:paraId="76D2E798" w14:textId="77777777" w:rsidR="001D4FC3" w:rsidRPr="001D4FC3" w:rsidRDefault="001D4FC3" w:rsidP="001D4FC3">
      <w:pPr>
        <w:jc w:val="both"/>
        <w:rPr>
          <w:szCs w:val="24"/>
        </w:rPr>
      </w:pPr>
      <w:r w:rsidRPr="001D4FC3">
        <w:t> </w:t>
      </w:r>
      <w:r w:rsidRPr="001D4FC3">
        <w:rPr>
          <w:noProof/>
        </w:rPr>
        <w:drawing>
          <wp:inline distT="0" distB="0" distL="0" distR="0" wp14:anchorId="2E1D8B92" wp14:editId="3E801DEE">
            <wp:extent cx="5731510" cy="3729990"/>
            <wp:effectExtent l="0" t="0" r="2540" b="3810"/>
            <wp:docPr id="4" name="Picture 4"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3729990"/>
                    </a:xfrm>
                    <a:prstGeom prst="rect">
                      <a:avLst/>
                    </a:prstGeom>
                    <a:noFill/>
                    <a:ln>
                      <a:noFill/>
                    </a:ln>
                  </pic:spPr>
                </pic:pic>
              </a:graphicData>
            </a:graphic>
          </wp:inline>
        </w:drawing>
      </w:r>
    </w:p>
    <w:p w14:paraId="140BB785" w14:textId="77777777" w:rsidR="001D4FC3" w:rsidRPr="001D4FC3" w:rsidRDefault="001D4FC3" w:rsidP="001D4FC3">
      <w:pPr>
        <w:jc w:val="both"/>
        <w:rPr>
          <w:szCs w:val="24"/>
        </w:rPr>
      </w:pPr>
    </w:p>
    <w:p w14:paraId="208C2230" w14:textId="77777777" w:rsidR="001D4FC3" w:rsidRPr="001D4FC3" w:rsidRDefault="001D4FC3" w:rsidP="001D4FC3">
      <w:pPr>
        <w:rPr>
          <w:szCs w:val="24"/>
        </w:rPr>
      </w:pPr>
    </w:p>
    <w:p w14:paraId="3B08601B" w14:textId="77777777" w:rsidR="001D4FC3" w:rsidRPr="001D4FC3" w:rsidRDefault="001D4FC3" w:rsidP="001D4FC3">
      <w:pPr>
        <w:rPr>
          <w:szCs w:val="24"/>
        </w:rPr>
      </w:pPr>
      <w:r w:rsidRPr="001D4FC3">
        <w:rPr>
          <w:szCs w:val="24"/>
        </w:rPr>
        <w:t xml:space="preserve">The diagram illustrates the azure components that make up the hosting infrastructure solution.​ Cloud native services have been used where possible </w:t>
      </w:r>
      <w:proofErr w:type="gramStart"/>
      <w:r w:rsidRPr="001D4FC3">
        <w:rPr>
          <w:szCs w:val="24"/>
        </w:rPr>
        <w:t>e.g. :</w:t>
      </w:r>
      <w:proofErr w:type="gramEnd"/>
      <w:r w:rsidRPr="001D4FC3">
        <w:rPr>
          <w:szCs w:val="24"/>
        </w:rPr>
        <w:t>​ App Service plans are used for hosting both the websites. These include functionality for scaling up and out of the box.​</w:t>
      </w:r>
    </w:p>
    <w:p w14:paraId="4B5BCF63" w14:textId="77777777" w:rsidR="001D4FC3" w:rsidRPr="001D4FC3" w:rsidRDefault="001D4FC3" w:rsidP="001D4FC3">
      <w:pPr>
        <w:rPr>
          <w:szCs w:val="24"/>
        </w:rPr>
      </w:pPr>
      <w:proofErr w:type="gramStart"/>
      <w:r w:rsidRPr="001D4FC3">
        <w:rPr>
          <w:szCs w:val="24"/>
        </w:rPr>
        <w:t>Similarly</w:t>
      </w:r>
      <w:proofErr w:type="gramEnd"/>
      <w:r w:rsidRPr="001D4FC3">
        <w:rPr>
          <w:szCs w:val="24"/>
        </w:rPr>
        <w:t> we are using Azure PostgreSQL which is a SAAS offering.​ Using these services reduces the security food print and management complexity.​</w:t>
      </w:r>
    </w:p>
    <w:p w14:paraId="1C2FF22B" w14:textId="77777777" w:rsidR="001D4FC3" w:rsidRPr="001D4FC3" w:rsidRDefault="001D4FC3" w:rsidP="001D4FC3">
      <w:pPr>
        <w:rPr>
          <w:szCs w:val="24"/>
        </w:rPr>
      </w:pPr>
      <w:r w:rsidRPr="001D4FC3">
        <w:rPr>
          <w:szCs w:val="24"/>
        </w:rPr>
        <w:t>Components have been separated out into resource groups according to their logical functions.​</w:t>
      </w:r>
    </w:p>
    <w:p w14:paraId="766A0FFE" w14:textId="77777777" w:rsidR="001D4FC3" w:rsidRPr="001D4FC3" w:rsidRDefault="001D4FC3" w:rsidP="001D4FC3">
      <w:pPr>
        <w:rPr>
          <w:szCs w:val="24"/>
        </w:rPr>
      </w:pPr>
    </w:p>
    <w:p w14:paraId="5DF48233" w14:textId="77777777" w:rsidR="001D4FC3" w:rsidRPr="001D4FC3" w:rsidRDefault="001D4FC3" w:rsidP="001D4FC3">
      <w:pPr>
        <w:rPr>
          <w:szCs w:val="24"/>
        </w:rPr>
      </w:pPr>
      <w:r w:rsidRPr="001D4FC3">
        <w:rPr>
          <w:szCs w:val="24"/>
        </w:rPr>
        <w:t>The IT Health Check will provide assurance of these systems and will produce a prioritised remediation advice to address vulnerabilities.</w:t>
      </w:r>
    </w:p>
    <w:p w14:paraId="5B1B0320" w14:textId="77777777" w:rsidR="001D4FC3" w:rsidRPr="001D4FC3" w:rsidRDefault="001D4FC3" w:rsidP="001D4FC3">
      <w:pPr>
        <w:jc w:val="both"/>
        <w:rPr>
          <w:rStyle w:val="normaltextrun"/>
          <w:rFonts w:eastAsiaTheme="majorEastAsia"/>
          <w:b/>
          <w:bCs/>
          <w:color w:val="2F5496" w:themeColor="accent1" w:themeShade="BF"/>
          <w:sz w:val="24"/>
          <w:szCs w:val="18"/>
          <w:shd w:val="clear" w:color="auto" w:fill="FFFFFF"/>
        </w:rPr>
      </w:pPr>
      <w:bookmarkStart w:id="8" w:name="_Toc83725118"/>
    </w:p>
    <w:p w14:paraId="0833D358" w14:textId="298B2BC6" w:rsidR="001D4FC3" w:rsidRPr="001D4FC3" w:rsidRDefault="001D4FC3" w:rsidP="001D4FC3">
      <w:pPr>
        <w:jc w:val="both"/>
        <w:rPr>
          <w:rStyle w:val="normaltextrun"/>
          <w:rFonts w:eastAsiaTheme="majorEastAsia"/>
          <w:b/>
          <w:bCs/>
          <w:color w:val="2F5496" w:themeColor="accent1" w:themeShade="BF"/>
          <w:sz w:val="24"/>
          <w:szCs w:val="18"/>
          <w:shd w:val="clear" w:color="auto" w:fill="FFFFFF"/>
        </w:rPr>
      </w:pPr>
      <w:r w:rsidRPr="001D4FC3">
        <w:rPr>
          <w:rStyle w:val="normaltextrun"/>
          <w:rFonts w:eastAsiaTheme="majorEastAsia"/>
          <w:b/>
          <w:bCs/>
          <w:color w:val="2F5496" w:themeColor="accent1" w:themeShade="BF"/>
          <w:sz w:val="24"/>
          <w:szCs w:val="18"/>
          <w:shd w:val="clear" w:color="auto" w:fill="FFFFFF"/>
        </w:rPr>
        <w:lastRenderedPageBreak/>
        <w:t>Engagement</w:t>
      </w:r>
      <w:bookmarkEnd w:id="8"/>
    </w:p>
    <w:p w14:paraId="473F9143" w14:textId="77777777" w:rsidR="001D4FC3" w:rsidRPr="001D4FC3" w:rsidRDefault="001D4FC3" w:rsidP="001D4FC3">
      <w:pPr>
        <w:rPr>
          <w:szCs w:val="24"/>
        </w:rPr>
      </w:pPr>
      <w:r w:rsidRPr="001D4FC3">
        <w:rPr>
          <w:szCs w:val="24"/>
        </w:rPr>
        <w:t xml:space="preserve">Require a Check certified company for performing IT Health Check and Penetration Testing in alignment with NCSC guidelines. </w:t>
      </w:r>
    </w:p>
    <w:p w14:paraId="6CB49D51" w14:textId="77777777" w:rsidR="001D4FC3" w:rsidRPr="001D4FC3" w:rsidRDefault="001D4FC3" w:rsidP="001D4FC3">
      <w:pPr>
        <w:rPr>
          <w:szCs w:val="24"/>
        </w:rPr>
      </w:pPr>
    </w:p>
    <w:p w14:paraId="68040E6E" w14:textId="77777777" w:rsidR="001D4FC3" w:rsidRPr="001D4FC3" w:rsidRDefault="001D4FC3" w:rsidP="001D4FC3">
      <w:pPr>
        <w:jc w:val="both"/>
        <w:rPr>
          <w:rStyle w:val="normaltextrun"/>
          <w:rFonts w:eastAsiaTheme="majorEastAsia"/>
          <w:b/>
          <w:bCs/>
          <w:color w:val="2F5496" w:themeColor="accent1" w:themeShade="BF"/>
          <w:sz w:val="24"/>
          <w:szCs w:val="18"/>
          <w:shd w:val="clear" w:color="auto" w:fill="FFFFFF"/>
        </w:rPr>
      </w:pPr>
      <w:bookmarkStart w:id="9" w:name="_Toc83725119"/>
      <w:r w:rsidRPr="001D4FC3">
        <w:rPr>
          <w:rStyle w:val="normaltextrun"/>
          <w:rFonts w:eastAsiaTheme="majorEastAsia"/>
          <w:b/>
          <w:bCs/>
          <w:color w:val="2F5496" w:themeColor="accent1" w:themeShade="BF"/>
          <w:sz w:val="24"/>
          <w:szCs w:val="18"/>
          <w:shd w:val="clear" w:color="auto" w:fill="FFFFFF"/>
        </w:rPr>
        <w:t>Essential Skills and Experience</w:t>
      </w:r>
      <w:bookmarkEnd w:id="9"/>
    </w:p>
    <w:p w14:paraId="7EAA8246" w14:textId="77777777" w:rsidR="001D4FC3" w:rsidRPr="001D4FC3" w:rsidRDefault="001D4FC3" w:rsidP="001D4FC3">
      <w:pPr>
        <w:pStyle w:val="ListParagraph"/>
        <w:numPr>
          <w:ilvl w:val="0"/>
          <w:numId w:val="42"/>
        </w:numPr>
        <w:suppressAutoHyphens w:val="0"/>
        <w:autoSpaceDN/>
        <w:spacing w:before="40"/>
        <w:contextualSpacing/>
        <w:textAlignment w:val="auto"/>
        <w:rPr>
          <w:szCs w:val="24"/>
        </w:rPr>
      </w:pPr>
      <w:r w:rsidRPr="001D4FC3">
        <w:rPr>
          <w:szCs w:val="24"/>
        </w:rPr>
        <w:t>CHECK certified</w:t>
      </w:r>
    </w:p>
    <w:p w14:paraId="6E54C258" w14:textId="77777777" w:rsidR="001D4FC3" w:rsidRPr="001D4FC3" w:rsidRDefault="001D4FC3" w:rsidP="001D4FC3">
      <w:pPr>
        <w:pStyle w:val="ListParagraph"/>
        <w:numPr>
          <w:ilvl w:val="0"/>
          <w:numId w:val="42"/>
        </w:numPr>
        <w:suppressAutoHyphens w:val="0"/>
        <w:autoSpaceDN/>
        <w:spacing w:before="40"/>
        <w:contextualSpacing/>
        <w:textAlignment w:val="auto"/>
        <w:rPr>
          <w:szCs w:val="24"/>
        </w:rPr>
      </w:pPr>
      <w:r w:rsidRPr="001D4FC3">
        <w:rPr>
          <w:szCs w:val="24"/>
        </w:rPr>
        <w:t>Prior experience of performing IT Health Checks on public cloud based Official Sensitive system</w:t>
      </w:r>
    </w:p>
    <w:p w14:paraId="44B0A12E" w14:textId="77777777" w:rsidR="001D4FC3" w:rsidRPr="001D4FC3" w:rsidRDefault="001D4FC3" w:rsidP="001D4FC3">
      <w:pPr>
        <w:pStyle w:val="ListParagraph"/>
        <w:numPr>
          <w:ilvl w:val="0"/>
          <w:numId w:val="42"/>
        </w:numPr>
        <w:suppressAutoHyphens w:val="0"/>
        <w:autoSpaceDN/>
        <w:spacing w:before="40"/>
        <w:contextualSpacing/>
        <w:textAlignment w:val="auto"/>
        <w:rPr>
          <w:szCs w:val="24"/>
        </w:rPr>
      </w:pPr>
      <w:r w:rsidRPr="001D4FC3">
        <w:rPr>
          <w:szCs w:val="24"/>
        </w:rPr>
        <w:t>Capability of carrying out remote testing of a client's network or onsite testing of their infrastructure to expose weaknesses in security</w:t>
      </w:r>
    </w:p>
    <w:p w14:paraId="47243B40" w14:textId="77777777" w:rsidR="001D4FC3" w:rsidRPr="001D4FC3" w:rsidRDefault="001D4FC3" w:rsidP="001D4FC3">
      <w:pPr>
        <w:pStyle w:val="ListParagraph"/>
        <w:numPr>
          <w:ilvl w:val="0"/>
          <w:numId w:val="42"/>
        </w:numPr>
        <w:suppressAutoHyphens w:val="0"/>
        <w:autoSpaceDN/>
        <w:spacing w:before="40"/>
        <w:contextualSpacing/>
        <w:textAlignment w:val="auto"/>
        <w:rPr>
          <w:szCs w:val="24"/>
        </w:rPr>
      </w:pPr>
      <w:r w:rsidRPr="001D4FC3">
        <w:rPr>
          <w:szCs w:val="24"/>
        </w:rPr>
        <w:t>Experience of working with clients to determine their requirements from the test, for example the number and type of systems they would like testing</w:t>
      </w:r>
    </w:p>
    <w:p w14:paraId="5401E269" w14:textId="77777777" w:rsidR="001D4FC3" w:rsidRPr="001D4FC3" w:rsidRDefault="001D4FC3" w:rsidP="001D4FC3">
      <w:pPr>
        <w:pStyle w:val="ListParagraph"/>
        <w:numPr>
          <w:ilvl w:val="0"/>
          <w:numId w:val="42"/>
        </w:numPr>
        <w:suppressAutoHyphens w:val="0"/>
        <w:autoSpaceDN/>
        <w:spacing w:before="40"/>
        <w:contextualSpacing/>
        <w:textAlignment w:val="auto"/>
        <w:rPr>
          <w:szCs w:val="24"/>
        </w:rPr>
      </w:pPr>
      <w:r w:rsidRPr="001D4FC3">
        <w:rPr>
          <w:szCs w:val="24"/>
        </w:rPr>
        <w:t>Ability to advise on methods to fix or lower security risks to systems</w:t>
      </w:r>
    </w:p>
    <w:p w14:paraId="6757C004" w14:textId="77777777" w:rsidR="001D4FC3" w:rsidRPr="001D4FC3" w:rsidRDefault="001D4FC3" w:rsidP="001D4FC3">
      <w:pPr>
        <w:pStyle w:val="ListParagraph"/>
        <w:numPr>
          <w:ilvl w:val="0"/>
          <w:numId w:val="42"/>
        </w:numPr>
        <w:suppressAutoHyphens w:val="0"/>
        <w:autoSpaceDN/>
        <w:spacing w:before="40"/>
        <w:contextualSpacing/>
        <w:textAlignment w:val="auto"/>
        <w:rPr>
          <w:szCs w:val="24"/>
        </w:rPr>
      </w:pPr>
      <w:r w:rsidRPr="001D4FC3">
        <w:rPr>
          <w:szCs w:val="24"/>
        </w:rPr>
        <w:t>Previous pen testing experience on local or Government organisation pen test would be highly advantageous</w:t>
      </w:r>
    </w:p>
    <w:p w14:paraId="2C6E4C8B" w14:textId="77777777" w:rsidR="001D4FC3" w:rsidRPr="001D4FC3" w:rsidRDefault="001D4FC3" w:rsidP="001D4FC3">
      <w:pPr>
        <w:pStyle w:val="ListParagraph"/>
        <w:numPr>
          <w:ilvl w:val="0"/>
          <w:numId w:val="42"/>
        </w:numPr>
        <w:suppressAutoHyphens w:val="0"/>
        <w:autoSpaceDN/>
        <w:spacing w:before="40"/>
        <w:contextualSpacing/>
        <w:textAlignment w:val="auto"/>
        <w:rPr>
          <w:szCs w:val="24"/>
        </w:rPr>
      </w:pPr>
      <w:r w:rsidRPr="001D4FC3">
        <w:rPr>
          <w:szCs w:val="24"/>
        </w:rPr>
        <w:t xml:space="preserve">Experience of creating penetration methods, </w:t>
      </w:r>
      <w:proofErr w:type="gramStart"/>
      <w:r w:rsidRPr="001D4FC3">
        <w:rPr>
          <w:szCs w:val="24"/>
        </w:rPr>
        <w:t>scripts</w:t>
      </w:r>
      <w:proofErr w:type="gramEnd"/>
      <w:r w:rsidRPr="001D4FC3">
        <w:rPr>
          <w:szCs w:val="24"/>
        </w:rPr>
        <w:t xml:space="preserve"> and tests</w:t>
      </w:r>
    </w:p>
    <w:p w14:paraId="1E7B4A56" w14:textId="77777777" w:rsidR="001D4FC3" w:rsidRPr="001D4FC3" w:rsidRDefault="001D4FC3" w:rsidP="001D4FC3">
      <w:pPr>
        <w:pStyle w:val="ListParagraph"/>
        <w:numPr>
          <w:ilvl w:val="0"/>
          <w:numId w:val="42"/>
        </w:numPr>
        <w:suppressAutoHyphens w:val="0"/>
        <w:autoSpaceDN/>
        <w:spacing w:before="40"/>
        <w:contextualSpacing/>
        <w:textAlignment w:val="auto"/>
        <w:rPr>
          <w:szCs w:val="24"/>
        </w:rPr>
      </w:pPr>
      <w:r w:rsidRPr="001D4FC3">
        <w:rPr>
          <w:szCs w:val="24"/>
        </w:rPr>
        <w:t>All people involved in execution of the tests and formulation of the reports must be, at minimum, SC Cleared</w:t>
      </w:r>
    </w:p>
    <w:p w14:paraId="7ADF96E9" w14:textId="77777777" w:rsidR="001D4FC3" w:rsidRPr="001D4FC3" w:rsidRDefault="001D4FC3" w:rsidP="001D4FC3">
      <w:pPr>
        <w:pStyle w:val="ListParagraph"/>
        <w:numPr>
          <w:ilvl w:val="0"/>
          <w:numId w:val="42"/>
        </w:numPr>
        <w:suppressAutoHyphens w:val="0"/>
        <w:autoSpaceDN/>
        <w:spacing w:before="40"/>
        <w:contextualSpacing/>
        <w:textAlignment w:val="auto"/>
        <w:rPr>
          <w:szCs w:val="24"/>
        </w:rPr>
      </w:pPr>
      <w:r w:rsidRPr="001D4FC3">
        <w:rPr>
          <w:szCs w:val="24"/>
        </w:rPr>
        <w:t>Commit people for required timing below – see Timelines</w:t>
      </w:r>
    </w:p>
    <w:p w14:paraId="0D8ADF5C" w14:textId="7624E5EC" w:rsidR="001D4FC3" w:rsidRPr="00FF5F84" w:rsidRDefault="001D4FC3" w:rsidP="00FF3F6A">
      <w:pPr>
        <w:pStyle w:val="ListParagraph"/>
        <w:numPr>
          <w:ilvl w:val="0"/>
          <w:numId w:val="42"/>
        </w:numPr>
        <w:suppressAutoHyphens w:val="0"/>
        <w:autoSpaceDN/>
        <w:spacing w:before="40"/>
        <w:contextualSpacing/>
        <w:textAlignment w:val="auto"/>
        <w:rPr>
          <w:szCs w:val="24"/>
        </w:rPr>
      </w:pPr>
      <w:r w:rsidRPr="001D4FC3">
        <w:rPr>
          <w:szCs w:val="24"/>
        </w:rPr>
        <w:t>Ability to be contacted by phone and email to understand solutions</w:t>
      </w:r>
    </w:p>
    <w:p w14:paraId="23A778DB" w14:textId="77777777" w:rsidR="001D4FC3" w:rsidRPr="001D4FC3" w:rsidRDefault="001D4FC3" w:rsidP="001D4FC3">
      <w:pPr>
        <w:rPr>
          <w:szCs w:val="24"/>
        </w:rPr>
      </w:pPr>
    </w:p>
    <w:p w14:paraId="6AD43862" w14:textId="77777777" w:rsidR="001D4FC3" w:rsidRPr="001D4FC3" w:rsidRDefault="001D4FC3" w:rsidP="001D4FC3">
      <w:pPr>
        <w:jc w:val="both"/>
        <w:rPr>
          <w:rStyle w:val="normaltextrun"/>
          <w:rFonts w:eastAsiaTheme="majorEastAsia"/>
          <w:b/>
          <w:bCs/>
          <w:color w:val="2F5496" w:themeColor="accent1" w:themeShade="BF"/>
          <w:sz w:val="24"/>
          <w:szCs w:val="18"/>
          <w:shd w:val="clear" w:color="auto" w:fill="FFFFFF"/>
        </w:rPr>
      </w:pPr>
      <w:bookmarkStart w:id="10" w:name="_Toc83725120"/>
      <w:r w:rsidRPr="001D4FC3">
        <w:rPr>
          <w:rStyle w:val="normaltextrun"/>
          <w:rFonts w:eastAsiaTheme="majorEastAsia"/>
          <w:b/>
          <w:bCs/>
          <w:color w:val="2F5496" w:themeColor="accent1" w:themeShade="BF"/>
          <w:sz w:val="24"/>
          <w:szCs w:val="18"/>
          <w:shd w:val="clear" w:color="auto" w:fill="FFFFFF"/>
        </w:rPr>
        <w:t>Deliverables</w:t>
      </w:r>
      <w:bookmarkEnd w:id="10"/>
    </w:p>
    <w:p w14:paraId="6A83E4BC" w14:textId="77777777" w:rsidR="001D4FC3" w:rsidRPr="001D4FC3" w:rsidRDefault="001D4FC3" w:rsidP="001D4FC3">
      <w:pPr>
        <w:pStyle w:val="ListParagraph"/>
        <w:numPr>
          <w:ilvl w:val="0"/>
          <w:numId w:val="42"/>
        </w:numPr>
        <w:suppressAutoHyphens w:val="0"/>
        <w:autoSpaceDN/>
        <w:spacing w:before="40"/>
        <w:contextualSpacing/>
        <w:textAlignment w:val="auto"/>
        <w:rPr>
          <w:szCs w:val="24"/>
        </w:rPr>
      </w:pPr>
      <w:r w:rsidRPr="001D4FC3">
        <w:rPr>
          <w:szCs w:val="24"/>
        </w:rPr>
        <w:t>IT Health Check report including:</w:t>
      </w:r>
    </w:p>
    <w:p w14:paraId="60EAF81B" w14:textId="77777777" w:rsidR="001D4FC3" w:rsidRPr="001D4FC3" w:rsidRDefault="001D4FC3" w:rsidP="001D4FC3">
      <w:pPr>
        <w:pStyle w:val="ListParagraph"/>
        <w:numPr>
          <w:ilvl w:val="1"/>
          <w:numId w:val="42"/>
        </w:numPr>
        <w:suppressAutoHyphens w:val="0"/>
        <w:autoSpaceDN/>
        <w:spacing w:before="40"/>
        <w:contextualSpacing/>
        <w:textAlignment w:val="auto"/>
        <w:rPr>
          <w:szCs w:val="24"/>
        </w:rPr>
      </w:pPr>
      <w:r w:rsidRPr="001D4FC3">
        <w:rPr>
          <w:szCs w:val="24"/>
        </w:rPr>
        <w:t>Analysis and recommendations prioritised by impact/risk</w:t>
      </w:r>
    </w:p>
    <w:p w14:paraId="313D0EA8" w14:textId="77777777" w:rsidR="001D4FC3" w:rsidRPr="001D4FC3" w:rsidRDefault="001D4FC3" w:rsidP="001D4FC3">
      <w:pPr>
        <w:pStyle w:val="ListParagraph"/>
        <w:numPr>
          <w:ilvl w:val="1"/>
          <w:numId w:val="42"/>
        </w:numPr>
        <w:suppressAutoHyphens w:val="0"/>
        <w:autoSpaceDN/>
        <w:spacing w:before="40"/>
        <w:contextualSpacing/>
        <w:textAlignment w:val="auto"/>
        <w:rPr>
          <w:szCs w:val="24"/>
        </w:rPr>
      </w:pPr>
      <w:r w:rsidRPr="001D4FC3">
        <w:rPr>
          <w:szCs w:val="24"/>
        </w:rPr>
        <w:t>Solutions proposed that are contextually relevant to public cloud environment</w:t>
      </w:r>
    </w:p>
    <w:p w14:paraId="0E681D9F" w14:textId="77777777" w:rsidR="001D4FC3" w:rsidRPr="001D4FC3" w:rsidRDefault="001D4FC3" w:rsidP="001D4FC3">
      <w:pPr>
        <w:jc w:val="both"/>
        <w:rPr>
          <w:szCs w:val="24"/>
        </w:rPr>
      </w:pPr>
    </w:p>
    <w:p w14:paraId="4B452764" w14:textId="77777777" w:rsidR="001D4FC3" w:rsidRPr="001D4FC3" w:rsidRDefault="001D4FC3" w:rsidP="001D4FC3">
      <w:pPr>
        <w:jc w:val="both"/>
        <w:rPr>
          <w:rStyle w:val="normaltextrun"/>
          <w:rFonts w:eastAsiaTheme="majorEastAsia"/>
          <w:b/>
          <w:bCs/>
          <w:color w:val="2F5496" w:themeColor="accent1" w:themeShade="BF"/>
          <w:sz w:val="24"/>
          <w:szCs w:val="24"/>
          <w:shd w:val="clear" w:color="auto" w:fill="FFFFFF"/>
        </w:rPr>
      </w:pPr>
      <w:bookmarkStart w:id="11" w:name="_Toc83725121"/>
      <w:r w:rsidRPr="001D4FC3">
        <w:rPr>
          <w:rStyle w:val="normaltextrun"/>
          <w:rFonts w:eastAsiaTheme="majorEastAsia"/>
          <w:b/>
          <w:bCs/>
          <w:color w:val="2F5496" w:themeColor="accent1" w:themeShade="BF"/>
          <w:sz w:val="24"/>
          <w:szCs w:val="24"/>
          <w:shd w:val="clear" w:color="auto" w:fill="FFFFFF"/>
        </w:rPr>
        <w:t>Timelines</w:t>
      </w:r>
      <w:bookmarkEnd w:id="11"/>
    </w:p>
    <w:p w14:paraId="3704FDDF" w14:textId="77777777" w:rsidR="001D4FC3" w:rsidRPr="001D4FC3" w:rsidRDefault="001D4FC3" w:rsidP="001D4FC3">
      <w:pPr>
        <w:pStyle w:val="ListParagraph"/>
        <w:numPr>
          <w:ilvl w:val="0"/>
          <w:numId w:val="39"/>
        </w:numPr>
        <w:suppressAutoHyphens w:val="0"/>
        <w:autoSpaceDN/>
        <w:spacing w:line="240" w:lineRule="auto"/>
        <w:contextualSpacing/>
        <w:textAlignment w:val="auto"/>
      </w:pPr>
      <w:r w:rsidRPr="001D4FC3">
        <w:t>Conduct first round of IT Health Check ideally in the week starting 15</w:t>
      </w:r>
      <w:r w:rsidRPr="001D4FC3">
        <w:rPr>
          <w:vertAlign w:val="superscript"/>
        </w:rPr>
        <w:t>th</w:t>
      </w:r>
      <w:r w:rsidRPr="001D4FC3">
        <w:t xml:space="preserve"> of November 2021</w:t>
      </w:r>
    </w:p>
    <w:p w14:paraId="558C25FB" w14:textId="77777777" w:rsidR="001D4FC3" w:rsidRPr="001D4FC3" w:rsidRDefault="001D4FC3" w:rsidP="001D4FC3">
      <w:pPr>
        <w:pStyle w:val="ListParagraph"/>
        <w:numPr>
          <w:ilvl w:val="0"/>
          <w:numId w:val="39"/>
        </w:numPr>
        <w:suppressAutoHyphens w:val="0"/>
        <w:autoSpaceDN/>
        <w:spacing w:line="240" w:lineRule="auto"/>
        <w:contextualSpacing/>
        <w:textAlignment w:val="auto"/>
      </w:pPr>
      <w:r w:rsidRPr="001D4FC3">
        <w:t>Early sight of the findings by Friday 19</w:t>
      </w:r>
      <w:r w:rsidRPr="001D4FC3">
        <w:rPr>
          <w:vertAlign w:val="superscript"/>
        </w:rPr>
        <w:t>th</w:t>
      </w:r>
      <w:r w:rsidRPr="001D4FC3">
        <w:t xml:space="preserve"> with final report issued by 24th November</w:t>
      </w:r>
    </w:p>
    <w:p w14:paraId="7C9A0371" w14:textId="514FC55B" w:rsidR="001D4FC3" w:rsidRDefault="001D4FC3" w:rsidP="001D4FC3">
      <w:pPr>
        <w:pStyle w:val="ListParagraph"/>
        <w:numPr>
          <w:ilvl w:val="0"/>
          <w:numId w:val="39"/>
        </w:numPr>
        <w:suppressAutoHyphens w:val="0"/>
        <w:autoSpaceDN/>
        <w:spacing w:line="240" w:lineRule="auto"/>
        <w:contextualSpacing/>
        <w:textAlignment w:val="auto"/>
      </w:pPr>
      <w:r w:rsidRPr="001D4FC3">
        <w:t>Possible re-test of selected items during week commencing 6</w:t>
      </w:r>
      <w:r w:rsidRPr="001D4FC3">
        <w:rPr>
          <w:vertAlign w:val="superscript"/>
        </w:rPr>
        <w:t>th</w:t>
      </w:r>
      <w:r w:rsidRPr="001D4FC3">
        <w:t xml:space="preserve"> December 2021</w:t>
      </w:r>
    </w:p>
    <w:p w14:paraId="7C53257F" w14:textId="0095740B" w:rsidR="00923BD6" w:rsidRPr="001D4FC3" w:rsidRDefault="00923BD6" w:rsidP="001D4FC3">
      <w:pPr>
        <w:pStyle w:val="ListParagraph"/>
        <w:numPr>
          <w:ilvl w:val="0"/>
          <w:numId w:val="39"/>
        </w:numPr>
        <w:suppressAutoHyphens w:val="0"/>
        <w:autoSpaceDN/>
        <w:spacing w:line="240" w:lineRule="auto"/>
        <w:contextualSpacing/>
        <w:textAlignment w:val="auto"/>
      </w:pPr>
      <w:r>
        <w:t>Exact timelines of optional 2</w:t>
      </w:r>
      <w:r w:rsidRPr="00923BD6">
        <w:rPr>
          <w:vertAlign w:val="superscript"/>
        </w:rPr>
        <w:t>nd</w:t>
      </w:r>
      <w:r>
        <w:t xml:space="preserve"> </w:t>
      </w:r>
      <w:proofErr w:type="spellStart"/>
      <w:r w:rsidR="00C739E3">
        <w:t>HealthCheck</w:t>
      </w:r>
      <w:proofErr w:type="spellEnd"/>
      <w:r>
        <w:t xml:space="preserve"> will be agreed as and when it is commissioned.</w:t>
      </w:r>
    </w:p>
    <w:p w14:paraId="3B831085" w14:textId="77777777" w:rsidR="001D4FC3" w:rsidRDefault="001D4FC3" w:rsidP="001D4FC3">
      <w:pPr>
        <w:jc w:val="both"/>
        <w:rPr>
          <w:szCs w:val="24"/>
        </w:rPr>
      </w:pPr>
    </w:p>
    <w:p w14:paraId="34A9AA28" w14:textId="15364CC9" w:rsidR="00923BD6" w:rsidRPr="00FF3F6A" w:rsidRDefault="00923BD6" w:rsidP="00923BD6">
      <w:pPr>
        <w:spacing w:before="240"/>
        <w:rPr>
          <w:b/>
          <w:bCs/>
          <w:sz w:val="24"/>
          <w:szCs w:val="24"/>
        </w:rPr>
      </w:pPr>
      <w:r w:rsidRPr="00FF3F6A">
        <w:rPr>
          <w:b/>
          <w:bCs/>
          <w:sz w:val="24"/>
          <w:szCs w:val="24"/>
        </w:rPr>
        <w:t>Part 2 – Supplier’s Response</w:t>
      </w:r>
    </w:p>
    <w:p w14:paraId="15EC3D2A" w14:textId="77777777" w:rsidR="002160EC" w:rsidRDefault="002160EC" w:rsidP="002160EC">
      <w:pPr>
        <w:jc w:val="both"/>
        <w:rPr>
          <w:rStyle w:val="normaltextrun"/>
          <w:rFonts w:eastAsiaTheme="majorEastAsia"/>
          <w:b/>
          <w:bCs/>
          <w:color w:val="2F5496" w:themeColor="accent1" w:themeShade="BF"/>
          <w:sz w:val="24"/>
          <w:szCs w:val="24"/>
          <w:shd w:val="clear" w:color="auto" w:fill="FFFFFF"/>
        </w:rPr>
      </w:pPr>
      <w:bookmarkStart w:id="12" w:name="_Toc66351082"/>
    </w:p>
    <w:p w14:paraId="2D7D8308" w14:textId="10C94F19" w:rsidR="001744C1" w:rsidRPr="00FF3F6A" w:rsidRDefault="001744C1" w:rsidP="004B6BA5">
      <w:pPr>
        <w:jc w:val="both"/>
        <w:rPr>
          <w:rStyle w:val="normaltextrun"/>
          <w:rFonts w:eastAsiaTheme="majorEastAsia"/>
          <w:b/>
          <w:bCs/>
          <w:color w:val="2F5496" w:themeColor="accent1" w:themeShade="BF"/>
          <w:sz w:val="24"/>
          <w:szCs w:val="24"/>
          <w:shd w:val="clear" w:color="auto" w:fill="FFFFFF"/>
        </w:rPr>
      </w:pPr>
      <w:r w:rsidRPr="00FF3F6A">
        <w:rPr>
          <w:rStyle w:val="normaltextrun"/>
          <w:rFonts w:eastAsiaTheme="majorEastAsia"/>
          <w:b/>
          <w:bCs/>
          <w:color w:val="2F5496" w:themeColor="accent1" w:themeShade="BF"/>
          <w:sz w:val="24"/>
          <w:szCs w:val="24"/>
          <w:shd w:val="clear" w:color="auto" w:fill="FFFFFF"/>
        </w:rPr>
        <w:t>Executive Summary</w:t>
      </w:r>
      <w:bookmarkEnd w:id="12"/>
    </w:p>
    <w:p w14:paraId="431892E3" w14:textId="77777777" w:rsidR="001744C1" w:rsidRPr="00FF3F6A" w:rsidRDefault="001744C1" w:rsidP="001744C1">
      <w:pPr>
        <w:jc w:val="both"/>
      </w:pPr>
      <w:r w:rsidRPr="00FF5F84">
        <w:t xml:space="preserve">The Department for Business, </w:t>
      </w:r>
      <w:proofErr w:type="gramStart"/>
      <w:r w:rsidRPr="00FF5F84">
        <w:t>Energy</w:t>
      </w:r>
      <w:proofErr w:type="gramEnd"/>
      <w:r w:rsidRPr="00FF5F84">
        <w:t xml:space="preserve"> and Industrial Strategy (BEIS) brings together responsibilities for </w:t>
      </w:r>
      <w:r w:rsidRPr="00FF3F6A">
        <w:t>business, industrial strategy, science, innovation, energy and climate change.</w:t>
      </w:r>
    </w:p>
    <w:p w14:paraId="20C7E529" w14:textId="77777777" w:rsidR="001744C1" w:rsidRPr="00FF3F6A" w:rsidRDefault="001744C1" w:rsidP="001744C1">
      <w:pPr>
        <w:jc w:val="both"/>
      </w:pPr>
    </w:p>
    <w:p w14:paraId="2FAF0F71" w14:textId="77777777" w:rsidR="001744C1" w:rsidRPr="00FF3F6A" w:rsidRDefault="001744C1" w:rsidP="001744C1">
      <w:pPr>
        <w:jc w:val="both"/>
      </w:pPr>
      <w:r w:rsidRPr="00FF3F6A">
        <w:t>The Investment Security Unit (ISU), a new operational unit within BEIS has approached CCL Solutions Group to conduct a CHECK accredited IT Security Health Check against the “IT Solution for National Security &amp; Investment” (NS&amp;I) service. This service enables acquirers and their legal representatives to notify HM Government about acquisitions of assets or entities within sectors of interest (as per the National Security Investment Act (NSIA) 2021.)</w:t>
      </w:r>
    </w:p>
    <w:p w14:paraId="69F028B5" w14:textId="77777777" w:rsidR="001744C1" w:rsidRPr="00FF3F6A" w:rsidRDefault="001744C1" w:rsidP="001744C1">
      <w:pPr>
        <w:jc w:val="both"/>
      </w:pPr>
    </w:p>
    <w:p w14:paraId="3D568C9C" w14:textId="77777777" w:rsidR="001744C1" w:rsidRPr="00FF3F6A" w:rsidRDefault="001744C1" w:rsidP="001744C1">
      <w:pPr>
        <w:jc w:val="both"/>
      </w:pPr>
      <w:r w:rsidRPr="00FF3F6A">
        <w:t xml:space="preserve">The aim of this test is to provide assurances of these services within the NS&amp;I System. </w:t>
      </w:r>
    </w:p>
    <w:p w14:paraId="3C5D02E1" w14:textId="77777777" w:rsidR="001744C1" w:rsidRPr="00FF3F6A" w:rsidRDefault="001744C1" w:rsidP="001744C1">
      <w:pPr>
        <w:jc w:val="both"/>
      </w:pPr>
    </w:p>
    <w:p w14:paraId="57445325" w14:textId="77777777" w:rsidR="001744C1" w:rsidRPr="00FF3F6A" w:rsidRDefault="001744C1" w:rsidP="001744C1">
      <w:pPr>
        <w:jc w:val="both"/>
        <w:rPr>
          <w:rFonts w:eastAsia="Calibri"/>
        </w:rPr>
      </w:pPr>
      <w:r w:rsidRPr="00FF3F6A">
        <w:rPr>
          <w:rFonts w:eastAsia="Calibri"/>
        </w:rPr>
        <w:t xml:space="preserve">This document has been designed to provide BEIS with an understanding of the testing to take place. As established through the provided “NS&amp;I IT Health Check Requirements document”, BEIS require </w:t>
      </w:r>
      <w:r w:rsidRPr="00FF3F6A">
        <w:rPr>
          <w:rFonts w:eastAsia="Calibri"/>
        </w:rPr>
        <w:lastRenderedPageBreak/>
        <w:t xml:space="preserve">an IT Health Check &amp; Penetration Testing, in alignment with NCSC guidelines. This will include the following: </w:t>
      </w:r>
    </w:p>
    <w:p w14:paraId="7336915F" w14:textId="77777777" w:rsidR="001744C1" w:rsidRPr="00FF3F6A" w:rsidRDefault="001744C1" w:rsidP="001744C1">
      <w:pPr>
        <w:jc w:val="both"/>
        <w:rPr>
          <w:rFonts w:eastAsia="Calibri"/>
        </w:rPr>
      </w:pPr>
    </w:p>
    <w:p w14:paraId="0F73EF0A" w14:textId="77777777" w:rsidR="001744C1" w:rsidRPr="00FF3F6A" w:rsidRDefault="001744C1" w:rsidP="001744C1">
      <w:pPr>
        <w:pStyle w:val="ListParagraph"/>
        <w:numPr>
          <w:ilvl w:val="0"/>
          <w:numId w:val="43"/>
        </w:numPr>
        <w:suppressAutoHyphens w:val="0"/>
        <w:autoSpaceDN/>
        <w:spacing w:line="240" w:lineRule="auto"/>
        <w:contextualSpacing/>
        <w:jc w:val="both"/>
        <w:textAlignment w:val="auto"/>
      </w:pPr>
      <w:r w:rsidRPr="00FF3F6A">
        <w:t>Azure Cloud Assessment</w:t>
      </w:r>
    </w:p>
    <w:p w14:paraId="6DA5FA1E" w14:textId="77777777" w:rsidR="001744C1" w:rsidRPr="00FF3F6A" w:rsidRDefault="001744C1" w:rsidP="001744C1">
      <w:pPr>
        <w:pStyle w:val="ListParagraph"/>
        <w:numPr>
          <w:ilvl w:val="0"/>
          <w:numId w:val="43"/>
        </w:numPr>
        <w:suppressAutoHyphens w:val="0"/>
        <w:autoSpaceDN/>
        <w:spacing w:line="240" w:lineRule="auto"/>
        <w:contextualSpacing/>
        <w:jc w:val="both"/>
        <w:textAlignment w:val="auto"/>
      </w:pPr>
      <w:r w:rsidRPr="00FF3F6A">
        <w:t>Web Application Assessment</w:t>
      </w:r>
    </w:p>
    <w:p w14:paraId="1379468A" w14:textId="77777777" w:rsidR="001744C1" w:rsidRPr="00FF3F6A" w:rsidRDefault="001744C1" w:rsidP="001744C1">
      <w:pPr>
        <w:jc w:val="both"/>
        <w:rPr>
          <w:highlight w:val="yellow"/>
        </w:rPr>
      </w:pPr>
    </w:p>
    <w:p w14:paraId="2E93D681" w14:textId="77777777" w:rsidR="001744C1" w:rsidRPr="00FF3F6A" w:rsidRDefault="001744C1" w:rsidP="001744C1">
      <w:pPr>
        <w:jc w:val="both"/>
      </w:pPr>
      <w:r w:rsidRPr="00FF3F6A">
        <w:t xml:space="preserve">Working to help </w:t>
      </w:r>
      <w:r w:rsidRPr="00FF3F6A">
        <w:rPr>
          <w:rFonts w:eastAsia="Calibri"/>
        </w:rPr>
        <w:t xml:space="preserve">BEIS </w:t>
      </w:r>
      <w:r w:rsidRPr="00FF3F6A">
        <w:t>use their budget efficiently, we have detailed our approach below. This proposal provides a comprehensive scope of work, service deliverables and pricing.</w:t>
      </w:r>
    </w:p>
    <w:p w14:paraId="128482AE" w14:textId="77777777" w:rsidR="002160EC" w:rsidRDefault="002160EC" w:rsidP="002160EC">
      <w:pPr>
        <w:jc w:val="both"/>
        <w:rPr>
          <w:rStyle w:val="normaltextrun"/>
          <w:rFonts w:eastAsiaTheme="majorEastAsia"/>
          <w:b/>
          <w:bCs/>
          <w:color w:val="2F5496" w:themeColor="accent1" w:themeShade="BF"/>
          <w:sz w:val="24"/>
          <w:szCs w:val="24"/>
          <w:shd w:val="clear" w:color="auto" w:fill="FFFFFF"/>
        </w:rPr>
      </w:pPr>
      <w:bookmarkStart w:id="13" w:name="_Toc66351083"/>
    </w:p>
    <w:p w14:paraId="5642FC60" w14:textId="78E55F43" w:rsidR="001744C1" w:rsidRPr="00FF3F6A" w:rsidRDefault="001744C1" w:rsidP="004B6BA5">
      <w:pPr>
        <w:jc w:val="both"/>
        <w:rPr>
          <w:rStyle w:val="normaltextrun"/>
          <w:rFonts w:eastAsiaTheme="majorEastAsia"/>
          <w:b/>
          <w:bCs/>
          <w:color w:val="2F5496" w:themeColor="accent1" w:themeShade="BF"/>
          <w:sz w:val="24"/>
          <w:szCs w:val="24"/>
          <w:shd w:val="clear" w:color="auto" w:fill="FFFFFF"/>
        </w:rPr>
      </w:pPr>
      <w:r w:rsidRPr="00FF3F6A">
        <w:rPr>
          <w:rStyle w:val="normaltextrun"/>
          <w:rFonts w:eastAsiaTheme="majorEastAsia"/>
          <w:b/>
          <w:bCs/>
          <w:color w:val="2F5496" w:themeColor="accent1" w:themeShade="BF"/>
          <w:sz w:val="24"/>
          <w:szCs w:val="24"/>
          <w:shd w:val="clear" w:color="auto" w:fill="FFFFFF"/>
        </w:rPr>
        <w:t>Assumptions</w:t>
      </w:r>
      <w:bookmarkEnd w:id="13"/>
    </w:p>
    <w:p w14:paraId="62D8D6E0" w14:textId="77777777" w:rsidR="001744C1" w:rsidRPr="00C739E3" w:rsidRDefault="001744C1" w:rsidP="001744C1">
      <w:pPr>
        <w:jc w:val="both"/>
        <w:rPr>
          <w:rFonts w:eastAsia="Calibri"/>
          <w:u w:val="single"/>
        </w:rPr>
      </w:pPr>
      <w:r w:rsidRPr="00FF5F84">
        <w:rPr>
          <w:rFonts w:eastAsia="Calibri"/>
          <w:u w:val="single"/>
        </w:rPr>
        <w:t xml:space="preserve">The criteria </w:t>
      </w:r>
      <w:r w:rsidRPr="00C739E3">
        <w:rPr>
          <w:rFonts w:eastAsia="Calibri"/>
          <w:u w:val="single"/>
        </w:rPr>
        <w:t>discussed above are based on the assumptions that:</w:t>
      </w:r>
    </w:p>
    <w:p w14:paraId="33B82DB6" w14:textId="77777777" w:rsidR="001744C1" w:rsidRPr="00FF3F6A" w:rsidRDefault="001744C1" w:rsidP="001744C1">
      <w:pPr>
        <w:pStyle w:val="NoSpacing"/>
        <w:numPr>
          <w:ilvl w:val="0"/>
          <w:numId w:val="46"/>
        </w:numPr>
        <w:rPr>
          <w:rFonts w:ascii="Arial" w:hAnsi="Arial" w:cs="Arial"/>
          <w:sz w:val="22"/>
        </w:rPr>
      </w:pPr>
      <w:r w:rsidRPr="00FF3F6A">
        <w:rPr>
          <w:rFonts w:ascii="Arial" w:hAnsi="Arial" w:cs="Arial"/>
          <w:sz w:val="22"/>
        </w:rPr>
        <w:t xml:space="preserve">CCL will act as prime contractor for the required </w:t>
      </w:r>
      <w:proofErr w:type="gramStart"/>
      <w:r w:rsidRPr="00FF3F6A">
        <w:rPr>
          <w:rFonts w:ascii="Arial" w:hAnsi="Arial" w:cs="Arial"/>
          <w:sz w:val="22"/>
        </w:rPr>
        <w:t>services;</w:t>
      </w:r>
      <w:proofErr w:type="gramEnd"/>
    </w:p>
    <w:p w14:paraId="3BBE6CE5" w14:textId="77777777" w:rsidR="001744C1" w:rsidRPr="00FF3F6A" w:rsidRDefault="001744C1" w:rsidP="001744C1">
      <w:pPr>
        <w:pStyle w:val="NoSpacing"/>
        <w:numPr>
          <w:ilvl w:val="0"/>
          <w:numId w:val="46"/>
        </w:numPr>
        <w:rPr>
          <w:rFonts w:ascii="Arial" w:eastAsia="Century Gothic" w:hAnsi="Arial" w:cs="Arial"/>
          <w:sz w:val="22"/>
        </w:rPr>
      </w:pPr>
      <w:r w:rsidRPr="00FF3F6A">
        <w:rPr>
          <w:rFonts w:ascii="Arial" w:eastAsia="Century Gothic" w:hAnsi="Arial" w:cs="Arial"/>
          <w:sz w:val="22"/>
        </w:rPr>
        <w:t>Testing will be delivered during office hours (United Kingdom</w:t>
      </w:r>
      <w:proofErr w:type="gramStart"/>
      <w:r w:rsidRPr="00FF3F6A">
        <w:rPr>
          <w:rFonts w:ascii="Arial" w:eastAsia="Century Gothic" w:hAnsi="Arial" w:cs="Arial"/>
          <w:sz w:val="22"/>
        </w:rPr>
        <w:t>);</w:t>
      </w:r>
      <w:proofErr w:type="gramEnd"/>
      <w:r w:rsidRPr="00FF3F6A">
        <w:rPr>
          <w:rFonts w:ascii="Arial" w:eastAsia="Century Gothic" w:hAnsi="Arial" w:cs="Arial"/>
          <w:sz w:val="22"/>
        </w:rPr>
        <w:t xml:space="preserve"> </w:t>
      </w:r>
    </w:p>
    <w:p w14:paraId="13645580" w14:textId="77777777" w:rsidR="001744C1" w:rsidRPr="00FF3F6A" w:rsidRDefault="001744C1" w:rsidP="001744C1">
      <w:pPr>
        <w:pStyle w:val="NoSpacing"/>
        <w:numPr>
          <w:ilvl w:val="0"/>
          <w:numId w:val="46"/>
        </w:numPr>
        <w:rPr>
          <w:rFonts w:ascii="Arial" w:eastAsia="Century Gothic" w:hAnsi="Arial" w:cs="Arial"/>
          <w:sz w:val="22"/>
        </w:rPr>
      </w:pPr>
      <w:r w:rsidRPr="00FF3F6A">
        <w:rPr>
          <w:rFonts w:ascii="Arial" w:eastAsia="Century Gothic" w:hAnsi="Arial" w:cs="Arial"/>
          <w:sz w:val="22"/>
        </w:rPr>
        <w:t xml:space="preserve">CCL will be able to conduct the testing on their own </w:t>
      </w:r>
      <w:proofErr w:type="gramStart"/>
      <w:r w:rsidRPr="00FF3F6A">
        <w:rPr>
          <w:rFonts w:ascii="Arial" w:eastAsia="Century Gothic" w:hAnsi="Arial" w:cs="Arial"/>
          <w:sz w:val="22"/>
        </w:rPr>
        <w:t>laptops;</w:t>
      </w:r>
      <w:proofErr w:type="gramEnd"/>
    </w:p>
    <w:p w14:paraId="0B30CDD8" w14:textId="77777777" w:rsidR="001744C1" w:rsidRPr="00FF3F6A" w:rsidRDefault="001744C1" w:rsidP="001744C1">
      <w:pPr>
        <w:pStyle w:val="NoSpacing"/>
        <w:numPr>
          <w:ilvl w:val="0"/>
          <w:numId w:val="46"/>
        </w:numPr>
        <w:rPr>
          <w:rFonts w:ascii="Arial" w:eastAsia="Century Gothic" w:hAnsi="Arial" w:cs="Arial"/>
          <w:sz w:val="22"/>
        </w:rPr>
      </w:pPr>
      <w:r w:rsidRPr="00FF3F6A">
        <w:rPr>
          <w:rFonts w:ascii="Arial" w:eastAsia="Century Gothic" w:hAnsi="Arial" w:cs="Arial"/>
          <w:sz w:val="22"/>
        </w:rPr>
        <w:t xml:space="preserve">It is understood the Rosa document management service is not in </w:t>
      </w:r>
      <w:proofErr w:type="gramStart"/>
      <w:r w:rsidRPr="00FF3F6A">
        <w:rPr>
          <w:rFonts w:ascii="Arial" w:eastAsia="Century Gothic" w:hAnsi="Arial" w:cs="Arial"/>
          <w:sz w:val="22"/>
        </w:rPr>
        <w:t>scope;</w:t>
      </w:r>
      <w:proofErr w:type="gramEnd"/>
    </w:p>
    <w:p w14:paraId="6A558FBD" w14:textId="77777777" w:rsidR="001744C1" w:rsidRPr="00FF3F6A" w:rsidRDefault="001744C1" w:rsidP="001744C1">
      <w:pPr>
        <w:pStyle w:val="NoSpacing"/>
        <w:numPr>
          <w:ilvl w:val="0"/>
          <w:numId w:val="46"/>
        </w:numPr>
        <w:rPr>
          <w:rFonts w:ascii="Arial" w:hAnsi="Arial" w:cs="Arial"/>
          <w:color w:val="201F1E"/>
          <w:sz w:val="22"/>
        </w:rPr>
      </w:pPr>
      <w:r w:rsidRPr="00FF3F6A">
        <w:rPr>
          <w:rFonts w:ascii="Arial" w:hAnsi="Arial" w:cs="Arial"/>
          <w:color w:val="201F1E"/>
          <w:sz w:val="22"/>
          <w:bdr w:val="none" w:sz="0" w:space="0" w:color="auto" w:frame="1"/>
        </w:rPr>
        <w:t xml:space="preserve">In-scope URL's will be provided ahead of the </w:t>
      </w:r>
      <w:proofErr w:type="gramStart"/>
      <w:r w:rsidRPr="00FF3F6A">
        <w:rPr>
          <w:rFonts w:ascii="Arial" w:hAnsi="Arial" w:cs="Arial"/>
          <w:color w:val="201F1E"/>
          <w:sz w:val="22"/>
          <w:bdr w:val="none" w:sz="0" w:space="0" w:color="auto" w:frame="1"/>
        </w:rPr>
        <w:t>engagement;</w:t>
      </w:r>
      <w:proofErr w:type="gramEnd"/>
    </w:p>
    <w:p w14:paraId="6F782F4E" w14:textId="77777777" w:rsidR="001744C1" w:rsidRPr="00FF3F6A" w:rsidRDefault="001744C1" w:rsidP="001744C1">
      <w:pPr>
        <w:pStyle w:val="NoSpacing"/>
        <w:numPr>
          <w:ilvl w:val="0"/>
          <w:numId w:val="46"/>
        </w:numPr>
        <w:rPr>
          <w:rFonts w:ascii="Arial" w:hAnsi="Arial" w:cs="Arial"/>
          <w:color w:val="201F1E"/>
          <w:sz w:val="22"/>
        </w:rPr>
      </w:pPr>
      <w:r w:rsidRPr="00FF3F6A">
        <w:rPr>
          <w:rFonts w:ascii="Arial" w:hAnsi="Arial" w:cs="Arial"/>
          <w:color w:val="201F1E"/>
          <w:sz w:val="22"/>
          <w:bdr w:val="none" w:sz="0" w:space="0" w:color="auto" w:frame="1"/>
        </w:rPr>
        <w:t xml:space="preserve">User credentials for the in-scope portals will be </w:t>
      </w:r>
      <w:proofErr w:type="gramStart"/>
      <w:r w:rsidRPr="00FF3F6A">
        <w:rPr>
          <w:rFonts w:ascii="Arial" w:hAnsi="Arial" w:cs="Arial"/>
          <w:color w:val="201F1E"/>
          <w:sz w:val="22"/>
          <w:bdr w:val="none" w:sz="0" w:space="0" w:color="auto" w:frame="1"/>
        </w:rPr>
        <w:t>provided;</w:t>
      </w:r>
      <w:proofErr w:type="gramEnd"/>
    </w:p>
    <w:p w14:paraId="70BBC7E2" w14:textId="77777777" w:rsidR="001744C1" w:rsidRPr="00FF3F6A" w:rsidRDefault="001744C1" w:rsidP="001744C1">
      <w:pPr>
        <w:pStyle w:val="NoSpacing"/>
        <w:numPr>
          <w:ilvl w:val="0"/>
          <w:numId w:val="46"/>
        </w:numPr>
        <w:rPr>
          <w:rFonts w:ascii="Arial" w:hAnsi="Arial" w:cs="Arial"/>
          <w:color w:val="201F1E"/>
          <w:sz w:val="22"/>
        </w:rPr>
      </w:pPr>
      <w:r w:rsidRPr="00FF3F6A">
        <w:rPr>
          <w:rFonts w:ascii="Arial" w:hAnsi="Arial" w:cs="Arial"/>
          <w:color w:val="201F1E"/>
          <w:sz w:val="22"/>
          <w:bdr w:val="none" w:sz="0" w:space="0" w:color="auto" w:frame="1"/>
        </w:rPr>
        <w:t xml:space="preserve">Access to the Azure Management Console will be provided through key </w:t>
      </w:r>
      <w:proofErr w:type="gramStart"/>
      <w:r w:rsidRPr="00FF3F6A">
        <w:rPr>
          <w:rFonts w:ascii="Arial" w:hAnsi="Arial" w:cs="Arial"/>
          <w:color w:val="201F1E"/>
          <w:sz w:val="22"/>
          <w:bdr w:val="none" w:sz="0" w:space="0" w:color="auto" w:frame="1"/>
        </w:rPr>
        <w:t>authentication;</w:t>
      </w:r>
      <w:proofErr w:type="gramEnd"/>
    </w:p>
    <w:p w14:paraId="6EF00F60" w14:textId="77777777" w:rsidR="001744C1" w:rsidRPr="00FF3F6A" w:rsidRDefault="001744C1" w:rsidP="001744C1">
      <w:pPr>
        <w:pStyle w:val="NoSpacing"/>
        <w:numPr>
          <w:ilvl w:val="0"/>
          <w:numId w:val="46"/>
        </w:numPr>
        <w:rPr>
          <w:rFonts w:ascii="Arial" w:hAnsi="Arial" w:cs="Arial"/>
          <w:color w:val="201F1E"/>
          <w:sz w:val="22"/>
        </w:rPr>
      </w:pPr>
      <w:r w:rsidRPr="00FF3F6A">
        <w:rPr>
          <w:rFonts w:ascii="Arial" w:hAnsi="Arial" w:cs="Arial"/>
          <w:color w:val="201F1E"/>
          <w:sz w:val="22"/>
          <w:bdr w:val="none" w:sz="0" w:space="0" w:color="auto" w:frame="1"/>
        </w:rPr>
        <w:t xml:space="preserve">A reader role will be assigned to the Azure </w:t>
      </w:r>
      <w:proofErr w:type="gramStart"/>
      <w:r w:rsidRPr="00FF3F6A">
        <w:rPr>
          <w:rFonts w:ascii="Arial" w:hAnsi="Arial" w:cs="Arial"/>
          <w:color w:val="201F1E"/>
          <w:sz w:val="22"/>
          <w:bdr w:val="none" w:sz="0" w:space="0" w:color="auto" w:frame="1"/>
        </w:rPr>
        <w:t>user;</w:t>
      </w:r>
      <w:proofErr w:type="gramEnd"/>
    </w:p>
    <w:p w14:paraId="0A8AD3D5" w14:textId="77777777" w:rsidR="001744C1" w:rsidRPr="00FF3F6A" w:rsidRDefault="001744C1" w:rsidP="001744C1">
      <w:pPr>
        <w:pStyle w:val="NoSpacing"/>
        <w:numPr>
          <w:ilvl w:val="0"/>
          <w:numId w:val="46"/>
        </w:numPr>
        <w:rPr>
          <w:rFonts w:ascii="Arial" w:hAnsi="Arial" w:cs="Arial"/>
          <w:color w:val="201F1E"/>
          <w:sz w:val="22"/>
        </w:rPr>
      </w:pPr>
      <w:r w:rsidRPr="00FF3F6A">
        <w:rPr>
          <w:rFonts w:ascii="Arial" w:hAnsi="Arial" w:cs="Arial"/>
          <w:color w:val="201F1E"/>
          <w:sz w:val="22"/>
          <w:bdr w:val="none" w:sz="0" w:space="0" w:color="auto" w:frame="1"/>
        </w:rPr>
        <w:t xml:space="preserve">The test Azure user will have API permissions to create new </w:t>
      </w:r>
      <w:proofErr w:type="gramStart"/>
      <w:r w:rsidRPr="00FF3F6A">
        <w:rPr>
          <w:rFonts w:ascii="Arial" w:hAnsi="Arial" w:cs="Arial"/>
          <w:color w:val="201F1E"/>
          <w:sz w:val="22"/>
          <w:bdr w:val="none" w:sz="0" w:space="0" w:color="auto" w:frame="1"/>
        </w:rPr>
        <w:t>registrations;</w:t>
      </w:r>
      <w:proofErr w:type="gramEnd"/>
    </w:p>
    <w:p w14:paraId="0AED52E5" w14:textId="77777777" w:rsidR="001744C1" w:rsidRPr="00FF3F6A" w:rsidRDefault="001744C1" w:rsidP="001744C1">
      <w:pPr>
        <w:pStyle w:val="NoSpacing"/>
        <w:numPr>
          <w:ilvl w:val="0"/>
          <w:numId w:val="46"/>
        </w:numPr>
        <w:rPr>
          <w:rFonts w:ascii="Arial" w:hAnsi="Arial" w:cs="Arial"/>
          <w:color w:val="201F1E"/>
          <w:sz w:val="22"/>
        </w:rPr>
      </w:pPr>
      <w:r w:rsidRPr="00FF3F6A">
        <w:rPr>
          <w:rFonts w:ascii="Arial" w:hAnsi="Arial" w:cs="Arial"/>
          <w:color w:val="201F1E"/>
          <w:sz w:val="22"/>
          <w:bdr w:val="none" w:sz="0" w:space="0" w:color="auto" w:frame="1"/>
        </w:rPr>
        <w:t>The Azure test user app registration will have the following API permissions assigned:</w:t>
      </w:r>
    </w:p>
    <w:p w14:paraId="4D91DDBA" w14:textId="77777777" w:rsidR="001744C1" w:rsidRPr="00FF3F6A" w:rsidRDefault="001744C1" w:rsidP="001744C1">
      <w:pPr>
        <w:pStyle w:val="NoSpacing"/>
        <w:numPr>
          <w:ilvl w:val="1"/>
          <w:numId w:val="46"/>
        </w:numPr>
        <w:rPr>
          <w:rFonts w:ascii="Arial" w:hAnsi="Arial" w:cs="Arial"/>
          <w:color w:val="201F1E"/>
          <w:sz w:val="22"/>
        </w:rPr>
      </w:pPr>
      <w:r w:rsidRPr="00FF3F6A">
        <w:rPr>
          <w:rFonts w:ascii="Arial" w:hAnsi="Arial" w:cs="Arial"/>
          <w:color w:val="201F1E"/>
          <w:sz w:val="22"/>
          <w:bdr w:val="none" w:sz="0" w:space="0" w:color="auto" w:frame="1"/>
        </w:rPr>
        <w:t xml:space="preserve">Microsoft Graph — </w:t>
      </w:r>
      <w:proofErr w:type="spellStart"/>
      <w:proofErr w:type="gramStart"/>
      <w:r w:rsidRPr="00FF3F6A">
        <w:rPr>
          <w:rFonts w:ascii="Arial" w:hAnsi="Arial" w:cs="Arial"/>
          <w:color w:val="201F1E"/>
          <w:sz w:val="22"/>
          <w:bdr w:val="none" w:sz="0" w:space="0" w:color="auto" w:frame="1"/>
        </w:rPr>
        <w:t>Directory.Read.AllS</w:t>
      </w:r>
      <w:proofErr w:type="spellEnd"/>
      <w:proofErr w:type="gramEnd"/>
    </w:p>
    <w:p w14:paraId="6FF40DCC" w14:textId="77777777" w:rsidR="001744C1" w:rsidRPr="00FF3F6A" w:rsidRDefault="001744C1" w:rsidP="001744C1">
      <w:pPr>
        <w:pStyle w:val="NoSpacing"/>
        <w:numPr>
          <w:ilvl w:val="1"/>
          <w:numId w:val="46"/>
        </w:numPr>
        <w:rPr>
          <w:rFonts w:ascii="Arial" w:hAnsi="Arial" w:cs="Arial"/>
          <w:color w:val="201F1E"/>
          <w:sz w:val="22"/>
        </w:rPr>
      </w:pPr>
      <w:r w:rsidRPr="00FF3F6A">
        <w:rPr>
          <w:rFonts w:ascii="Arial" w:hAnsi="Arial" w:cs="Arial"/>
          <w:color w:val="201F1E"/>
          <w:sz w:val="22"/>
          <w:bdr w:val="none" w:sz="0" w:space="0" w:color="auto" w:frame="1"/>
        </w:rPr>
        <w:t xml:space="preserve">Microsoft Graph — </w:t>
      </w:r>
      <w:proofErr w:type="spellStart"/>
      <w:proofErr w:type="gramStart"/>
      <w:r w:rsidRPr="00FF3F6A">
        <w:rPr>
          <w:rFonts w:ascii="Arial" w:hAnsi="Arial" w:cs="Arial"/>
          <w:color w:val="201F1E"/>
          <w:sz w:val="22"/>
          <w:bdr w:val="none" w:sz="0" w:space="0" w:color="auto" w:frame="1"/>
        </w:rPr>
        <w:t>User.Read.All</w:t>
      </w:r>
      <w:proofErr w:type="spellEnd"/>
      <w:proofErr w:type="gramEnd"/>
    </w:p>
    <w:p w14:paraId="00C2342A" w14:textId="77777777" w:rsidR="001744C1" w:rsidRPr="00FF3F6A" w:rsidRDefault="001744C1" w:rsidP="001744C1">
      <w:pPr>
        <w:pStyle w:val="NoSpacing"/>
        <w:numPr>
          <w:ilvl w:val="1"/>
          <w:numId w:val="46"/>
        </w:numPr>
        <w:rPr>
          <w:rFonts w:ascii="Arial" w:hAnsi="Arial" w:cs="Arial"/>
          <w:color w:val="201F1E"/>
          <w:sz w:val="22"/>
        </w:rPr>
      </w:pPr>
      <w:r w:rsidRPr="00FF3F6A">
        <w:rPr>
          <w:rFonts w:ascii="Arial" w:hAnsi="Arial" w:cs="Arial"/>
          <w:color w:val="201F1E"/>
          <w:sz w:val="22"/>
          <w:bdr w:val="none" w:sz="0" w:space="0" w:color="auto" w:frame="1"/>
        </w:rPr>
        <w:t xml:space="preserve">Microsoft Graph — </w:t>
      </w:r>
      <w:proofErr w:type="spellStart"/>
      <w:proofErr w:type="gramStart"/>
      <w:r w:rsidRPr="00FF3F6A">
        <w:rPr>
          <w:rFonts w:ascii="Arial" w:hAnsi="Arial" w:cs="Arial"/>
          <w:color w:val="201F1E"/>
          <w:sz w:val="22"/>
          <w:bdr w:val="none" w:sz="0" w:space="0" w:color="auto" w:frame="1"/>
        </w:rPr>
        <w:t>Policy.Read.All</w:t>
      </w:r>
      <w:proofErr w:type="spellEnd"/>
      <w:proofErr w:type="gramEnd"/>
    </w:p>
    <w:p w14:paraId="3557D5D9" w14:textId="77777777" w:rsidR="001744C1" w:rsidRPr="00FF3F6A" w:rsidRDefault="001744C1" w:rsidP="001744C1">
      <w:pPr>
        <w:pStyle w:val="NoSpacing"/>
        <w:numPr>
          <w:ilvl w:val="1"/>
          <w:numId w:val="46"/>
        </w:numPr>
        <w:rPr>
          <w:rFonts w:ascii="Arial" w:hAnsi="Arial" w:cs="Arial"/>
          <w:color w:val="201F1E"/>
          <w:sz w:val="22"/>
        </w:rPr>
      </w:pPr>
      <w:r w:rsidRPr="00FF3F6A">
        <w:rPr>
          <w:rFonts w:ascii="Arial" w:hAnsi="Arial" w:cs="Arial"/>
          <w:color w:val="201F1E"/>
          <w:sz w:val="22"/>
          <w:bdr w:val="none" w:sz="0" w:space="0" w:color="auto" w:frame="1"/>
        </w:rPr>
        <w:t xml:space="preserve">Microsoft Graph — </w:t>
      </w:r>
      <w:proofErr w:type="spellStart"/>
      <w:proofErr w:type="gramStart"/>
      <w:r w:rsidRPr="00FF3F6A">
        <w:rPr>
          <w:rFonts w:ascii="Arial" w:hAnsi="Arial" w:cs="Arial"/>
          <w:color w:val="201F1E"/>
          <w:sz w:val="22"/>
          <w:bdr w:val="none" w:sz="0" w:space="0" w:color="auto" w:frame="1"/>
        </w:rPr>
        <w:t>Reports.Read.All</w:t>
      </w:r>
      <w:proofErr w:type="spellEnd"/>
      <w:proofErr w:type="gramEnd"/>
    </w:p>
    <w:p w14:paraId="05B3AE38" w14:textId="77777777" w:rsidR="001744C1" w:rsidRPr="00FF3F6A" w:rsidRDefault="001744C1" w:rsidP="001744C1">
      <w:pPr>
        <w:pStyle w:val="NoSpacing"/>
        <w:numPr>
          <w:ilvl w:val="1"/>
          <w:numId w:val="46"/>
        </w:numPr>
        <w:rPr>
          <w:rFonts w:ascii="Arial" w:hAnsi="Arial" w:cs="Arial"/>
          <w:color w:val="201F1E"/>
          <w:sz w:val="22"/>
        </w:rPr>
      </w:pPr>
      <w:r w:rsidRPr="00FF3F6A">
        <w:rPr>
          <w:rFonts w:ascii="Arial" w:hAnsi="Arial" w:cs="Arial"/>
          <w:color w:val="201F1E"/>
          <w:sz w:val="22"/>
          <w:bdr w:val="none" w:sz="0" w:space="0" w:color="auto" w:frame="1"/>
        </w:rPr>
        <w:t xml:space="preserve">Microsoft Graph — </w:t>
      </w:r>
      <w:proofErr w:type="spellStart"/>
      <w:proofErr w:type="gramStart"/>
      <w:r w:rsidRPr="00FF3F6A">
        <w:rPr>
          <w:rFonts w:ascii="Arial" w:hAnsi="Arial" w:cs="Arial"/>
          <w:color w:val="201F1E"/>
          <w:sz w:val="22"/>
          <w:bdr w:val="none" w:sz="0" w:space="0" w:color="auto" w:frame="1"/>
        </w:rPr>
        <w:t>DeviceManagementApps.Read.All</w:t>
      </w:r>
      <w:proofErr w:type="spellEnd"/>
      <w:proofErr w:type="gramEnd"/>
    </w:p>
    <w:p w14:paraId="592F44CA" w14:textId="77777777" w:rsidR="001744C1" w:rsidRPr="00FF3F6A" w:rsidRDefault="001744C1" w:rsidP="001744C1">
      <w:pPr>
        <w:pStyle w:val="NoSpacing"/>
        <w:numPr>
          <w:ilvl w:val="1"/>
          <w:numId w:val="46"/>
        </w:numPr>
        <w:rPr>
          <w:rFonts w:ascii="Arial" w:hAnsi="Arial" w:cs="Arial"/>
          <w:color w:val="201F1E"/>
          <w:sz w:val="22"/>
        </w:rPr>
      </w:pPr>
      <w:r w:rsidRPr="00FF3F6A">
        <w:rPr>
          <w:rFonts w:ascii="Arial" w:hAnsi="Arial" w:cs="Arial"/>
          <w:color w:val="201F1E"/>
          <w:sz w:val="22"/>
          <w:bdr w:val="none" w:sz="0" w:space="0" w:color="auto" w:frame="1"/>
        </w:rPr>
        <w:t xml:space="preserve">Microsoft Graph — </w:t>
      </w:r>
      <w:proofErr w:type="spellStart"/>
      <w:r w:rsidRPr="00FF3F6A">
        <w:rPr>
          <w:rFonts w:ascii="Arial" w:hAnsi="Arial" w:cs="Arial"/>
          <w:color w:val="201F1E"/>
          <w:sz w:val="22"/>
          <w:bdr w:val="none" w:sz="0" w:space="0" w:color="auto" w:frame="1"/>
        </w:rPr>
        <w:t>Calendars.Read</w:t>
      </w:r>
      <w:proofErr w:type="spellEnd"/>
    </w:p>
    <w:p w14:paraId="056EE28C" w14:textId="77777777" w:rsidR="001744C1" w:rsidRPr="00FF3F6A" w:rsidRDefault="001744C1" w:rsidP="001744C1">
      <w:pPr>
        <w:pStyle w:val="NoSpacing"/>
        <w:numPr>
          <w:ilvl w:val="1"/>
          <w:numId w:val="46"/>
        </w:numPr>
        <w:rPr>
          <w:rFonts w:ascii="Arial" w:hAnsi="Arial" w:cs="Arial"/>
          <w:color w:val="201F1E"/>
          <w:sz w:val="22"/>
        </w:rPr>
      </w:pPr>
      <w:r w:rsidRPr="00FF3F6A">
        <w:rPr>
          <w:rFonts w:ascii="Arial" w:hAnsi="Arial" w:cs="Arial"/>
          <w:color w:val="201F1E"/>
          <w:sz w:val="22"/>
          <w:bdr w:val="none" w:sz="0" w:space="0" w:color="auto" w:frame="1"/>
        </w:rPr>
        <w:t xml:space="preserve">Microsoft Graph — </w:t>
      </w:r>
      <w:proofErr w:type="spellStart"/>
      <w:proofErr w:type="gramStart"/>
      <w:r w:rsidRPr="00FF3F6A">
        <w:rPr>
          <w:rFonts w:ascii="Arial" w:hAnsi="Arial" w:cs="Arial"/>
          <w:color w:val="201F1E"/>
          <w:sz w:val="22"/>
          <w:bdr w:val="none" w:sz="0" w:space="0" w:color="auto" w:frame="1"/>
        </w:rPr>
        <w:t>DeviceManagementConfiguration.Read.All</w:t>
      </w:r>
      <w:proofErr w:type="spellEnd"/>
      <w:proofErr w:type="gramEnd"/>
    </w:p>
    <w:p w14:paraId="09F5D8E6" w14:textId="77777777" w:rsidR="001744C1" w:rsidRPr="00FF3F6A" w:rsidRDefault="001744C1" w:rsidP="001744C1">
      <w:pPr>
        <w:pStyle w:val="NoSpacing"/>
        <w:numPr>
          <w:ilvl w:val="1"/>
          <w:numId w:val="46"/>
        </w:numPr>
        <w:rPr>
          <w:rFonts w:ascii="Arial" w:hAnsi="Arial" w:cs="Arial"/>
          <w:color w:val="201F1E"/>
          <w:sz w:val="22"/>
        </w:rPr>
      </w:pPr>
      <w:r w:rsidRPr="00FF3F6A">
        <w:rPr>
          <w:rFonts w:ascii="Arial" w:hAnsi="Arial" w:cs="Arial"/>
          <w:color w:val="201F1E"/>
          <w:sz w:val="22"/>
          <w:bdr w:val="none" w:sz="0" w:space="0" w:color="auto" w:frame="1"/>
        </w:rPr>
        <w:t xml:space="preserve">Azure Service Management — </w:t>
      </w:r>
      <w:proofErr w:type="spellStart"/>
      <w:r w:rsidRPr="00FF3F6A">
        <w:rPr>
          <w:rFonts w:ascii="Arial" w:hAnsi="Arial" w:cs="Arial"/>
          <w:color w:val="201F1E"/>
          <w:sz w:val="22"/>
          <w:bdr w:val="none" w:sz="0" w:space="0" w:color="auto" w:frame="1"/>
        </w:rPr>
        <w:t>user_impersonation</w:t>
      </w:r>
      <w:proofErr w:type="spellEnd"/>
    </w:p>
    <w:p w14:paraId="378EA055" w14:textId="77777777" w:rsidR="001744C1" w:rsidRPr="00FF5F84" w:rsidRDefault="001744C1" w:rsidP="001744C1">
      <w:pPr>
        <w:spacing w:after="120" w:line="240" w:lineRule="auto"/>
        <w:ind w:right="72"/>
        <w:contextualSpacing/>
        <w:jc w:val="both"/>
        <w:rPr>
          <w:rFonts w:eastAsia="Century Gothic"/>
        </w:rPr>
      </w:pPr>
    </w:p>
    <w:p w14:paraId="75A9C03B" w14:textId="77777777" w:rsidR="001744C1" w:rsidRPr="00C739E3" w:rsidRDefault="001744C1" w:rsidP="001744C1"/>
    <w:p w14:paraId="0C409218" w14:textId="77777777" w:rsidR="001744C1" w:rsidRPr="00C739E3" w:rsidRDefault="001744C1" w:rsidP="001744C1">
      <w:r w:rsidRPr="00C739E3">
        <w:br w:type="page"/>
      </w:r>
    </w:p>
    <w:p w14:paraId="24316389" w14:textId="77777777" w:rsidR="001744C1" w:rsidRPr="00FF3F6A" w:rsidRDefault="001744C1" w:rsidP="004B6BA5">
      <w:pPr>
        <w:jc w:val="both"/>
        <w:rPr>
          <w:rStyle w:val="normaltextrun"/>
          <w:rFonts w:eastAsiaTheme="majorEastAsia"/>
          <w:b/>
          <w:bCs/>
          <w:color w:val="2F5496" w:themeColor="accent1" w:themeShade="BF"/>
          <w:sz w:val="24"/>
          <w:szCs w:val="24"/>
          <w:shd w:val="clear" w:color="auto" w:fill="FFFFFF"/>
        </w:rPr>
      </w:pPr>
      <w:bookmarkStart w:id="14" w:name="_Toc66351084"/>
      <w:r w:rsidRPr="00FF3F6A">
        <w:rPr>
          <w:rStyle w:val="normaltextrun"/>
          <w:rFonts w:eastAsiaTheme="majorEastAsia"/>
          <w:b/>
          <w:bCs/>
          <w:color w:val="2F5496" w:themeColor="accent1" w:themeShade="BF"/>
          <w:sz w:val="24"/>
          <w:szCs w:val="24"/>
          <w:shd w:val="clear" w:color="auto" w:fill="FFFFFF"/>
        </w:rPr>
        <w:lastRenderedPageBreak/>
        <w:t>Scope of Work</w:t>
      </w:r>
      <w:bookmarkEnd w:id="14"/>
    </w:p>
    <w:p w14:paraId="15C436D2" w14:textId="77777777" w:rsidR="001744C1" w:rsidRPr="00FF5F84" w:rsidRDefault="001744C1" w:rsidP="001744C1">
      <w:r w:rsidRPr="00FF5F84">
        <w:t>CCL propose that the following work is conducted:</w:t>
      </w:r>
    </w:p>
    <w:tbl>
      <w:tblPr>
        <w:tblStyle w:val="CCLStyle"/>
        <w:tblW w:w="0" w:type="auto"/>
        <w:tblLook w:val="0420" w:firstRow="1" w:lastRow="0" w:firstColumn="0" w:lastColumn="0" w:noHBand="0" w:noVBand="1"/>
      </w:tblPr>
      <w:tblGrid>
        <w:gridCol w:w="7219"/>
        <w:gridCol w:w="1252"/>
        <w:gridCol w:w="1160"/>
      </w:tblGrid>
      <w:tr w:rsidR="001744C1" w:rsidRPr="00FF3F6A" w14:paraId="396BFEA4" w14:textId="77777777" w:rsidTr="004B766A">
        <w:trPr>
          <w:cnfStyle w:val="100000000000" w:firstRow="1" w:lastRow="0" w:firstColumn="0" w:lastColumn="0" w:oddVBand="0" w:evenVBand="0" w:oddHBand="0" w:evenHBand="0" w:firstRowFirstColumn="0" w:firstRowLastColumn="0" w:lastRowFirstColumn="0" w:lastRowLastColumn="0"/>
        </w:trPr>
        <w:tc>
          <w:tcPr>
            <w:tcW w:w="7792" w:type="dxa"/>
          </w:tcPr>
          <w:p w14:paraId="2377C4AC" w14:textId="77777777" w:rsidR="001744C1" w:rsidRPr="00FF3F6A" w:rsidRDefault="001744C1" w:rsidP="004B766A">
            <w:pPr>
              <w:rPr>
                <w:rFonts w:ascii="Arial" w:hAnsi="Arial" w:cs="Arial"/>
                <w:sz w:val="22"/>
              </w:rPr>
            </w:pPr>
            <w:r w:rsidRPr="00FF3F6A">
              <w:rPr>
                <w:rFonts w:ascii="Arial" w:hAnsi="Arial" w:cs="Arial"/>
                <w:sz w:val="22"/>
              </w:rPr>
              <w:t>Scope Item</w:t>
            </w:r>
          </w:p>
        </w:tc>
        <w:tc>
          <w:tcPr>
            <w:tcW w:w="1275" w:type="dxa"/>
          </w:tcPr>
          <w:p w14:paraId="44C0BEAB" w14:textId="77777777" w:rsidR="001744C1" w:rsidRPr="00FF3F6A" w:rsidRDefault="001744C1" w:rsidP="004B766A">
            <w:pPr>
              <w:rPr>
                <w:rFonts w:ascii="Arial" w:hAnsi="Arial" w:cs="Arial"/>
                <w:sz w:val="22"/>
              </w:rPr>
            </w:pPr>
            <w:r w:rsidRPr="00FF3F6A">
              <w:rPr>
                <w:rFonts w:ascii="Arial" w:hAnsi="Arial" w:cs="Arial"/>
                <w:sz w:val="22"/>
              </w:rPr>
              <w:t>Location</w:t>
            </w:r>
          </w:p>
        </w:tc>
        <w:tc>
          <w:tcPr>
            <w:tcW w:w="1127" w:type="dxa"/>
          </w:tcPr>
          <w:p w14:paraId="315F8B33" w14:textId="77777777" w:rsidR="001744C1" w:rsidRPr="00FF3F6A" w:rsidRDefault="001744C1" w:rsidP="004B766A">
            <w:pPr>
              <w:rPr>
                <w:rFonts w:ascii="Arial" w:hAnsi="Arial" w:cs="Arial"/>
                <w:sz w:val="22"/>
              </w:rPr>
            </w:pPr>
            <w:r w:rsidRPr="00FF3F6A">
              <w:rPr>
                <w:rFonts w:ascii="Arial" w:hAnsi="Arial" w:cs="Arial"/>
                <w:sz w:val="22"/>
              </w:rPr>
              <w:t>Days</w:t>
            </w:r>
          </w:p>
        </w:tc>
      </w:tr>
      <w:tr w:rsidR="001744C1" w:rsidRPr="00FF3F6A" w14:paraId="0ADAFDEE" w14:textId="77777777" w:rsidTr="004B766A">
        <w:tc>
          <w:tcPr>
            <w:tcW w:w="7792" w:type="dxa"/>
          </w:tcPr>
          <w:p w14:paraId="7F14AE9E" w14:textId="77777777" w:rsidR="001744C1" w:rsidRPr="00FF3F6A" w:rsidRDefault="001744C1" w:rsidP="004B766A">
            <w:pPr>
              <w:rPr>
                <w:rFonts w:ascii="Arial" w:hAnsi="Arial" w:cs="Arial"/>
              </w:rPr>
            </w:pPr>
            <w:r w:rsidRPr="00FF3F6A">
              <w:rPr>
                <w:rFonts w:ascii="Arial" w:hAnsi="Arial" w:cs="Arial"/>
              </w:rPr>
              <w:t>Azure Cloud Assessment:</w:t>
            </w:r>
          </w:p>
          <w:p w14:paraId="577BE9D2" w14:textId="77777777" w:rsidR="001744C1" w:rsidRPr="00FF3F6A" w:rsidRDefault="001744C1" w:rsidP="004B766A">
            <w:pPr>
              <w:rPr>
                <w:rFonts w:ascii="Arial" w:hAnsi="Arial" w:cs="Arial"/>
                <w:color w:val="000000"/>
              </w:rPr>
            </w:pPr>
            <w:r w:rsidRPr="00FF3F6A">
              <w:rPr>
                <w:rFonts w:ascii="Arial" w:hAnsi="Arial" w:cs="Arial"/>
                <w:color w:val="000000"/>
              </w:rPr>
              <w:t xml:space="preserve">CCL will assess the following areas during the configuration review: </w:t>
            </w:r>
          </w:p>
          <w:p w14:paraId="47C5F208" w14:textId="77777777" w:rsidR="001744C1" w:rsidRPr="00FF3F6A" w:rsidRDefault="001744C1" w:rsidP="001744C1">
            <w:pPr>
              <w:pStyle w:val="ListParagraph"/>
              <w:numPr>
                <w:ilvl w:val="0"/>
                <w:numId w:val="40"/>
              </w:numPr>
              <w:suppressAutoHyphens w:val="0"/>
              <w:spacing w:before="40" w:line="276" w:lineRule="auto"/>
              <w:contextualSpacing/>
              <w:rPr>
                <w:rFonts w:ascii="Arial" w:hAnsi="Arial" w:cs="Arial"/>
              </w:rPr>
            </w:pPr>
            <w:r w:rsidRPr="00FF3F6A">
              <w:rPr>
                <w:rFonts w:ascii="Arial" w:hAnsi="Arial" w:cs="Arial"/>
              </w:rPr>
              <w:t>Network Setup</w:t>
            </w:r>
          </w:p>
          <w:p w14:paraId="0FE30775" w14:textId="77777777" w:rsidR="001744C1" w:rsidRPr="00FF3F6A" w:rsidRDefault="001744C1" w:rsidP="001744C1">
            <w:pPr>
              <w:pStyle w:val="ListParagraph"/>
              <w:numPr>
                <w:ilvl w:val="0"/>
                <w:numId w:val="40"/>
              </w:numPr>
              <w:suppressAutoHyphens w:val="0"/>
              <w:spacing w:before="40" w:line="276" w:lineRule="auto"/>
              <w:contextualSpacing/>
              <w:rPr>
                <w:rFonts w:ascii="Arial" w:hAnsi="Arial" w:cs="Arial"/>
              </w:rPr>
            </w:pPr>
            <w:r w:rsidRPr="00FF3F6A">
              <w:rPr>
                <w:rFonts w:ascii="Arial" w:hAnsi="Arial" w:cs="Arial"/>
              </w:rPr>
              <w:t xml:space="preserve">Azure Identity Configuration </w:t>
            </w:r>
          </w:p>
          <w:p w14:paraId="13A1D239" w14:textId="77777777" w:rsidR="001744C1" w:rsidRPr="00FF3F6A" w:rsidRDefault="001744C1" w:rsidP="001744C1">
            <w:pPr>
              <w:pStyle w:val="ListParagraph"/>
              <w:numPr>
                <w:ilvl w:val="0"/>
                <w:numId w:val="40"/>
              </w:numPr>
              <w:suppressAutoHyphens w:val="0"/>
              <w:spacing w:before="40" w:line="276" w:lineRule="auto"/>
              <w:contextualSpacing/>
              <w:rPr>
                <w:rFonts w:ascii="Arial" w:hAnsi="Arial" w:cs="Arial"/>
              </w:rPr>
            </w:pPr>
            <w:r w:rsidRPr="00FF3F6A">
              <w:rPr>
                <w:rFonts w:ascii="Arial" w:hAnsi="Arial" w:cs="Arial"/>
              </w:rPr>
              <w:t xml:space="preserve">Notification Portal application for External Users - Azure App Service </w:t>
            </w:r>
          </w:p>
          <w:p w14:paraId="420A8975" w14:textId="77777777" w:rsidR="001744C1" w:rsidRPr="00FF3F6A" w:rsidRDefault="001744C1" w:rsidP="001744C1">
            <w:pPr>
              <w:pStyle w:val="ListParagraph"/>
              <w:numPr>
                <w:ilvl w:val="0"/>
                <w:numId w:val="40"/>
              </w:numPr>
              <w:suppressAutoHyphens w:val="0"/>
              <w:spacing w:before="40" w:line="276" w:lineRule="auto"/>
              <w:contextualSpacing/>
              <w:rPr>
                <w:rFonts w:ascii="Arial" w:hAnsi="Arial" w:cs="Arial"/>
              </w:rPr>
            </w:pPr>
            <w:r w:rsidRPr="00FF3F6A">
              <w:rPr>
                <w:rFonts w:ascii="Arial" w:hAnsi="Arial" w:cs="Arial"/>
              </w:rPr>
              <w:t xml:space="preserve">Notification Portal application for Internal Users - Azure App Service </w:t>
            </w:r>
          </w:p>
          <w:p w14:paraId="2948228D" w14:textId="77777777" w:rsidR="001744C1" w:rsidRPr="00FF3F6A" w:rsidRDefault="001744C1" w:rsidP="001744C1">
            <w:pPr>
              <w:pStyle w:val="ListParagraph"/>
              <w:numPr>
                <w:ilvl w:val="0"/>
                <w:numId w:val="40"/>
              </w:numPr>
              <w:suppressAutoHyphens w:val="0"/>
              <w:spacing w:before="40" w:line="276" w:lineRule="auto"/>
              <w:contextualSpacing/>
              <w:rPr>
                <w:rFonts w:ascii="Arial" w:hAnsi="Arial" w:cs="Arial"/>
              </w:rPr>
            </w:pPr>
            <w:r w:rsidRPr="00FF3F6A">
              <w:rPr>
                <w:rFonts w:ascii="Arial" w:hAnsi="Arial" w:cs="Arial"/>
              </w:rPr>
              <w:t xml:space="preserve">Notification Portal Database - Azure SQL Service </w:t>
            </w:r>
          </w:p>
          <w:p w14:paraId="4F6234EB" w14:textId="77777777" w:rsidR="001744C1" w:rsidRPr="00FF3F6A" w:rsidRDefault="001744C1" w:rsidP="001744C1">
            <w:pPr>
              <w:pStyle w:val="ListParagraph"/>
              <w:numPr>
                <w:ilvl w:val="0"/>
                <w:numId w:val="40"/>
              </w:numPr>
              <w:suppressAutoHyphens w:val="0"/>
              <w:rPr>
                <w:rFonts w:ascii="Arial" w:hAnsi="Arial" w:cs="Arial"/>
              </w:rPr>
            </w:pPr>
            <w:r w:rsidRPr="00FF3F6A">
              <w:rPr>
                <w:rFonts w:ascii="Arial" w:hAnsi="Arial" w:cs="Arial"/>
              </w:rPr>
              <w:t>Integration of Notification Portal with CRM - Azure App Service / Azure Functions</w:t>
            </w:r>
          </w:p>
        </w:tc>
        <w:tc>
          <w:tcPr>
            <w:tcW w:w="1275" w:type="dxa"/>
          </w:tcPr>
          <w:p w14:paraId="0594EFF8" w14:textId="77777777" w:rsidR="001744C1" w:rsidRPr="00FF3F6A" w:rsidRDefault="001744C1" w:rsidP="004B766A">
            <w:pPr>
              <w:jc w:val="center"/>
              <w:rPr>
                <w:rFonts w:ascii="Arial" w:hAnsi="Arial" w:cs="Arial"/>
              </w:rPr>
            </w:pPr>
            <w:r w:rsidRPr="00FF3F6A">
              <w:rPr>
                <w:rFonts w:ascii="Arial" w:hAnsi="Arial" w:cs="Arial"/>
              </w:rPr>
              <w:t xml:space="preserve">Remote </w:t>
            </w:r>
          </w:p>
        </w:tc>
        <w:tc>
          <w:tcPr>
            <w:tcW w:w="1127" w:type="dxa"/>
          </w:tcPr>
          <w:p w14:paraId="3DC6B358" w14:textId="5731E4D9" w:rsidR="001744C1" w:rsidRPr="00732BC0" w:rsidRDefault="00732BC0" w:rsidP="00732BC0">
            <w:pPr>
              <w:spacing w:after="120"/>
            </w:pPr>
            <w:r>
              <w:t>[redacted]</w:t>
            </w:r>
          </w:p>
        </w:tc>
      </w:tr>
      <w:tr w:rsidR="001744C1" w:rsidRPr="00FF3F6A" w14:paraId="640912AC" w14:textId="77777777" w:rsidTr="004B766A">
        <w:tc>
          <w:tcPr>
            <w:tcW w:w="7792" w:type="dxa"/>
          </w:tcPr>
          <w:p w14:paraId="0E4C4777" w14:textId="77777777" w:rsidR="001744C1" w:rsidRPr="00FF3F6A" w:rsidRDefault="001744C1" w:rsidP="004B766A">
            <w:pPr>
              <w:rPr>
                <w:rFonts w:ascii="Arial" w:hAnsi="Arial" w:cs="Arial"/>
              </w:rPr>
            </w:pPr>
            <w:r w:rsidRPr="00FF3F6A">
              <w:rPr>
                <w:rFonts w:ascii="Arial" w:hAnsi="Arial" w:cs="Arial"/>
              </w:rPr>
              <w:t>Web Application Assessment:</w:t>
            </w:r>
          </w:p>
          <w:p w14:paraId="1F5E55F5" w14:textId="77777777" w:rsidR="001744C1" w:rsidRPr="00FF3F6A" w:rsidRDefault="001744C1" w:rsidP="001744C1">
            <w:pPr>
              <w:numPr>
                <w:ilvl w:val="0"/>
                <w:numId w:val="45"/>
              </w:numPr>
              <w:shd w:val="clear" w:color="auto" w:fill="FFFFFF"/>
              <w:suppressAutoHyphens w:val="0"/>
              <w:rPr>
                <w:rFonts w:ascii="Arial" w:eastAsia="Times New Roman" w:hAnsi="Arial" w:cs="Arial"/>
                <w:color w:val="201F1E"/>
                <w:lang w:eastAsia="en-GB"/>
              </w:rPr>
            </w:pPr>
            <w:r w:rsidRPr="00FF3F6A">
              <w:rPr>
                <w:rFonts w:ascii="Arial" w:eastAsia="Times New Roman" w:hAnsi="Arial" w:cs="Arial"/>
                <w:color w:val="201F1E"/>
                <w:bdr w:val="none" w:sz="0" w:space="0" w:color="auto" w:frame="1"/>
                <w:lang w:eastAsia="en-GB"/>
              </w:rPr>
              <w:t>Notification Portal</w:t>
            </w:r>
          </w:p>
          <w:p w14:paraId="0114548D" w14:textId="77777777" w:rsidR="001744C1" w:rsidRPr="00FF3F6A" w:rsidRDefault="001744C1" w:rsidP="001744C1">
            <w:pPr>
              <w:numPr>
                <w:ilvl w:val="1"/>
                <w:numId w:val="45"/>
              </w:numPr>
              <w:shd w:val="clear" w:color="auto" w:fill="FFFFFF"/>
              <w:suppressAutoHyphens w:val="0"/>
              <w:rPr>
                <w:rFonts w:ascii="Arial" w:eastAsia="Times New Roman" w:hAnsi="Arial" w:cs="Arial"/>
                <w:color w:val="201F1E"/>
                <w:lang w:eastAsia="en-GB"/>
              </w:rPr>
            </w:pPr>
            <w:r w:rsidRPr="00FF3F6A">
              <w:rPr>
                <w:rFonts w:ascii="Arial" w:eastAsia="Times New Roman" w:hAnsi="Arial" w:cs="Arial"/>
                <w:color w:val="201F1E"/>
                <w:bdr w:val="none" w:sz="0" w:space="0" w:color="auto" w:frame="1"/>
                <w:lang w:eastAsia="en-GB"/>
              </w:rPr>
              <w:t>11 static pages</w:t>
            </w:r>
          </w:p>
          <w:p w14:paraId="03FC4FB6" w14:textId="77777777" w:rsidR="001744C1" w:rsidRPr="00FF3F6A" w:rsidRDefault="001744C1" w:rsidP="001744C1">
            <w:pPr>
              <w:numPr>
                <w:ilvl w:val="1"/>
                <w:numId w:val="45"/>
              </w:numPr>
              <w:shd w:val="clear" w:color="auto" w:fill="FFFFFF"/>
              <w:suppressAutoHyphens w:val="0"/>
              <w:rPr>
                <w:rFonts w:ascii="Arial" w:eastAsia="Times New Roman" w:hAnsi="Arial" w:cs="Arial"/>
                <w:color w:val="201F1E"/>
                <w:lang w:eastAsia="en-GB"/>
              </w:rPr>
            </w:pPr>
            <w:r w:rsidRPr="00FF3F6A">
              <w:rPr>
                <w:rFonts w:ascii="Arial" w:eastAsia="Times New Roman" w:hAnsi="Arial" w:cs="Arial"/>
                <w:color w:val="201F1E"/>
                <w:bdr w:val="none" w:sz="0" w:space="0" w:color="auto" w:frame="1"/>
                <w:lang w:eastAsia="en-GB"/>
              </w:rPr>
              <w:t>Mandatory Form – 100 dynamic pages (approximately)</w:t>
            </w:r>
          </w:p>
          <w:p w14:paraId="018AAC39" w14:textId="77777777" w:rsidR="001744C1" w:rsidRPr="00FF3F6A" w:rsidRDefault="001744C1" w:rsidP="001744C1">
            <w:pPr>
              <w:numPr>
                <w:ilvl w:val="1"/>
                <w:numId w:val="45"/>
              </w:numPr>
              <w:shd w:val="clear" w:color="auto" w:fill="FFFFFF"/>
              <w:suppressAutoHyphens w:val="0"/>
              <w:rPr>
                <w:rFonts w:ascii="Arial" w:eastAsia="Times New Roman" w:hAnsi="Arial" w:cs="Arial"/>
                <w:color w:val="201F1E"/>
                <w:lang w:eastAsia="en-GB"/>
              </w:rPr>
            </w:pPr>
            <w:r w:rsidRPr="00FF3F6A">
              <w:rPr>
                <w:rFonts w:ascii="Arial" w:eastAsia="Times New Roman" w:hAnsi="Arial" w:cs="Arial"/>
                <w:color w:val="201F1E"/>
                <w:bdr w:val="none" w:sz="0" w:space="0" w:color="auto" w:frame="1"/>
                <w:lang w:eastAsia="en-GB"/>
              </w:rPr>
              <w:t>Voluntary Form – 100 dynamic pages (mostly duplicate of Mandatory Form)</w:t>
            </w:r>
          </w:p>
          <w:p w14:paraId="3FFDC109" w14:textId="77777777" w:rsidR="001744C1" w:rsidRPr="00FF3F6A" w:rsidRDefault="001744C1" w:rsidP="001744C1">
            <w:pPr>
              <w:numPr>
                <w:ilvl w:val="1"/>
                <w:numId w:val="45"/>
              </w:numPr>
              <w:shd w:val="clear" w:color="auto" w:fill="FFFFFF"/>
              <w:suppressAutoHyphens w:val="0"/>
              <w:rPr>
                <w:rFonts w:ascii="Arial" w:eastAsia="Times New Roman" w:hAnsi="Arial" w:cs="Arial"/>
                <w:color w:val="201F1E"/>
                <w:lang w:eastAsia="en-GB"/>
              </w:rPr>
            </w:pPr>
            <w:r w:rsidRPr="00FF3F6A">
              <w:rPr>
                <w:rFonts w:ascii="Arial" w:eastAsia="Times New Roman" w:hAnsi="Arial" w:cs="Arial"/>
                <w:color w:val="201F1E"/>
                <w:bdr w:val="none" w:sz="0" w:space="0" w:color="auto" w:frame="1"/>
                <w:lang w:eastAsia="en-GB"/>
              </w:rPr>
              <w:t>Retrospective Form – 80 dynamic pages (mostly duplicate of Mandatory Form)</w:t>
            </w:r>
          </w:p>
          <w:p w14:paraId="04E344ED" w14:textId="77777777" w:rsidR="001744C1" w:rsidRPr="00FF3F6A" w:rsidRDefault="001744C1" w:rsidP="001744C1">
            <w:pPr>
              <w:numPr>
                <w:ilvl w:val="0"/>
                <w:numId w:val="45"/>
              </w:numPr>
              <w:shd w:val="clear" w:color="auto" w:fill="FFFFFF"/>
              <w:suppressAutoHyphens w:val="0"/>
              <w:rPr>
                <w:rFonts w:ascii="Arial" w:eastAsia="Times New Roman" w:hAnsi="Arial" w:cs="Arial"/>
                <w:color w:val="201F1E"/>
                <w:lang w:eastAsia="en-GB"/>
              </w:rPr>
            </w:pPr>
            <w:r w:rsidRPr="00FF3F6A">
              <w:rPr>
                <w:rFonts w:ascii="Arial" w:eastAsia="Times New Roman" w:hAnsi="Arial" w:cs="Arial"/>
                <w:color w:val="201F1E"/>
                <w:bdr w:val="none" w:sz="0" w:space="0" w:color="auto" w:frame="1"/>
                <w:lang w:eastAsia="en-GB"/>
              </w:rPr>
              <w:t>Initial Due Diligence Portal</w:t>
            </w:r>
          </w:p>
          <w:p w14:paraId="1DD7ECA0" w14:textId="77777777" w:rsidR="001744C1" w:rsidRPr="00FF3F6A" w:rsidRDefault="001744C1" w:rsidP="001744C1">
            <w:pPr>
              <w:numPr>
                <w:ilvl w:val="1"/>
                <w:numId w:val="45"/>
              </w:numPr>
              <w:shd w:val="clear" w:color="auto" w:fill="FFFFFF"/>
              <w:suppressAutoHyphens w:val="0"/>
              <w:rPr>
                <w:rFonts w:ascii="Arial" w:eastAsia="Times New Roman" w:hAnsi="Arial" w:cs="Arial"/>
                <w:color w:val="201F1E"/>
                <w:lang w:eastAsia="en-GB"/>
              </w:rPr>
            </w:pPr>
            <w:r w:rsidRPr="00FF3F6A">
              <w:rPr>
                <w:rFonts w:ascii="Arial" w:eastAsia="Times New Roman" w:hAnsi="Arial" w:cs="Arial"/>
                <w:color w:val="201F1E"/>
                <w:lang w:eastAsia="en-GB"/>
              </w:rPr>
              <w:t>5 static pages</w:t>
            </w:r>
          </w:p>
          <w:p w14:paraId="7F9D7643" w14:textId="77777777" w:rsidR="001744C1" w:rsidRPr="00FF3F6A" w:rsidRDefault="001744C1" w:rsidP="001744C1">
            <w:pPr>
              <w:numPr>
                <w:ilvl w:val="1"/>
                <w:numId w:val="45"/>
              </w:numPr>
              <w:shd w:val="clear" w:color="auto" w:fill="FFFFFF"/>
              <w:suppressAutoHyphens w:val="0"/>
              <w:rPr>
                <w:rFonts w:ascii="Arial" w:eastAsia="Times New Roman" w:hAnsi="Arial" w:cs="Arial"/>
                <w:color w:val="201F1E"/>
                <w:lang w:eastAsia="en-GB"/>
              </w:rPr>
            </w:pPr>
            <w:r w:rsidRPr="00FF3F6A">
              <w:rPr>
                <w:rFonts w:ascii="Arial" w:eastAsia="Times New Roman" w:hAnsi="Arial" w:cs="Arial"/>
                <w:color w:val="201F1E"/>
                <w:lang w:eastAsia="en-GB"/>
              </w:rPr>
              <w:t>14 dynamic pages</w:t>
            </w:r>
          </w:p>
          <w:p w14:paraId="56CED4C3" w14:textId="77777777" w:rsidR="001744C1" w:rsidRPr="00FF3F6A" w:rsidRDefault="001744C1" w:rsidP="004B766A">
            <w:pPr>
              <w:rPr>
                <w:rFonts w:ascii="Arial" w:hAnsi="Arial" w:cs="Arial"/>
              </w:rPr>
            </w:pPr>
          </w:p>
        </w:tc>
        <w:tc>
          <w:tcPr>
            <w:tcW w:w="1275" w:type="dxa"/>
          </w:tcPr>
          <w:p w14:paraId="57C51062" w14:textId="77777777" w:rsidR="001744C1" w:rsidRPr="00FF3F6A" w:rsidRDefault="001744C1" w:rsidP="004B766A">
            <w:pPr>
              <w:jc w:val="center"/>
              <w:rPr>
                <w:rFonts w:ascii="Arial" w:hAnsi="Arial" w:cs="Arial"/>
              </w:rPr>
            </w:pPr>
            <w:r w:rsidRPr="00FF3F6A">
              <w:rPr>
                <w:rFonts w:ascii="Arial" w:hAnsi="Arial" w:cs="Arial"/>
              </w:rPr>
              <w:t>Remote</w:t>
            </w:r>
          </w:p>
        </w:tc>
        <w:tc>
          <w:tcPr>
            <w:tcW w:w="1127" w:type="dxa"/>
          </w:tcPr>
          <w:p w14:paraId="3E126DBF" w14:textId="30252CFA" w:rsidR="001744C1" w:rsidRPr="00732BC0" w:rsidRDefault="00732BC0" w:rsidP="00732BC0">
            <w:pPr>
              <w:spacing w:after="120"/>
            </w:pPr>
            <w:r>
              <w:t>[redacted]</w:t>
            </w:r>
          </w:p>
        </w:tc>
      </w:tr>
      <w:tr w:rsidR="001744C1" w:rsidRPr="00FF3F6A" w14:paraId="6E169243" w14:textId="77777777" w:rsidTr="004B766A">
        <w:tc>
          <w:tcPr>
            <w:tcW w:w="7792" w:type="dxa"/>
          </w:tcPr>
          <w:p w14:paraId="4B1E4BF7" w14:textId="77777777" w:rsidR="001744C1" w:rsidRPr="00FF3F6A" w:rsidRDefault="001744C1" w:rsidP="004B766A">
            <w:pPr>
              <w:rPr>
                <w:rFonts w:ascii="Arial" w:hAnsi="Arial" w:cs="Arial"/>
              </w:rPr>
            </w:pPr>
            <w:r w:rsidRPr="00FF3F6A">
              <w:rPr>
                <w:rFonts w:ascii="Arial" w:hAnsi="Arial" w:cs="Arial"/>
              </w:rPr>
              <w:t>Reporting</w:t>
            </w:r>
          </w:p>
        </w:tc>
        <w:tc>
          <w:tcPr>
            <w:tcW w:w="1275" w:type="dxa"/>
          </w:tcPr>
          <w:p w14:paraId="645529C1" w14:textId="77777777" w:rsidR="001744C1" w:rsidRPr="00FF3F6A" w:rsidRDefault="001744C1" w:rsidP="004B766A">
            <w:pPr>
              <w:jc w:val="center"/>
              <w:rPr>
                <w:rFonts w:ascii="Arial" w:hAnsi="Arial" w:cs="Arial"/>
              </w:rPr>
            </w:pPr>
          </w:p>
        </w:tc>
        <w:tc>
          <w:tcPr>
            <w:tcW w:w="1127" w:type="dxa"/>
          </w:tcPr>
          <w:p w14:paraId="322FC7F3" w14:textId="2F99C98D" w:rsidR="001744C1" w:rsidRPr="00732BC0" w:rsidRDefault="00732BC0" w:rsidP="00732BC0">
            <w:pPr>
              <w:spacing w:after="120"/>
            </w:pPr>
            <w:r>
              <w:t>[redacted]</w:t>
            </w:r>
          </w:p>
        </w:tc>
      </w:tr>
      <w:tr w:rsidR="001744C1" w:rsidRPr="00FF3F6A" w14:paraId="0CC9DFBE" w14:textId="77777777" w:rsidTr="004B766A">
        <w:tc>
          <w:tcPr>
            <w:tcW w:w="7792" w:type="dxa"/>
          </w:tcPr>
          <w:p w14:paraId="72F5FE23" w14:textId="77777777" w:rsidR="001744C1" w:rsidRPr="00FF3F6A" w:rsidRDefault="001744C1" w:rsidP="004B766A">
            <w:pPr>
              <w:spacing w:before="120" w:after="120"/>
              <w:ind w:right="74"/>
              <w:rPr>
                <w:rFonts w:ascii="Arial" w:hAnsi="Arial" w:cs="Arial"/>
              </w:rPr>
            </w:pPr>
            <w:r w:rsidRPr="00FF3F6A">
              <w:rPr>
                <w:rFonts w:ascii="Arial" w:hAnsi="Arial" w:cs="Arial"/>
              </w:rPr>
              <w:t>Retesting</w:t>
            </w:r>
          </w:p>
          <w:p w14:paraId="622370D6" w14:textId="77777777" w:rsidR="001744C1" w:rsidRPr="00FF3F6A" w:rsidRDefault="001744C1" w:rsidP="001744C1">
            <w:pPr>
              <w:pStyle w:val="ListParagraph"/>
              <w:numPr>
                <w:ilvl w:val="0"/>
                <w:numId w:val="44"/>
              </w:numPr>
              <w:suppressAutoHyphens w:val="0"/>
              <w:rPr>
                <w:rFonts w:ascii="Arial" w:hAnsi="Arial" w:cs="Arial"/>
              </w:rPr>
            </w:pPr>
            <w:r w:rsidRPr="00FF3F6A">
              <w:rPr>
                <w:rFonts w:ascii="Arial" w:eastAsia="MS Gothic" w:hAnsi="Arial" w:cs="Arial"/>
                <w:lang w:eastAsia="ja-JP"/>
              </w:rPr>
              <w:t>Following the delivery of the report, retesting can be scheduled to validate that remediations of up to 15 findings suitably mitigate the vulnerabilities identified.</w:t>
            </w:r>
          </w:p>
        </w:tc>
        <w:tc>
          <w:tcPr>
            <w:tcW w:w="1275" w:type="dxa"/>
          </w:tcPr>
          <w:p w14:paraId="04AC9FC8" w14:textId="77777777" w:rsidR="001744C1" w:rsidRPr="00FF3F6A" w:rsidRDefault="001744C1" w:rsidP="004B766A">
            <w:pPr>
              <w:jc w:val="center"/>
              <w:rPr>
                <w:rFonts w:ascii="Arial" w:hAnsi="Arial" w:cs="Arial"/>
              </w:rPr>
            </w:pPr>
            <w:r w:rsidRPr="00FF3F6A">
              <w:rPr>
                <w:rFonts w:ascii="Arial" w:hAnsi="Arial" w:cs="Arial"/>
              </w:rPr>
              <w:t>Remote</w:t>
            </w:r>
          </w:p>
        </w:tc>
        <w:tc>
          <w:tcPr>
            <w:tcW w:w="1127" w:type="dxa"/>
          </w:tcPr>
          <w:p w14:paraId="6D7A6D8E" w14:textId="71D3AF4D" w:rsidR="001744C1" w:rsidRPr="00732BC0" w:rsidRDefault="00732BC0" w:rsidP="00732BC0">
            <w:pPr>
              <w:spacing w:after="120"/>
            </w:pPr>
            <w:r>
              <w:t>[redacted]</w:t>
            </w:r>
          </w:p>
        </w:tc>
      </w:tr>
      <w:tr w:rsidR="001744C1" w:rsidRPr="00FF3F6A" w14:paraId="5F56A2A6" w14:textId="77777777" w:rsidTr="004B766A">
        <w:tc>
          <w:tcPr>
            <w:tcW w:w="7792" w:type="dxa"/>
          </w:tcPr>
          <w:p w14:paraId="379938F1" w14:textId="77777777" w:rsidR="001744C1" w:rsidRPr="00FF3F6A" w:rsidRDefault="001744C1" w:rsidP="004B766A">
            <w:pPr>
              <w:rPr>
                <w:rFonts w:ascii="Arial" w:hAnsi="Arial" w:cs="Arial"/>
              </w:rPr>
            </w:pPr>
            <w:r w:rsidRPr="00FF3F6A">
              <w:rPr>
                <w:rFonts w:ascii="Arial" w:hAnsi="Arial" w:cs="Arial"/>
              </w:rPr>
              <w:t>Management, Scoping and QA</w:t>
            </w:r>
          </w:p>
        </w:tc>
        <w:tc>
          <w:tcPr>
            <w:tcW w:w="1275" w:type="dxa"/>
          </w:tcPr>
          <w:p w14:paraId="0C2A42E1" w14:textId="77777777" w:rsidR="001744C1" w:rsidRPr="00FF3F6A" w:rsidRDefault="001744C1" w:rsidP="004B766A">
            <w:pPr>
              <w:jc w:val="center"/>
              <w:rPr>
                <w:rFonts w:ascii="Arial" w:hAnsi="Arial" w:cs="Arial"/>
              </w:rPr>
            </w:pPr>
            <w:r w:rsidRPr="00FF3F6A">
              <w:rPr>
                <w:rFonts w:ascii="Arial" w:hAnsi="Arial" w:cs="Arial"/>
              </w:rPr>
              <w:t>Remote</w:t>
            </w:r>
          </w:p>
        </w:tc>
        <w:tc>
          <w:tcPr>
            <w:tcW w:w="1127" w:type="dxa"/>
          </w:tcPr>
          <w:p w14:paraId="4C547699" w14:textId="1B817E88" w:rsidR="001744C1" w:rsidRPr="00732BC0" w:rsidRDefault="00732BC0" w:rsidP="00732BC0">
            <w:pPr>
              <w:spacing w:after="120"/>
            </w:pPr>
            <w:r>
              <w:t>[redacted]</w:t>
            </w:r>
          </w:p>
        </w:tc>
      </w:tr>
      <w:tr w:rsidR="001744C1" w:rsidRPr="00FF3F6A" w14:paraId="52173F35" w14:textId="77777777" w:rsidTr="004B766A">
        <w:tc>
          <w:tcPr>
            <w:tcW w:w="9067" w:type="dxa"/>
            <w:gridSpan w:val="2"/>
            <w:shd w:val="clear" w:color="auto" w:fill="E7E6E6" w:themeFill="background2"/>
          </w:tcPr>
          <w:p w14:paraId="19AA96B2" w14:textId="77777777" w:rsidR="001744C1" w:rsidRPr="00FF3F6A" w:rsidRDefault="001744C1" w:rsidP="004B766A">
            <w:pPr>
              <w:jc w:val="right"/>
              <w:rPr>
                <w:rFonts w:ascii="Arial" w:hAnsi="Arial" w:cs="Arial"/>
              </w:rPr>
            </w:pPr>
            <w:r w:rsidRPr="00FF3F6A">
              <w:rPr>
                <w:rFonts w:ascii="Arial" w:hAnsi="Arial" w:cs="Arial"/>
              </w:rPr>
              <w:t>Total days:</w:t>
            </w:r>
          </w:p>
        </w:tc>
        <w:tc>
          <w:tcPr>
            <w:tcW w:w="1127" w:type="dxa"/>
            <w:shd w:val="clear" w:color="auto" w:fill="E7E6E6" w:themeFill="background2"/>
          </w:tcPr>
          <w:p w14:paraId="4063DCB7" w14:textId="149E1D69" w:rsidR="001744C1" w:rsidRPr="00732BC0" w:rsidRDefault="00732BC0" w:rsidP="00732BC0">
            <w:pPr>
              <w:spacing w:after="120"/>
            </w:pPr>
            <w:r>
              <w:t>[redacted]</w:t>
            </w:r>
          </w:p>
        </w:tc>
      </w:tr>
      <w:tr w:rsidR="001744C1" w:rsidRPr="00FF3F6A" w14:paraId="11D4151D" w14:textId="77777777" w:rsidTr="004B766A">
        <w:tc>
          <w:tcPr>
            <w:tcW w:w="7792" w:type="dxa"/>
          </w:tcPr>
          <w:p w14:paraId="60E0AF37" w14:textId="77777777" w:rsidR="001744C1" w:rsidRPr="00FF3F6A" w:rsidRDefault="001744C1" w:rsidP="004B766A">
            <w:pPr>
              <w:rPr>
                <w:rFonts w:ascii="Arial" w:hAnsi="Arial" w:cs="Arial"/>
              </w:rPr>
            </w:pPr>
            <w:r w:rsidRPr="00FF3F6A">
              <w:rPr>
                <w:rFonts w:ascii="Arial" w:hAnsi="Arial" w:cs="Arial"/>
              </w:rPr>
              <w:t>Report Walkthrough (Optional)</w:t>
            </w:r>
            <w:r w:rsidRPr="00FF3F6A">
              <w:rPr>
                <w:rFonts w:ascii="Arial" w:hAnsi="Arial" w:cs="Arial"/>
              </w:rPr>
              <w:tab/>
            </w:r>
          </w:p>
        </w:tc>
        <w:tc>
          <w:tcPr>
            <w:tcW w:w="1275" w:type="dxa"/>
          </w:tcPr>
          <w:p w14:paraId="26AEBE74" w14:textId="77777777" w:rsidR="001744C1" w:rsidRPr="00FF3F6A" w:rsidRDefault="001744C1" w:rsidP="004B766A">
            <w:pPr>
              <w:jc w:val="center"/>
              <w:rPr>
                <w:rFonts w:ascii="Arial" w:hAnsi="Arial" w:cs="Arial"/>
              </w:rPr>
            </w:pPr>
            <w:r w:rsidRPr="00FF3F6A">
              <w:rPr>
                <w:rFonts w:ascii="Arial" w:hAnsi="Arial" w:cs="Arial"/>
              </w:rPr>
              <w:t>Remote</w:t>
            </w:r>
          </w:p>
        </w:tc>
        <w:tc>
          <w:tcPr>
            <w:tcW w:w="1127" w:type="dxa"/>
          </w:tcPr>
          <w:p w14:paraId="18CD2A15" w14:textId="3F49A95F" w:rsidR="001744C1" w:rsidRPr="00732BC0" w:rsidRDefault="00732BC0" w:rsidP="00732BC0">
            <w:pPr>
              <w:spacing w:after="120"/>
            </w:pPr>
            <w:r>
              <w:t>[redacted]</w:t>
            </w:r>
          </w:p>
        </w:tc>
      </w:tr>
    </w:tbl>
    <w:p w14:paraId="74426863" w14:textId="77777777" w:rsidR="002160EC" w:rsidRPr="00FF3F6A" w:rsidRDefault="002160EC" w:rsidP="004B6BA5">
      <w:pPr>
        <w:jc w:val="both"/>
        <w:rPr>
          <w:rStyle w:val="normaltextrun"/>
          <w:rFonts w:eastAsiaTheme="majorEastAsia"/>
          <w:color w:val="2F5496" w:themeColor="accent1" w:themeShade="BF"/>
          <w:sz w:val="24"/>
          <w:szCs w:val="24"/>
          <w:shd w:val="clear" w:color="auto" w:fill="FFFFFF"/>
        </w:rPr>
      </w:pPr>
    </w:p>
    <w:p w14:paraId="3FE2C044" w14:textId="77777777" w:rsidR="002160EC" w:rsidRDefault="002160EC" w:rsidP="002160EC">
      <w:pPr>
        <w:jc w:val="both"/>
        <w:rPr>
          <w:rStyle w:val="normaltextrun"/>
          <w:rFonts w:eastAsiaTheme="majorEastAsia"/>
          <w:b/>
          <w:bCs/>
          <w:color w:val="2F5496" w:themeColor="accent1" w:themeShade="BF"/>
          <w:sz w:val="24"/>
          <w:szCs w:val="24"/>
          <w:shd w:val="clear" w:color="auto" w:fill="FFFFFF"/>
        </w:rPr>
      </w:pPr>
      <w:bookmarkStart w:id="15" w:name="_Toc66351086"/>
      <w:bookmarkStart w:id="16" w:name="_Toc33176234"/>
      <w:r w:rsidRPr="00FF3F6A">
        <w:rPr>
          <w:rStyle w:val="normaltextrun"/>
          <w:rFonts w:eastAsiaTheme="majorEastAsia"/>
          <w:b/>
          <w:bCs/>
          <w:color w:val="2F5496" w:themeColor="accent1" w:themeShade="BF"/>
          <w:sz w:val="24"/>
          <w:szCs w:val="24"/>
          <w:shd w:val="clear" w:color="auto" w:fill="FFFFFF"/>
        </w:rPr>
        <w:t>Reporting</w:t>
      </w:r>
      <w:bookmarkStart w:id="17" w:name="_Toc66351087"/>
      <w:bookmarkEnd w:id="15"/>
    </w:p>
    <w:p w14:paraId="65360EDE" w14:textId="4100344A" w:rsidR="002160EC" w:rsidRPr="00FF3F6A" w:rsidRDefault="002160EC" w:rsidP="004B6BA5">
      <w:pPr>
        <w:jc w:val="both"/>
        <w:rPr>
          <w:rFonts w:eastAsiaTheme="majorEastAsia"/>
          <w:b/>
          <w:bCs/>
          <w:color w:val="2F5496" w:themeColor="accent1" w:themeShade="BF"/>
          <w:sz w:val="24"/>
          <w:szCs w:val="24"/>
          <w:shd w:val="clear" w:color="auto" w:fill="FFFFFF"/>
        </w:rPr>
      </w:pPr>
      <w:r w:rsidRPr="00FF3F6A">
        <w:rPr>
          <w:b/>
          <w:bCs/>
        </w:rPr>
        <w:t>Post Exploitation Debrief</w:t>
      </w:r>
      <w:bookmarkEnd w:id="17"/>
    </w:p>
    <w:p w14:paraId="65E54319" w14:textId="77777777" w:rsidR="002160EC" w:rsidRPr="00FF3F6A" w:rsidRDefault="002160EC" w:rsidP="002160EC">
      <w:pPr>
        <w:jc w:val="both"/>
      </w:pPr>
      <w:r w:rsidRPr="00FF5F84">
        <w:t>On the last day of testing before reporting commences (or after successful expl</w:t>
      </w:r>
      <w:r w:rsidRPr="00C739E3">
        <w:t>oitation), you will have the opportunity to discuss the outcomes of the testing via telephone conference. The debrief includes a high-level overview of the test. Any immediate security concerns will be advised as and when discovered. The Security Consultan</w:t>
      </w:r>
      <w:r w:rsidRPr="00FF3F6A">
        <w:t xml:space="preserve">t will answer any questions you may </w:t>
      </w:r>
      <w:proofErr w:type="gramStart"/>
      <w:r w:rsidRPr="00FF3F6A">
        <w:t>have, and</w:t>
      </w:r>
      <w:proofErr w:type="gramEnd"/>
      <w:r w:rsidRPr="00FF3F6A">
        <w:t xml:space="preserve"> confirm when testing has stopped to allow you to reset any IP filters, IDS/IPS devices, firewalls or similar devices that may have been reconfigured to allow testing.</w:t>
      </w:r>
    </w:p>
    <w:p w14:paraId="274BF7DE" w14:textId="77777777" w:rsidR="002160EC" w:rsidRPr="00FF3F6A" w:rsidRDefault="002160EC" w:rsidP="002160EC">
      <w:pPr>
        <w:pStyle w:val="Heading3"/>
        <w:rPr>
          <w:b/>
          <w:bCs/>
          <w:sz w:val="22"/>
          <w:szCs w:val="22"/>
        </w:rPr>
      </w:pPr>
      <w:bookmarkStart w:id="18" w:name="_Toc66351088"/>
      <w:r w:rsidRPr="00FF3F6A">
        <w:rPr>
          <w:b/>
          <w:bCs/>
          <w:sz w:val="22"/>
          <w:szCs w:val="22"/>
        </w:rPr>
        <w:lastRenderedPageBreak/>
        <w:t>Reporting</w:t>
      </w:r>
      <w:bookmarkEnd w:id="18"/>
    </w:p>
    <w:p w14:paraId="2870B4B3" w14:textId="77777777" w:rsidR="002160EC" w:rsidRPr="00FF3F6A" w:rsidRDefault="002160EC" w:rsidP="002160EC">
      <w:pPr>
        <w:jc w:val="both"/>
      </w:pPr>
      <w:r w:rsidRPr="00FF5F84">
        <w:t>On completion of the testing, a f</w:t>
      </w:r>
      <w:r w:rsidRPr="00C739E3">
        <w:t>ull report is produced. The report is split into two sections, both a technical and a management supplement. The technical portion is intended for the on-the-ground technical personnel in the team to fully understand the attacks that took place, help to pr</w:t>
      </w:r>
      <w:r w:rsidRPr="00FF3F6A">
        <w:t>ioritise the vulnerabilities, severity of issues and offer sound remediation advice. The management portion of the report is intended for board members and less technical members of staff. This section offers high level explanations of what was discovered during the test. Both portions of the report obfuscate any personally identifiable information that may have been discovered during the testing.</w:t>
      </w:r>
    </w:p>
    <w:p w14:paraId="06D10196" w14:textId="77777777" w:rsidR="002160EC" w:rsidRPr="00FF3F6A" w:rsidRDefault="002160EC" w:rsidP="002160EC">
      <w:pPr>
        <w:jc w:val="both"/>
      </w:pPr>
      <w:r w:rsidRPr="00FF3F6A">
        <w:t>Reporting is completed within timescales agreed in advance of the testing commencing, and reports are delivered to you utilising an agreed secure delivery method.</w:t>
      </w:r>
    </w:p>
    <w:p w14:paraId="1B3680B5" w14:textId="77777777" w:rsidR="002160EC" w:rsidRPr="00FF3F6A" w:rsidRDefault="002160EC" w:rsidP="002160EC">
      <w:pPr>
        <w:pStyle w:val="Heading3"/>
        <w:rPr>
          <w:b/>
          <w:bCs/>
          <w:sz w:val="22"/>
          <w:szCs w:val="22"/>
        </w:rPr>
      </w:pPr>
      <w:bookmarkStart w:id="19" w:name="_Toc66351089"/>
      <w:r w:rsidRPr="00FF3F6A">
        <w:rPr>
          <w:b/>
          <w:bCs/>
          <w:sz w:val="22"/>
          <w:szCs w:val="22"/>
        </w:rPr>
        <w:t>Report Walkthrough</w:t>
      </w:r>
      <w:bookmarkEnd w:id="19"/>
      <w:r w:rsidRPr="00FF3F6A">
        <w:rPr>
          <w:b/>
          <w:bCs/>
          <w:sz w:val="22"/>
          <w:szCs w:val="22"/>
        </w:rPr>
        <w:t xml:space="preserve"> </w:t>
      </w:r>
    </w:p>
    <w:p w14:paraId="14F44F7C" w14:textId="77777777" w:rsidR="002160EC" w:rsidRPr="00FF3F6A" w:rsidRDefault="002160EC" w:rsidP="002160EC">
      <w:pPr>
        <w:jc w:val="both"/>
      </w:pPr>
      <w:r w:rsidRPr="00FF5F84">
        <w:t>With all testing engagements we offer a</w:t>
      </w:r>
      <w:r w:rsidRPr="00FF3F6A">
        <w:t xml:space="preserve"> report walkthrough once the report has been delivered. CCL pride ourselves in the quality and comprehensiveness of our reports. The report alone should enable relevant departments to be able to understand and remediate the identified risks. The report walkthrough goes one step further by enabling an open forum whereby you can further dig into each issue and discuss alternative remediation actions with one of our qualified consultants. This can help both technical and non-technical members get a stronger understanding of their security posture and can be extremely beneficial when engaging in a penetration test for the first time.</w:t>
      </w:r>
    </w:p>
    <w:p w14:paraId="73DF0F59" w14:textId="572C6B5B" w:rsidR="00923BD6" w:rsidRDefault="00923BD6">
      <w:pPr>
        <w:suppressAutoHyphens w:val="0"/>
        <w:rPr>
          <w:sz w:val="32"/>
          <w:szCs w:val="32"/>
        </w:rPr>
      </w:pPr>
    </w:p>
    <w:p w14:paraId="4AC1CE49" w14:textId="77777777" w:rsidR="002160EC" w:rsidRDefault="002160EC">
      <w:pPr>
        <w:suppressAutoHyphens w:val="0"/>
        <w:rPr>
          <w:sz w:val="32"/>
          <w:szCs w:val="32"/>
        </w:rPr>
      </w:pPr>
      <w:r>
        <w:br w:type="page"/>
      </w:r>
    </w:p>
    <w:p w14:paraId="0C52B8C0" w14:textId="58B249B0" w:rsidR="005F5674" w:rsidRDefault="00680ADE">
      <w:pPr>
        <w:pStyle w:val="Heading2"/>
      </w:pPr>
      <w:r>
        <w:lastRenderedPageBreak/>
        <w:t>Schedule 2: Call-Off Contract charges</w:t>
      </w:r>
      <w:bookmarkEnd w:id="16"/>
    </w:p>
    <w:p w14:paraId="5C8654F9" w14:textId="7C2E16A5" w:rsidR="005F5674" w:rsidRDefault="00680ADE">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0F27BA2C" w14:textId="77777777" w:rsidR="004B1904" w:rsidRDefault="004B1904">
      <w:pPr>
        <w:spacing w:before="240"/>
      </w:pPr>
    </w:p>
    <w:tbl>
      <w:tblPr>
        <w:tblStyle w:val="CCLStyle"/>
        <w:tblW w:w="10196" w:type="dxa"/>
        <w:tblLayout w:type="fixed"/>
        <w:tblLook w:val="0420" w:firstRow="1" w:lastRow="0" w:firstColumn="0" w:lastColumn="0" w:noHBand="0" w:noVBand="1"/>
      </w:tblPr>
      <w:tblGrid>
        <w:gridCol w:w="7225"/>
        <w:gridCol w:w="1559"/>
        <w:gridCol w:w="1412"/>
      </w:tblGrid>
      <w:tr w:rsidR="004B1904" w:rsidRPr="00FF3F6A" w14:paraId="2269CAD3" w14:textId="77777777" w:rsidTr="00732BC0">
        <w:trPr>
          <w:cnfStyle w:val="100000000000" w:firstRow="1" w:lastRow="0" w:firstColumn="0" w:lastColumn="0" w:oddVBand="0" w:evenVBand="0" w:oddHBand="0" w:evenHBand="0" w:firstRowFirstColumn="0" w:firstRowLastColumn="0" w:lastRowFirstColumn="0" w:lastRowLastColumn="0"/>
        </w:trPr>
        <w:tc>
          <w:tcPr>
            <w:tcW w:w="7225" w:type="dxa"/>
          </w:tcPr>
          <w:p w14:paraId="677737F2" w14:textId="77777777" w:rsidR="004B1904" w:rsidRPr="00FF3F6A" w:rsidRDefault="004B1904" w:rsidP="004B766A">
            <w:pPr>
              <w:rPr>
                <w:rFonts w:ascii="Arial" w:hAnsi="Arial" w:cs="Arial"/>
                <w:sz w:val="22"/>
              </w:rPr>
            </w:pPr>
            <w:r w:rsidRPr="00FF3F6A">
              <w:rPr>
                <w:rFonts w:ascii="Arial" w:hAnsi="Arial" w:cs="Arial"/>
                <w:sz w:val="22"/>
              </w:rPr>
              <w:t>Breakdown of Days- Year 1</w:t>
            </w:r>
          </w:p>
        </w:tc>
        <w:tc>
          <w:tcPr>
            <w:tcW w:w="1559" w:type="dxa"/>
          </w:tcPr>
          <w:p w14:paraId="63AA257D" w14:textId="77777777" w:rsidR="004B1904" w:rsidRPr="00FF3F6A" w:rsidRDefault="004B1904" w:rsidP="004B766A">
            <w:pPr>
              <w:rPr>
                <w:rFonts w:ascii="Arial" w:hAnsi="Arial" w:cs="Arial"/>
                <w:sz w:val="22"/>
              </w:rPr>
            </w:pPr>
            <w:r w:rsidRPr="00FF3F6A">
              <w:rPr>
                <w:rFonts w:ascii="Arial" w:hAnsi="Arial" w:cs="Arial"/>
                <w:sz w:val="22"/>
              </w:rPr>
              <w:t>Quantity</w:t>
            </w:r>
          </w:p>
        </w:tc>
        <w:tc>
          <w:tcPr>
            <w:tcW w:w="1412" w:type="dxa"/>
          </w:tcPr>
          <w:p w14:paraId="116D1FCE" w14:textId="77777777" w:rsidR="004B1904" w:rsidRPr="00FF3F6A" w:rsidRDefault="004B1904" w:rsidP="004B766A">
            <w:pPr>
              <w:rPr>
                <w:rFonts w:ascii="Arial" w:hAnsi="Arial" w:cs="Arial"/>
                <w:sz w:val="22"/>
              </w:rPr>
            </w:pPr>
            <w:r w:rsidRPr="00FF3F6A">
              <w:rPr>
                <w:rFonts w:ascii="Arial" w:hAnsi="Arial" w:cs="Arial"/>
                <w:sz w:val="22"/>
              </w:rPr>
              <w:t>Cost</w:t>
            </w:r>
          </w:p>
        </w:tc>
      </w:tr>
      <w:tr w:rsidR="00732BC0" w:rsidRPr="00FF3F6A" w14:paraId="7F98DD59" w14:textId="77777777" w:rsidTr="00732BC0">
        <w:trPr>
          <w:trHeight w:val="2000"/>
        </w:trPr>
        <w:tc>
          <w:tcPr>
            <w:tcW w:w="10196" w:type="dxa"/>
            <w:gridSpan w:val="3"/>
          </w:tcPr>
          <w:p w14:paraId="061ED39A" w14:textId="77777777" w:rsidR="00732BC0" w:rsidRDefault="00732BC0" w:rsidP="00732BC0">
            <w:pPr>
              <w:spacing w:after="120"/>
              <w:jc w:val="center"/>
            </w:pPr>
            <w:r>
              <w:t>[redacted]</w:t>
            </w:r>
          </w:p>
          <w:p w14:paraId="741909C6" w14:textId="0C03BAB8" w:rsidR="00732BC0" w:rsidRPr="00FF3F6A" w:rsidRDefault="00732BC0" w:rsidP="00732BC0">
            <w:pPr>
              <w:jc w:val="center"/>
              <w:rPr>
                <w:rFonts w:ascii="Arial" w:hAnsi="Arial" w:cs="Arial"/>
              </w:rPr>
            </w:pPr>
          </w:p>
        </w:tc>
      </w:tr>
    </w:tbl>
    <w:p w14:paraId="209BA2FD" w14:textId="77777777" w:rsidR="004B1904" w:rsidRPr="00FF3F6A" w:rsidRDefault="004B1904" w:rsidP="004B1904"/>
    <w:p w14:paraId="0DC88C98" w14:textId="77777777" w:rsidR="004B1904" w:rsidRPr="00FF3F6A" w:rsidRDefault="004B1904" w:rsidP="004B1904"/>
    <w:tbl>
      <w:tblPr>
        <w:tblStyle w:val="CCLStyle"/>
        <w:tblW w:w="10196" w:type="dxa"/>
        <w:tblLayout w:type="fixed"/>
        <w:tblLook w:val="0420" w:firstRow="1" w:lastRow="0" w:firstColumn="0" w:lastColumn="0" w:noHBand="0" w:noVBand="1"/>
      </w:tblPr>
      <w:tblGrid>
        <w:gridCol w:w="7225"/>
        <w:gridCol w:w="1559"/>
        <w:gridCol w:w="1412"/>
      </w:tblGrid>
      <w:tr w:rsidR="004B1904" w:rsidRPr="00FF3F6A" w14:paraId="42B4B0F3" w14:textId="77777777" w:rsidTr="00732BC0">
        <w:trPr>
          <w:cnfStyle w:val="100000000000" w:firstRow="1" w:lastRow="0" w:firstColumn="0" w:lastColumn="0" w:oddVBand="0" w:evenVBand="0" w:oddHBand="0" w:evenHBand="0" w:firstRowFirstColumn="0" w:firstRowLastColumn="0" w:lastRowFirstColumn="0" w:lastRowLastColumn="0"/>
        </w:trPr>
        <w:tc>
          <w:tcPr>
            <w:tcW w:w="7225" w:type="dxa"/>
          </w:tcPr>
          <w:p w14:paraId="61C65E09" w14:textId="77777777" w:rsidR="004B1904" w:rsidRPr="00FF3F6A" w:rsidRDefault="004B1904" w:rsidP="004B766A">
            <w:pPr>
              <w:rPr>
                <w:rFonts w:ascii="Arial" w:hAnsi="Arial" w:cs="Arial"/>
                <w:sz w:val="22"/>
              </w:rPr>
            </w:pPr>
            <w:r w:rsidRPr="00FF3F6A">
              <w:rPr>
                <w:rFonts w:ascii="Arial" w:hAnsi="Arial" w:cs="Arial"/>
                <w:sz w:val="22"/>
              </w:rPr>
              <w:t>Breakdown of Days- Year 2</w:t>
            </w:r>
          </w:p>
        </w:tc>
        <w:tc>
          <w:tcPr>
            <w:tcW w:w="1559" w:type="dxa"/>
          </w:tcPr>
          <w:p w14:paraId="12126FAA" w14:textId="77777777" w:rsidR="004B1904" w:rsidRPr="00FF3F6A" w:rsidRDefault="004B1904" w:rsidP="004B766A">
            <w:pPr>
              <w:rPr>
                <w:rFonts w:ascii="Arial" w:hAnsi="Arial" w:cs="Arial"/>
                <w:sz w:val="22"/>
              </w:rPr>
            </w:pPr>
            <w:r w:rsidRPr="00FF3F6A">
              <w:rPr>
                <w:rFonts w:ascii="Arial" w:hAnsi="Arial" w:cs="Arial"/>
                <w:sz w:val="22"/>
              </w:rPr>
              <w:t>Quantity</w:t>
            </w:r>
          </w:p>
        </w:tc>
        <w:tc>
          <w:tcPr>
            <w:tcW w:w="1412" w:type="dxa"/>
          </w:tcPr>
          <w:p w14:paraId="685291EA" w14:textId="77777777" w:rsidR="004B1904" w:rsidRPr="00FF3F6A" w:rsidRDefault="004B1904" w:rsidP="004B766A">
            <w:pPr>
              <w:rPr>
                <w:rFonts w:ascii="Arial" w:hAnsi="Arial" w:cs="Arial"/>
                <w:sz w:val="22"/>
              </w:rPr>
            </w:pPr>
            <w:r w:rsidRPr="00FF3F6A">
              <w:rPr>
                <w:rFonts w:ascii="Arial" w:hAnsi="Arial" w:cs="Arial"/>
                <w:sz w:val="22"/>
              </w:rPr>
              <w:t>Cost</w:t>
            </w:r>
          </w:p>
        </w:tc>
      </w:tr>
      <w:tr w:rsidR="00732BC0" w:rsidRPr="00FF3F6A" w14:paraId="2AF66A79" w14:textId="77777777" w:rsidTr="00732BC0">
        <w:trPr>
          <w:trHeight w:val="2000"/>
        </w:trPr>
        <w:tc>
          <w:tcPr>
            <w:tcW w:w="10196" w:type="dxa"/>
            <w:gridSpan w:val="3"/>
          </w:tcPr>
          <w:p w14:paraId="78CE7703" w14:textId="77777777" w:rsidR="00732BC0" w:rsidRDefault="00732BC0" w:rsidP="00732BC0">
            <w:pPr>
              <w:spacing w:after="120"/>
              <w:jc w:val="center"/>
            </w:pPr>
            <w:r>
              <w:t>[redacted]</w:t>
            </w:r>
          </w:p>
          <w:p w14:paraId="5F0DAEC3" w14:textId="4D275401" w:rsidR="00732BC0" w:rsidRPr="00FF3F6A" w:rsidRDefault="00732BC0" w:rsidP="00732BC0">
            <w:pPr>
              <w:jc w:val="center"/>
              <w:rPr>
                <w:rFonts w:ascii="Arial" w:hAnsi="Arial" w:cs="Arial"/>
              </w:rPr>
            </w:pPr>
          </w:p>
        </w:tc>
      </w:tr>
    </w:tbl>
    <w:p w14:paraId="40617E94" w14:textId="77777777" w:rsidR="004B1904" w:rsidRPr="00FF3F6A" w:rsidRDefault="004B1904" w:rsidP="004B1904"/>
    <w:p w14:paraId="6385C070" w14:textId="77777777" w:rsidR="004B1904" w:rsidRPr="00FF3F6A" w:rsidRDefault="004B1904" w:rsidP="004B1904"/>
    <w:p w14:paraId="1D346B85" w14:textId="77777777" w:rsidR="004B1904" w:rsidRPr="00FF3F6A" w:rsidRDefault="004B1904" w:rsidP="004B1904">
      <w:pPr>
        <w:rPr>
          <w:i/>
          <w:iCs/>
        </w:rPr>
      </w:pPr>
      <w:r w:rsidRPr="00FF3F6A">
        <w:rPr>
          <w:i/>
          <w:iCs/>
        </w:rPr>
        <w:t>* All prices exclude VAT which will be charged at 20%.</w:t>
      </w:r>
    </w:p>
    <w:p w14:paraId="7F0D9731" w14:textId="77777777" w:rsidR="004B1904" w:rsidRPr="00FF3F6A" w:rsidRDefault="004B1904" w:rsidP="004B1904">
      <w:pPr>
        <w:rPr>
          <w:i/>
          <w:iCs/>
        </w:rPr>
      </w:pPr>
      <w:r w:rsidRPr="00FF3F6A">
        <w:rPr>
          <w:i/>
          <w:iCs/>
        </w:rPr>
        <w:t xml:space="preserve">* Payment terms will be 30 days from receipt of invoice. </w:t>
      </w:r>
    </w:p>
    <w:p w14:paraId="476E36C0" w14:textId="77777777" w:rsidR="004B1904" w:rsidRPr="00FF3F6A" w:rsidRDefault="004B1904" w:rsidP="004B1904">
      <w:pPr>
        <w:rPr>
          <w:i/>
          <w:iCs/>
        </w:rPr>
      </w:pPr>
      <w:r w:rsidRPr="00FF3F6A">
        <w:rPr>
          <w:i/>
          <w:iCs/>
        </w:rPr>
        <w:t>* All prices are exclusive of Travel and Expenses (which will be charged at cost) </w:t>
      </w:r>
    </w:p>
    <w:p w14:paraId="345505A6" w14:textId="671076AD" w:rsidR="005F5674" w:rsidRPr="00FF3F6A" w:rsidRDefault="005F5674" w:rsidP="00FF3F6A">
      <w:pPr>
        <w:spacing w:before="240"/>
      </w:pPr>
    </w:p>
    <w:p w14:paraId="3CC690C4" w14:textId="77777777" w:rsidR="005F5674" w:rsidRDefault="005F5674">
      <w:pPr>
        <w:rPr>
          <w:b/>
        </w:rPr>
      </w:pPr>
    </w:p>
    <w:p w14:paraId="28AC726A" w14:textId="77777777" w:rsidR="005F5674" w:rsidRDefault="005F5674">
      <w:pPr>
        <w:rPr>
          <w:sz w:val="32"/>
          <w:szCs w:val="32"/>
        </w:rPr>
      </w:pPr>
    </w:p>
    <w:p w14:paraId="7AAE23B9" w14:textId="77777777" w:rsidR="005F5674" w:rsidRDefault="005F5674">
      <w:pPr>
        <w:rPr>
          <w:sz w:val="32"/>
          <w:szCs w:val="32"/>
        </w:rPr>
      </w:pPr>
    </w:p>
    <w:p w14:paraId="059D5A89" w14:textId="77777777" w:rsidR="005F5674" w:rsidRDefault="005F5674">
      <w:bookmarkStart w:id="20" w:name="_Toc33176235"/>
    </w:p>
    <w:p w14:paraId="00A6E3A9" w14:textId="77777777" w:rsidR="005F5674" w:rsidRDefault="00680ADE">
      <w:pPr>
        <w:pStyle w:val="Heading2"/>
        <w:pageBreakBefore/>
      </w:pPr>
      <w:r>
        <w:lastRenderedPageBreak/>
        <w:t>Part B: Terms and conditions</w:t>
      </w:r>
      <w:bookmarkEnd w:id="20"/>
    </w:p>
    <w:p w14:paraId="1D786C1D" w14:textId="77777777" w:rsidR="005F5674" w:rsidRDefault="00680ADE">
      <w:pPr>
        <w:pStyle w:val="Heading3"/>
        <w:spacing w:before="0" w:after="100"/>
        <w:rPr>
          <w:color w:val="auto"/>
        </w:rPr>
      </w:pPr>
      <w:r>
        <w:rPr>
          <w:color w:val="auto"/>
        </w:rPr>
        <w:t>1.</w:t>
      </w:r>
      <w:r>
        <w:rPr>
          <w:color w:val="auto"/>
        </w:rPr>
        <w:tab/>
        <w:t>Call-Off Contract Start date and length</w:t>
      </w:r>
    </w:p>
    <w:p w14:paraId="2FD86456" w14:textId="77777777" w:rsidR="005F5674" w:rsidRDefault="00680ADE">
      <w:r>
        <w:t>1.1</w:t>
      </w:r>
      <w:r>
        <w:tab/>
        <w:t>The Supplier must start providing the Services on the date specified in the Order Form.</w:t>
      </w:r>
    </w:p>
    <w:p w14:paraId="1B8E0761" w14:textId="77777777" w:rsidR="005F5674" w:rsidRDefault="005F5674">
      <w:pPr>
        <w:ind w:firstLine="720"/>
      </w:pPr>
    </w:p>
    <w:p w14:paraId="32BDE50D" w14:textId="77777777" w:rsidR="005F5674" w:rsidRDefault="00680ADE">
      <w:pPr>
        <w:ind w:left="720" w:hanging="720"/>
      </w:pPr>
      <w:r>
        <w:t>1.2</w:t>
      </w:r>
      <w:r>
        <w:tab/>
        <w:t xml:space="preserve">This Call-Off Contract will expire on the Expiry Date in the Order Form. It will be for up to 24 months from the Start date unless </w:t>
      </w:r>
      <w:proofErr w:type="gramStart"/>
      <w:r>
        <w:t>Ended</w:t>
      </w:r>
      <w:proofErr w:type="gramEnd"/>
      <w:r>
        <w:t xml:space="preserve"> earlier under clause 18 or extended by the Buyer under clause 1.3.</w:t>
      </w:r>
    </w:p>
    <w:p w14:paraId="3A08E686" w14:textId="77777777" w:rsidR="005F5674" w:rsidRDefault="005F5674">
      <w:pPr>
        <w:ind w:left="720"/>
      </w:pPr>
    </w:p>
    <w:p w14:paraId="028066C2" w14:textId="77777777" w:rsidR="005F5674" w:rsidRDefault="00680ADE">
      <w:pPr>
        <w:ind w:left="720" w:hanging="720"/>
      </w:pPr>
      <w:r>
        <w:t>1.3</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2 periods of up to 12 months each.</w:t>
      </w:r>
    </w:p>
    <w:p w14:paraId="12F2C199" w14:textId="77777777" w:rsidR="005F5674" w:rsidRDefault="005F5674">
      <w:pPr>
        <w:ind w:left="720"/>
      </w:pPr>
    </w:p>
    <w:p w14:paraId="05F9C901" w14:textId="77777777" w:rsidR="005F5674" w:rsidRDefault="00680ADE">
      <w:pPr>
        <w:ind w:left="720" w:hanging="720"/>
      </w:pPr>
      <w:r>
        <w:t>1.4</w:t>
      </w:r>
      <w:r>
        <w:tab/>
        <w:t>The Parties must comply with the requirements under clauses 21.3 to 21.8 if the Buyer reserves the right in the Order Form to extend the contract beyond 24 months.</w:t>
      </w:r>
    </w:p>
    <w:p w14:paraId="5AA0DB3E" w14:textId="77777777" w:rsidR="005F5674" w:rsidRDefault="005F5674">
      <w:pPr>
        <w:spacing w:before="240" w:after="240"/>
      </w:pPr>
    </w:p>
    <w:p w14:paraId="6807B5FC" w14:textId="77777777" w:rsidR="005F5674" w:rsidRDefault="00680ADE">
      <w:pPr>
        <w:pStyle w:val="Heading3"/>
        <w:spacing w:before="0" w:after="100"/>
        <w:rPr>
          <w:color w:val="auto"/>
        </w:rPr>
      </w:pPr>
      <w:r>
        <w:rPr>
          <w:color w:val="auto"/>
        </w:rPr>
        <w:t>2.</w:t>
      </w:r>
      <w:r>
        <w:rPr>
          <w:color w:val="auto"/>
        </w:rPr>
        <w:tab/>
        <w:t>Incorporation of terms</w:t>
      </w:r>
    </w:p>
    <w:p w14:paraId="0ADD63EF" w14:textId="77777777" w:rsidR="005F5674" w:rsidRDefault="00680ADE">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6A4F8410" w14:textId="77777777" w:rsidR="005F5674" w:rsidRDefault="00680ADE">
      <w:pPr>
        <w:pStyle w:val="ListParagraph"/>
        <w:numPr>
          <w:ilvl w:val="0"/>
          <w:numId w:val="9"/>
        </w:numPr>
      </w:pPr>
      <w:r>
        <w:rPr>
          <w:sz w:val="14"/>
          <w:szCs w:val="14"/>
        </w:rPr>
        <w:t xml:space="preserve"> </w:t>
      </w:r>
      <w:r>
        <w:t>4.1 (Warranties and representations)</w:t>
      </w:r>
    </w:p>
    <w:p w14:paraId="078A5B84" w14:textId="77777777" w:rsidR="005F5674" w:rsidRDefault="00680ADE">
      <w:pPr>
        <w:pStyle w:val="ListParagraph"/>
        <w:numPr>
          <w:ilvl w:val="0"/>
          <w:numId w:val="9"/>
        </w:numPr>
      </w:pPr>
      <w:r>
        <w:t>4.2 to 4.7 (Liability)</w:t>
      </w:r>
    </w:p>
    <w:p w14:paraId="61E59A89" w14:textId="77777777" w:rsidR="005F5674" w:rsidRDefault="00680ADE">
      <w:pPr>
        <w:pStyle w:val="ListParagraph"/>
        <w:numPr>
          <w:ilvl w:val="0"/>
          <w:numId w:val="9"/>
        </w:numPr>
      </w:pPr>
      <w:r>
        <w:t>4.11 to 4.12 (IR35)</w:t>
      </w:r>
    </w:p>
    <w:p w14:paraId="406673D4" w14:textId="77777777" w:rsidR="005F5674" w:rsidRDefault="00680ADE">
      <w:pPr>
        <w:pStyle w:val="ListParagraph"/>
        <w:numPr>
          <w:ilvl w:val="0"/>
          <w:numId w:val="9"/>
        </w:numPr>
      </w:pPr>
      <w:r>
        <w:t>5.4 to 5.5 (Force majeure)</w:t>
      </w:r>
    </w:p>
    <w:p w14:paraId="357661BC" w14:textId="77777777" w:rsidR="005F5674" w:rsidRDefault="00680ADE">
      <w:pPr>
        <w:pStyle w:val="ListParagraph"/>
        <w:numPr>
          <w:ilvl w:val="0"/>
          <w:numId w:val="9"/>
        </w:numPr>
      </w:pPr>
      <w:r>
        <w:t>5.8 (Continuing rights)</w:t>
      </w:r>
    </w:p>
    <w:p w14:paraId="19903B59" w14:textId="77777777" w:rsidR="005F5674" w:rsidRDefault="00680ADE">
      <w:pPr>
        <w:pStyle w:val="ListParagraph"/>
        <w:numPr>
          <w:ilvl w:val="0"/>
          <w:numId w:val="9"/>
        </w:numPr>
      </w:pPr>
      <w:r>
        <w:t>5.9 to 5.11 (Change of control)</w:t>
      </w:r>
    </w:p>
    <w:p w14:paraId="4D4174D6" w14:textId="77777777" w:rsidR="005F5674" w:rsidRDefault="00680ADE">
      <w:pPr>
        <w:pStyle w:val="ListParagraph"/>
        <w:numPr>
          <w:ilvl w:val="0"/>
          <w:numId w:val="9"/>
        </w:numPr>
      </w:pPr>
      <w:r>
        <w:t>5.12 (Fraud)</w:t>
      </w:r>
    </w:p>
    <w:p w14:paraId="632C15B9" w14:textId="77777777" w:rsidR="005F5674" w:rsidRDefault="00680ADE">
      <w:pPr>
        <w:pStyle w:val="ListParagraph"/>
        <w:numPr>
          <w:ilvl w:val="0"/>
          <w:numId w:val="9"/>
        </w:numPr>
      </w:pPr>
      <w:r>
        <w:t>5.13 (Notice of fraud)</w:t>
      </w:r>
    </w:p>
    <w:p w14:paraId="2D4A4E33" w14:textId="77777777" w:rsidR="005F5674" w:rsidRDefault="00680ADE">
      <w:pPr>
        <w:pStyle w:val="ListParagraph"/>
        <w:numPr>
          <w:ilvl w:val="0"/>
          <w:numId w:val="9"/>
        </w:numPr>
      </w:pPr>
      <w:r>
        <w:t>7.1 to 7.2 (Transparency)</w:t>
      </w:r>
    </w:p>
    <w:p w14:paraId="16A6B4E6" w14:textId="77777777" w:rsidR="005F5674" w:rsidRDefault="00680ADE">
      <w:pPr>
        <w:pStyle w:val="ListParagraph"/>
        <w:numPr>
          <w:ilvl w:val="0"/>
          <w:numId w:val="9"/>
        </w:numPr>
      </w:pPr>
      <w:r>
        <w:t>8.3 (Order of precedence)</w:t>
      </w:r>
    </w:p>
    <w:p w14:paraId="1476A224" w14:textId="77777777" w:rsidR="005F5674" w:rsidRDefault="00680ADE">
      <w:pPr>
        <w:pStyle w:val="ListParagraph"/>
        <w:numPr>
          <w:ilvl w:val="0"/>
          <w:numId w:val="9"/>
        </w:numPr>
      </w:pPr>
      <w:r>
        <w:t>8.6 (Relationship)</w:t>
      </w:r>
    </w:p>
    <w:p w14:paraId="2636F69A" w14:textId="77777777" w:rsidR="005F5674" w:rsidRDefault="00680ADE">
      <w:pPr>
        <w:pStyle w:val="ListParagraph"/>
        <w:numPr>
          <w:ilvl w:val="0"/>
          <w:numId w:val="9"/>
        </w:numPr>
      </w:pPr>
      <w:r>
        <w:t>8.9 to 8.11 (Entire agreement)</w:t>
      </w:r>
    </w:p>
    <w:p w14:paraId="259F3C47" w14:textId="77777777" w:rsidR="005F5674" w:rsidRDefault="00680ADE">
      <w:pPr>
        <w:pStyle w:val="ListParagraph"/>
        <w:numPr>
          <w:ilvl w:val="0"/>
          <w:numId w:val="9"/>
        </w:numPr>
      </w:pPr>
      <w:r>
        <w:t>8.12 (Law and jurisdiction)</w:t>
      </w:r>
    </w:p>
    <w:p w14:paraId="68D82A76" w14:textId="77777777" w:rsidR="005F5674" w:rsidRDefault="00680ADE">
      <w:pPr>
        <w:pStyle w:val="ListParagraph"/>
        <w:numPr>
          <w:ilvl w:val="0"/>
          <w:numId w:val="9"/>
        </w:numPr>
      </w:pPr>
      <w:r>
        <w:t>8.13 to 8.14 (Legislative change)</w:t>
      </w:r>
    </w:p>
    <w:p w14:paraId="47E1D353" w14:textId="77777777" w:rsidR="005F5674" w:rsidRDefault="00680ADE">
      <w:pPr>
        <w:pStyle w:val="ListParagraph"/>
        <w:numPr>
          <w:ilvl w:val="0"/>
          <w:numId w:val="9"/>
        </w:numPr>
      </w:pPr>
      <w:r>
        <w:t>8.15 to 8.19 (Bribery and corruption)</w:t>
      </w:r>
    </w:p>
    <w:p w14:paraId="3D74E48E" w14:textId="77777777" w:rsidR="005F5674" w:rsidRDefault="00680ADE">
      <w:pPr>
        <w:pStyle w:val="ListParagraph"/>
        <w:numPr>
          <w:ilvl w:val="0"/>
          <w:numId w:val="9"/>
        </w:numPr>
      </w:pPr>
      <w:r>
        <w:t>8.20 to 8.29 (Freedom of Information Act)</w:t>
      </w:r>
    </w:p>
    <w:p w14:paraId="4870E76A" w14:textId="77777777" w:rsidR="005F5674" w:rsidRDefault="00680ADE">
      <w:pPr>
        <w:pStyle w:val="ListParagraph"/>
        <w:numPr>
          <w:ilvl w:val="0"/>
          <w:numId w:val="9"/>
        </w:numPr>
      </w:pPr>
      <w:r>
        <w:t>8.30 to 8.31 (Promoting tax compliance)</w:t>
      </w:r>
    </w:p>
    <w:p w14:paraId="2E6AA074" w14:textId="77777777" w:rsidR="005F5674" w:rsidRDefault="00680ADE">
      <w:pPr>
        <w:pStyle w:val="ListParagraph"/>
        <w:numPr>
          <w:ilvl w:val="0"/>
          <w:numId w:val="9"/>
        </w:numPr>
      </w:pPr>
      <w:r>
        <w:t>8.32 to 8.33 (Official Secrets Act)</w:t>
      </w:r>
    </w:p>
    <w:p w14:paraId="4B9A5EE7" w14:textId="77777777" w:rsidR="005F5674" w:rsidRDefault="00680ADE">
      <w:pPr>
        <w:pStyle w:val="ListParagraph"/>
        <w:numPr>
          <w:ilvl w:val="0"/>
          <w:numId w:val="9"/>
        </w:numPr>
      </w:pPr>
      <w:r>
        <w:t>8.34 to 8.37 (Transfer and subcontracting)</w:t>
      </w:r>
    </w:p>
    <w:p w14:paraId="7C3798CF" w14:textId="77777777" w:rsidR="005F5674" w:rsidRDefault="00680ADE">
      <w:pPr>
        <w:pStyle w:val="ListParagraph"/>
        <w:numPr>
          <w:ilvl w:val="0"/>
          <w:numId w:val="9"/>
        </w:numPr>
      </w:pPr>
      <w:r>
        <w:t>8.40 to 8.43 (Complaints handling and resolution)</w:t>
      </w:r>
    </w:p>
    <w:p w14:paraId="7BEE35AE" w14:textId="77777777" w:rsidR="005F5674" w:rsidRDefault="00680ADE">
      <w:pPr>
        <w:pStyle w:val="ListParagraph"/>
        <w:numPr>
          <w:ilvl w:val="0"/>
          <w:numId w:val="9"/>
        </w:numPr>
      </w:pPr>
      <w:r>
        <w:t>8.44 to 8.50 (Conflicts of interest and ethical walls)</w:t>
      </w:r>
    </w:p>
    <w:p w14:paraId="7C8E5768" w14:textId="77777777" w:rsidR="005F5674" w:rsidRDefault="00680ADE">
      <w:pPr>
        <w:pStyle w:val="ListParagraph"/>
        <w:numPr>
          <w:ilvl w:val="0"/>
          <w:numId w:val="9"/>
        </w:numPr>
      </w:pPr>
      <w:r>
        <w:t>8.51 to 8.53 (Publicity and branding)</w:t>
      </w:r>
    </w:p>
    <w:p w14:paraId="7BBC3314" w14:textId="77777777" w:rsidR="005F5674" w:rsidRDefault="00680ADE">
      <w:pPr>
        <w:pStyle w:val="ListParagraph"/>
        <w:numPr>
          <w:ilvl w:val="0"/>
          <w:numId w:val="9"/>
        </w:numPr>
      </w:pPr>
      <w:r>
        <w:t>8.54 to 8.56 (Equality and diversity)</w:t>
      </w:r>
    </w:p>
    <w:p w14:paraId="7E0081AB" w14:textId="77777777" w:rsidR="005F5674" w:rsidRDefault="00680ADE">
      <w:pPr>
        <w:pStyle w:val="ListParagraph"/>
        <w:numPr>
          <w:ilvl w:val="0"/>
          <w:numId w:val="9"/>
        </w:numPr>
      </w:pPr>
      <w:r>
        <w:t>8.59 to 8.60 (Data protection</w:t>
      </w:r>
    </w:p>
    <w:p w14:paraId="747B839D" w14:textId="77777777" w:rsidR="005F5674" w:rsidRDefault="00680ADE">
      <w:pPr>
        <w:pStyle w:val="ListParagraph"/>
        <w:numPr>
          <w:ilvl w:val="0"/>
          <w:numId w:val="9"/>
        </w:numPr>
      </w:pPr>
      <w:r>
        <w:t>8.64 to 8.65 (Severability)</w:t>
      </w:r>
    </w:p>
    <w:p w14:paraId="41752009" w14:textId="77777777" w:rsidR="005F5674" w:rsidRDefault="00680ADE">
      <w:pPr>
        <w:pStyle w:val="ListParagraph"/>
        <w:numPr>
          <w:ilvl w:val="0"/>
          <w:numId w:val="9"/>
        </w:numPr>
      </w:pPr>
      <w:r>
        <w:t>8.66 to 8.69 (Managing disputes and Mediation)</w:t>
      </w:r>
    </w:p>
    <w:p w14:paraId="455AD8CE" w14:textId="77777777" w:rsidR="005F5674" w:rsidRDefault="00680ADE">
      <w:pPr>
        <w:pStyle w:val="ListParagraph"/>
        <w:numPr>
          <w:ilvl w:val="0"/>
          <w:numId w:val="9"/>
        </w:numPr>
      </w:pPr>
      <w:r>
        <w:lastRenderedPageBreak/>
        <w:t>8.80 to 8.88 (Confidentiality)</w:t>
      </w:r>
    </w:p>
    <w:p w14:paraId="493C2104" w14:textId="77777777" w:rsidR="005F5674" w:rsidRDefault="00680ADE">
      <w:pPr>
        <w:pStyle w:val="ListParagraph"/>
        <w:numPr>
          <w:ilvl w:val="0"/>
          <w:numId w:val="9"/>
        </w:numPr>
      </w:pPr>
      <w:r>
        <w:t>8.89 to 8.90 (Waiver and cumulative remedies)</w:t>
      </w:r>
    </w:p>
    <w:p w14:paraId="22CB698D" w14:textId="77777777" w:rsidR="005F5674" w:rsidRDefault="00680ADE">
      <w:pPr>
        <w:pStyle w:val="ListParagraph"/>
        <w:numPr>
          <w:ilvl w:val="0"/>
          <w:numId w:val="9"/>
        </w:numPr>
      </w:pPr>
      <w:r>
        <w:t>8.91 to 8.101 (Corporate Social Responsibility)</w:t>
      </w:r>
    </w:p>
    <w:p w14:paraId="709D0A8E" w14:textId="77777777" w:rsidR="005F5674" w:rsidRDefault="00680ADE">
      <w:pPr>
        <w:pStyle w:val="ListParagraph"/>
        <w:numPr>
          <w:ilvl w:val="0"/>
          <w:numId w:val="9"/>
        </w:numPr>
      </w:pPr>
      <w:r>
        <w:t>paragraphs 1 to 10 of the Framework Agreement glossary and interpretation</w:t>
      </w:r>
    </w:p>
    <w:p w14:paraId="53AADC9A" w14:textId="77777777" w:rsidR="005F5674" w:rsidRDefault="00680ADE">
      <w:pPr>
        <w:pStyle w:val="ListParagraph"/>
        <w:numPr>
          <w:ilvl w:val="0"/>
          <w:numId w:val="10"/>
        </w:numPr>
      </w:pPr>
      <w:r>
        <w:t>any audit provisions from the Framework Agreement set out by the Buyer in the Order Form</w:t>
      </w:r>
    </w:p>
    <w:p w14:paraId="5CDDD2E4" w14:textId="77777777" w:rsidR="005F5674" w:rsidRDefault="00680ADE">
      <w:pPr>
        <w:ind w:left="720"/>
      </w:pPr>
      <w:r>
        <w:t xml:space="preserve"> </w:t>
      </w:r>
    </w:p>
    <w:p w14:paraId="44F05197" w14:textId="77777777" w:rsidR="005F5674" w:rsidRDefault="00680ADE">
      <w:pPr>
        <w:spacing w:after="240"/>
      </w:pPr>
      <w:r>
        <w:t>2.2</w:t>
      </w:r>
      <w:r>
        <w:tab/>
        <w:t>The Framework Agreement provisions in clause 2.1 will be modified as follows:</w:t>
      </w:r>
    </w:p>
    <w:p w14:paraId="5276E2C0" w14:textId="77777777" w:rsidR="005F5674" w:rsidRDefault="00680ADE">
      <w:pPr>
        <w:ind w:left="1440" w:hanging="720"/>
      </w:pPr>
      <w:r>
        <w:t>2.2.1</w:t>
      </w:r>
      <w:r>
        <w:tab/>
        <w:t>a reference to the ‘Framework Agreement’ will be a reference to the ‘Call-Off Contract’</w:t>
      </w:r>
    </w:p>
    <w:p w14:paraId="35E5B1DF" w14:textId="77777777" w:rsidR="005F5674" w:rsidRDefault="00680ADE">
      <w:pPr>
        <w:ind w:firstLine="720"/>
      </w:pPr>
      <w:r>
        <w:t>2.2.2</w:t>
      </w:r>
      <w:r>
        <w:tab/>
        <w:t>a reference to ‘CCS’ will be a reference to ‘the Buyer’</w:t>
      </w:r>
    </w:p>
    <w:p w14:paraId="47E594D9" w14:textId="77777777" w:rsidR="005F5674" w:rsidRDefault="00680ADE">
      <w:pPr>
        <w:ind w:left="1440" w:hanging="720"/>
      </w:pPr>
      <w:r>
        <w:t>2.2.3</w:t>
      </w:r>
      <w:r>
        <w:tab/>
        <w:t>a reference to the ‘Parties’ and a ‘Party’ will be a reference to the Buyer and Supplier as Parties under this Call-Off Contract</w:t>
      </w:r>
    </w:p>
    <w:p w14:paraId="4D8C24B2" w14:textId="77777777" w:rsidR="005F5674" w:rsidRDefault="005F5674"/>
    <w:p w14:paraId="14688EAB" w14:textId="77777777" w:rsidR="005F5674" w:rsidRDefault="00680ADE">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0A35ECF9" w14:textId="77777777" w:rsidR="005F5674" w:rsidRDefault="005F5674">
      <w:pPr>
        <w:ind w:left="720"/>
      </w:pPr>
    </w:p>
    <w:p w14:paraId="51D0BE6F" w14:textId="77777777" w:rsidR="005F5674" w:rsidRDefault="00680ADE">
      <w:pPr>
        <w:ind w:left="720" w:hanging="720"/>
      </w:pPr>
      <w:r>
        <w:t>2.4</w:t>
      </w:r>
      <w:r>
        <w:tab/>
        <w:t>The Framework Agreement incorporated clauses will be referred to as incorporated Framework clause ‘XX’, where ‘XX’ is the Framework Agreement clause number.</w:t>
      </w:r>
    </w:p>
    <w:p w14:paraId="50268815" w14:textId="77777777" w:rsidR="005F5674" w:rsidRDefault="005F5674">
      <w:pPr>
        <w:ind w:firstLine="720"/>
      </w:pPr>
    </w:p>
    <w:p w14:paraId="713F6CB6" w14:textId="77777777" w:rsidR="005F5674" w:rsidRDefault="00680ADE">
      <w:pPr>
        <w:ind w:left="720" w:hanging="720"/>
      </w:pPr>
      <w:r>
        <w:t>2.5</w:t>
      </w:r>
      <w:r>
        <w:tab/>
        <w:t>When an Order Form is signed, the terms and conditions agreed in it will be incorporated into this Call-Off Contract.</w:t>
      </w:r>
    </w:p>
    <w:p w14:paraId="293A6F37" w14:textId="77777777" w:rsidR="005F5674" w:rsidRDefault="005F5674"/>
    <w:p w14:paraId="41C95670" w14:textId="77777777" w:rsidR="005F5674" w:rsidRDefault="00680ADE">
      <w:pPr>
        <w:pStyle w:val="Heading3"/>
        <w:spacing w:before="0" w:after="100"/>
        <w:rPr>
          <w:color w:val="auto"/>
        </w:rPr>
      </w:pPr>
      <w:r>
        <w:rPr>
          <w:color w:val="auto"/>
        </w:rPr>
        <w:t>3.</w:t>
      </w:r>
      <w:r>
        <w:rPr>
          <w:color w:val="auto"/>
        </w:rPr>
        <w:tab/>
        <w:t>Supply of services</w:t>
      </w:r>
    </w:p>
    <w:p w14:paraId="6405EF23" w14:textId="77777777" w:rsidR="005F5674" w:rsidRDefault="00680ADE">
      <w:pPr>
        <w:spacing w:before="240" w:after="240"/>
        <w:ind w:left="720" w:hanging="720"/>
      </w:pPr>
      <w:r>
        <w:t>3.1</w:t>
      </w:r>
      <w:r>
        <w:tab/>
        <w:t>The Supplier agrees to supply the G-Cloud Services and any Additional Services under the terms of the Call-Off Contract and the Supplier’s Application.</w:t>
      </w:r>
    </w:p>
    <w:p w14:paraId="52B3F37F" w14:textId="77777777" w:rsidR="005F5674" w:rsidRDefault="00680ADE">
      <w:pPr>
        <w:ind w:left="720" w:hanging="720"/>
      </w:pPr>
      <w:r>
        <w:t>3.2</w:t>
      </w:r>
      <w:r>
        <w:tab/>
        <w:t>The Supplier undertakes that each G-Cloud Service will meet the Buyer’s acceptance criteria, as defined in the Order Form.</w:t>
      </w:r>
    </w:p>
    <w:p w14:paraId="5C912A8C" w14:textId="77777777" w:rsidR="005F5674" w:rsidRDefault="005F5674"/>
    <w:p w14:paraId="481A2DC7" w14:textId="77777777" w:rsidR="005F5674" w:rsidRDefault="00680ADE">
      <w:pPr>
        <w:pStyle w:val="Heading3"/>
        <w:spacing w:before="0" w:after="100"/>
        <w:rPr>
          <w:color w:val="auto"/>
        </w:rPr>
      </w:pPr>
      <w:r>
        <w:rPr>
          <w:color w:val="auto"/>
        </w:rPr>
        <w:t>4.</w:t>
      </w:r>
      <w:r>
        <w:rPr>
          <w:color w:val="auto"/>
        </w:rPr>
        <w:tab/>
        <w:t>Supplier staff</w:t>
      </w:r>
    </w:p>
    <w:p w14:paraId="2F5AFADE" w14:textId="77777777" w:rsidR="005F5674" w:rsidRDefault="00680ADE">
      <w:pPr>
        <w:spacing w:before="240" w:after="240"/>
      </w:pPr>
      <w:r>
        <w:t>4.1</w:t>
      </w:r>
      <w:r>
        <w:tab/>
        <w:t>The Supplier Staff must:</w:t>
      </w:r>
    </w:p>
    <w:p w14:paraId="5056ECBE" w14:textId="77777777" w:rsidR="005F5674" w:rsidRDefault="00680ADE">
      <w:pPr>
        <w:ind w:firstLine="720"/>
      </w:pPr>
      <w:r>
        <w:t>4.1.1</w:t>
      </w:r>
      <w:r>
        <w:tab/>
        <w:t xml:space="preserve">be appropriately experienced, </w:t>
      </w:r>
      <w:proofErr w:type="gramStart"/>
      <w:r>
        <w:t>qualified</w:t>
      </w:r>
      <w:proofErr w:type="gramEnd"/>
      <w:r>
        <w:t xml:space="preserve"> and trained to supply the Services</w:t>
      </w:r>
    </w:p>
    <w:p w14:paraId="31C5038D" w14:textId="77777777" w:rsidR="005F5674" w:rsidRDefault="005F5674"/>
    <w:p w14:paraId="6E25F97C" w14:textId="77777777" w:rsidR="005F5674" w:rsidRDefault="00680ADE">
      <w:pPr>
        <w:ind w:firstLine="720"/>
      </w:pPr>
      <w:r>
        <w:t>4.1.2</w:t>
      </w:r>
      <w:r>
        <w:tab/>
        <w:t xml:space="preserve">apply all due skill, </w:t>
      </w:r>
      <w:proofErr w:type="gramStart"/>
      <w:r>
        <w:t>care</w:t>
      </w:r>
      <w:proofErr w:type="gramEnd"/>
      <w:r>
        <w:t xml:space="preserve"> and diligence in faithfully performing those duties</w:t>
      </w:r>
    </w:p>
    <w:p w14:paraId="41E0EBE7" w14:textId="77777777" w:rsidR="005F5674" w:rsidRDefault="005F5674"/>
    <w:p w14:paraId="6CC6DF72" w14:textId="77777777" w:rsidR="005F5674" w:rsidRDefault="00680ADE">
      <w:pPr>
        <w:ind w:left="720"/>
      </w:pPr>
      <w:r>
        <w:t>4.1.3</w:t>
      </w:r>
      <w:r>
        <w:tab/>
        <w:t>obey all lawful instructions and reasonable directions of the Buyer and provide the Services to the reasonable satisfaction of the Buyer</w:t>
      </w:r>
    </w:p>
    <w:p w14:paraId="24771326" w14:textId="77777777" w:rsidR="005F5674" w:rsidRDefault="005F5674"/>
    <w:p w14:paraId="072660AA" w14:textId="77777777" w:rsidR="005F5674" w:rsidRDefault="00680ADE">
      <w:pPr>
        <w:ind w:firstLine="720"/>
      </w:pPr>
      <w:r>
        <w:t>4.1.4</w:t>
      </w:r>
      <w:r>
        <w:tab/>
        <w:t>respond to any enquiries about the Services as soon as reasonably possible</w:t>
      </w:r>
    </w:p>
    <w:p w14:paraId="665714A6" w14:textId="77777777" w:rsidR="005F5674" w:rsidRDefault="005F5674"/>
    <w:p w14:paraId="35C01BAB" w14:textId="77777777" w:rsidR="005F5674" w:rsidRDefault="00680ADE">
      <w:pPr>
        <w:ind w:firstLine="720"/>
      </w:pPr>
      <w:r>
        <w:t>4.1.5</w:t>
      </w:r>
      <w:r>
        <w:tab/>
        <w:t>complete any necessary Supplier Staff vetting as specified by the Buyer</w:t>
      </w:r>
    </w:p>
    <w:p w14:paraId="25F23029" w14:textId="77777777" w:rsidR="005F5674" w:rsidRDefault="005F5674"/>
    <w:p w14:paraId="572E61D8" w14:textId="77777777" w:rsidR="005F5674" w:rsidRDefault="00680ADE">
      <w:pPr>
        <w:ind w:left="720" w:hanging="720"/>
      </w:pPr>
      <w:r>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296C8A37" w14:textId="77777777" w:rsidR="005F5674" w:rsidRDefault="005F5674">
      <w:pPr>
        <w:ind w:firstLine="720"/>
      </w:pPr>
    </w:p>
    <w:p w14:paraId="43FF254A" w14:textId="77777777" w:rsidR="005F5674" w:rsidRDefault="00680ADE">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2E466266" w14:textId="77777777" w:rsidR="005F5674" w:rsidRDefault="005F5674">
      <w:pPr>
        <w:ind w:firstLine="720"/>
      </w:pPr>
    </w:p>
    <w:p w14:paraId="5D39A6B7" w14:textId="77777777" w:rsidR="005F5674" w:rsidRDefault="00680ADE">
      <w:pPr>
        <w:ind w:left="720" w:hanging="720"/>
      </w:pPr>
      <w:r>
        <w:t>4.4</w:t>
      </w:r>
      <w:r>
        <w:tab/>
        <w:t>The Buyer may conduct IR35 Assessments using the ESI tool to assess whether the Supplier’s engagement under the Call-Off Contract is Inside or Outside IR35.</w:t>
      </w:r>
    </w:p>
    <w:p w14:paraId="07BD9526" w14:textId="77777777" w:rsidR="005F5674" w:rsidRDefault="005F5674">
      <w:pPr>
        <w:ind w:firstLine="720"/>
      </w:pPr>
    </w:p>
    <w:p w14:paraId="0F0F7E0B" w14:textId="77777777" w:rsidR="005F5674" w:rsidRDefault="00680ADE">
      <w:pPr>
        <w:ind w:left="720" w:hanging="720"/>
      </w:pPr>
      <w:r>
        <w:t>4.5</w:t>
      </w:r>
      <w:r>
        <w:tab/>
        <w:t>The Buyer may End this Call-Off Contract for Material Breach as per clause 18.5 hereunder if the Supplier is delivering the Services Inside IR35.</w:t>
      </w:r>
    </w:p>
    <w:p w14:paraId="6063180D" w14:textId="77777777" w:rsidR="005F5674" w:rsidRDefault="005F5674">
      <w:pPr>
        <w:ind w:firstLine="720"/>
      </w:pPr>
    </w:p>
    <w:p w14:paraId="549EA36E" w14:textId="77777777" w:rsidR="005F5674" w:rsidRDefault="00680ADE">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4F0A4B3" w14:textId="77777777" w:rsidR="005F5674" w:rsidRDefault="005F5674">
      <w:pPr>
        <w:ind w:left="720"/>
      </w:pPr>
    </w:p>
    <w:p w14:paraId="7EEB5CE3" w14:textId="77777777" w:rsidR="005F5674" w:rsidRDefault="00680ADE">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265765F4" w14:textId="77777777" w:rsidR="005F5674" w:rsidRDefault="005F5674">
      <w:pPr>
        <w:ind w:left="720"/>
      </w:pPr>
    </w:p>
    <w:p w14:paraId="01EF144A" w14:textId="77777777" w:rsidR="005F5674" w:rsidRDefault="00680ADE">
      <w:pPr>
        <w:ind w:left="720" w:hanging="720"/>
      </w:pPr>
      <w:r>
        <w:t>4.8</w:t>
      </w:r>
      <w:r>
        <w:tab/>
        <w:t>If it is determined by the Buyer that the Supplier is Outside IR35, the Buyer will provide the ESI reference number and a copy of the PDF to the Supplier.</w:t>
      </w:r>
    </w:p>
    <w:p w14:paraId="4BEA1BC5" w14:textId="77777777" w:rsidR="005F5674" w:rsidRDefault="005F5674">
      <w:pPr>
        <w:spacing w:before="240" w:after="240"/>
        <w:ind w:left="720"/>
      </w:pPr>
    </w:p>
    <w:p w14:paraId="6F3839F2" w14:textId="77777777" w:rsidR="005F5674" w:rsidRDefault="00680ADE">
      <w:pPr>
        <w:pStyle w:val="Heading3"/>
        <w:spacing w:before="0" w:after="100"/>
        <w:rPr>
          <w:color w:val="auto"/>
        </w:rPr>
      </w:pPr>
      <w:r>
        <w:rPr>
          <w:color w:val="auto"/>
        </w:rPr>
        <w:t>5.</w:t>
      </w:r>
      <w:r>
        <w:rPr>
          <w:color w:val="auto"/>
        </w:rPr>
        <w:tab/>
        <w:t>Due diligence</w:t>
      </w:r>
    </w:p>
    <w:p w14:paraId="5B13E08A" w14:textId="77777777" w:rsidR="005F5674" w:rsidRDefault="00680ADE">
      <w:pPr>
        <w:spacing w:before="240" w:after="120"/>
      </w:pPr>
      <w:r>
        <w:t xml:space="preserve"> 5.1</w:t>
      </w:r>
      <w:r>
        <w:tab/>
        <w:t xml:space="preserve">Both Parties agree that when </w:t>
      </w:r>
      <w:proofErr w:type="gramStart"/>
      <w:r>
        <w:t>entering into</w:t>
      </w:r>
      <w:proofErr w:type="gramEnd"/>
      <w:r>
        <w:t xml:space="preserve"> a Call-Off Contract they:</w:t>
      </w:r>
    </w:p>
    <w:p w14:paraId="2499F011" w14:textId="77777777" w:rsidR="005F5674" w:rsidRDefault="00680ADE">
      <w:pPr>
        <w:spacing w:after="120"/>
        <w:ind w:left="1440" w:hanging="720"/>
      </w:pPr>
      <w:r>
        <w:t>5.1.1</w:t>
      </w:r>
      <w:r>
        <w:tab/>
        <w:t>have made their own enquiries and are satisfied by the accuracy of any information supplied by the other Party</w:t>
      </w:r>
    </w:p>
    <w:p w14:paraId="409B7F29" w14:textId="77777777" w:rsidR="005F5674" w:rsidRDefault="00680ADE">
      <w:pPr>
        <w:spacing w:after="120"/>
        <w:ind w:left="1440" w:hanging="720"/>
      </w:pPr>
      <w:r>
        <w:t>5.1.2</w:t>
      </w:r>
      <w:r>
        <w:tab/>
        <w:t>are confident that they can fulfil their obligations according to the Call-Off Contract terms</w:t>
      </w:r>
    </w:p>
    <w:p w14:paraId="286A3092" w14:textId="77777777" w:rsidR="005F5674" w:rsidRDefault="00680ADE">
      <w:pPr>
        <w:spacing w:after="120"/>
        <w:ind w:firstLine="720"/>
      </w:pPr>
      <w:r>
        <w:t>5.1.3</w:t>
      </w:r>
      <w:r>
        <w:tab/>
        <w:t>have raised all due diligence questions before signing the Call-Off Contract</w:t>
      </w:r>
    </w:p>
    <w:p w14:paraId="0CD6215E" w14:textId="77777777" w:rsidR="005F5674" w:rsidRDefault="00680ADE">
      <w:pPr>
        <w:ind w:firstLine="720"/>
      </w:pPr>
      <w:r>
        <w:t>5.1.4</w:t>
      </w:r>
      <w:r>
        <w:tab/>
        <w:t xml:space="preserve">have </w:t>
      </w:r>
      <w:proofErr w:type="gramStart"/>
      <w:r>
        <w:t>entered into</w:t>
      </w:r>
      <w:proofErr w:type="gramEnd"/>
      <w:r>
        <w:t xml:space="preserve"> the Call-Off Contract relying on its own due diligence</w:t>
      </w:r>
    </w:p>
    <w:p w14:paraId="0DCABBD7" w14:textId="77777777" w:rsidR="005F5674" w:rsidRDefault="005F5674">
      <w:pPr>
        <w:spacing w:before="240"/>
      </w:pPr>
    </w:p>
    <w:p w14:paraId="3594CC6C" w14:textId="77777777" w:rsidR="005F5674" w:rsidRDefault="00680ADE">
      <w:pPr>
        <w:pStyle w:val="Heading3"/>
        <w:spacing w:before="0" w:after="100"/>
        <w:rPr>
          <w:color w:val="auto"/>
        </w:rPr>
      </w:pPr>
      <w:r>
        <w:rPr>
          <w:color w:val="auto"/>
        </w:rPr>
        <w:t xml:space="preserve">6. </w:t>
      </w:r>
      <w:r>
        <w:rPr>
          <w:color w:val="auto"/>
        </w:rPr>
        <w:tab/>
        <w:t>Business continuity and disaster recovery</w:t>
      </w:r>
    </w:p>
    <w:p w14:paraId="2873103F" w14:textId="77777777" w:rsidR="005F5674" w:rsidRDefault="00680ADE">
      <w:pPr>
        <w:ind w:left="720" w:hanging="720"/>
      </w:pPr>
      <w:r>
        <w:t>6.1</w:t>
      </w:r>
      <w:r>
        <w:tab/>
        <w:t>The Supplier will have a clear business continuity and disaster recovery plan in their service descriptions.</w:t>
      </w:r>
    </w:p>
    <w:p w14:paraId="6142FF86" w14:textId="77777777" w:rsidR="005F5674" w:rsidRDefault="005F5674"/>
    <w:p w14:paraId="6251B230" w14:textId="77777777" w:rsidR="005F5674" w:rsidRDefault="00680ADE">
      <w:pPr>
        <w:ind w:left="720" w:hanging="720"/>
      </w:pPr>
      <w:r>
        <w:t>6.2</w:t>
      </w:r>
      <w:r>
        <w:tab/>
        <w:t>The Supplier’s business continuity and disaster recovery services are part of the Services and will be performed by the Supplier when required.</w:t>
      </w:r>
    </w:p>
    <w:p w14:paraId="732DB499" w14:textId="77777777" w:rsidR="005F5674" w:rsidRDefault="00680ADE">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3B7657A1" w14:textId="77777777" w:rsidR="005F5674" w:rsidRDefault="005F5674"/>
    <w:p w14:paraId="460C93AE" w14:textId="77777777" w:rsidR="005F5674" w:rsidRDefault="00680ADE">
      <w:pPr>
        <w:pStyle w:val="Heading3"/>
        <w:spacing w:before="0" w:after="100"/>
        <w:rPr>
          <w:color w:val="auto"/>
        </w:rPr>
      </w:pPr>
      <w:r>
        <w:rPr>
          <w:color w:val="auto"/>
        </w:rPr>
        <w:lastRenderedPageBreak/>
        <w:t>7.</w:t>
      </w:r>
      <w:r>
        <w:rPr>
          <w:color w:val="auto"/>
        </w:rPr>
        <w:tab/>
        <w:t>Payment, VAT and Call-Off Contract charges</w:t>
      </w:r>
    </w:p>
    <w:p w14:paraId="6B8A4C08" w14:textId="77777777" w:rsidR="005F5674" w:rsidRDefault="00680ADE">
      <w:pPr>
        <w:spacing w:after="120"/>
        <w:ind w:left="720" w:hanging="720"/>
      </w:pPr>
      <w:r>
        <w:t>7.1</w:t>
      </w:r>
      <w:r>
        <w:tab/>
        <w:t>The Buyer must pay the Charges following clauses 7.2 to 7.11 for the Supplier’s delivery of the Services.</w:t>
      </w:r>
    </w:p>
    <w:p w14:paraId="3393B63C" w14:textId="77777777" w:rsidR="005F5674" w:rsidRDefault="00680ADE">
      <w:pPr>
        <w:ind w:left="720" w:hanging="720"/>
      </w:pPr>
      <w:r>
        <w:t>7.2</w:t>
      </w:r>
      <w:r>
        <w:tab/>
        <w:t>The Buyer will pay the Supplier within the number of days specified in the Order Form on receipt of a valid invoice.</w:t>
      </w:r>
    </w:p>
    <w:p w14:paraId="44C2E1DB" w14:textId="77777777" w:rsidR="005F5674" w:rsidRDefault="00680ADE">
      <w:pPr>
        <w:spacing w:after="120"/>
        <w:ind w:left="720" w:hanging="720"/>
      </w:pPr>
      <w:r>
        <w:t>7.3</w:t>
      </w:r>
      <w:r>
        <w:tab/>
        <w:t>The Call-Off Contract Charges include all Charges for payment Processing. All invoices submitted to the Buyer for the Services will be exclusive of any Management Charge.</w:t>
      </w:r>
    </w:p>
    <w:p w14:paraId="035F6208" w14:textId="77777777" w:rsidR="005F5674" w:rsidRDefault="00680ADE">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7D408DB7" w14:textId="77777777" w:rsidR="005F5674" w:rsidRDefault="00680ADE">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3089AA41" w14:textId="77777777" w:rsidR="005F5674" w:rsidRDefault="00680ADE">
      <w:pPr>
        <w:spacing w:after="120"/>
        <w:ind w:left="720" w:hanging="720"/>
      </w:pPr>
      <w:r>
        <w:t>7.6</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2C55545C" w14:textId="77777777" w:rsidR="005F5674" w:rsidRDefault="00680ADE">
      <w:pPr>
        <w:spacing w:after="120"/>
      </w:pPr>
      <w:r>
        <w:t>7.7</w:t>
      </w:r>
      <w:r>
        <w:tab/>
        <w:t>All Charges payable by the Buyer to the Supplier will include VAT at the appropriate Rate.</w:t>
      </w:r>
    </w:p>
    <w:p w14:paraId="6092119B" w14:textId="77777777" w:rsidR="005F5674" w:rsidRDefault="00680ADE">
      <w:pPr>
        <w:spacing w:after="120"/>
        <w:ind w:left="720" w:hanging="720"/>
      </w:pPr>
      <w:r>
        <w:t>7.8</w:t>
      </w:r>
      <w:r>
        <w:tab/>
        <w:t>The Supplier must add VAT to the Charges at the appropriate rate with visibility of the amount as a separate line item.</w:t>
      </w:r>
    </w:p>
    <w:p w14:paraId="5EBA4C63" w14:textId="77777777" w:rsidR="005F5674" w:rsidRDefault="00680ADE">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2C114D14" w14:textId="77777777" w:rsidR="005F5674" w:rsidRDefault="00680ADE">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2EC6CD50" w14:textId="77777777" w:rsidR="005F5674" w:rsidRDefault="00680ADE">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BBF2FC3" w14:textId="77777777" w:rsidR="005F5674" w:rsidRDefault="00680ADE">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097FA13" w14:textId="77777777" w:rsidR="005F5674" w:rsidRDefault="005F5674">
      <w:pPr>
        <w:ind w:left="720"/>
      </w:pPr>
    </w:p>
    <w:p w14:paraId="31616127" w14:textId="77777777" w:rsidR="005F5674" w:rsidRDefault="00680ADE">
      <w:pPr>
        <w:pStyle w:val="Heading3"/>
        <w:rPr>
          <w:color w:val="auto"/>
        </w:rPr>
      </w:pPr>
      <w:r>
        <w:rPr>
          <w:color w:val="auto"/>
        </w:rPr>
        <w:t>8.</w:t>
      </w:r>
      <w:r>
        <w:rPr>
          <w:color w:val="auto"/>
        </w:rPr>
        <w:tab/>
        <w:t>Recovery of sums due and right of set-off</w:t>
      </w:r>
    </w:p>
    <w:p w14:paraId="7FD8DC1F" w14:textId="77777777" w:rsidR="005F5674" w:rsidRDefault="00680ADE">
      <w:pPr>
        <w:spacing w:before="240" w:after="240"/>
        <w:ind w:left="720" w:hanging="720"/>
      </w:pPr>
      <w:r>
        <w:t>8.1</w:t>
      </w:r>
      <w:r>
        <w:tab/>
        <w:t>If a Supplier owes money to the Buyer, the Buyer may deduct that sum from the Call-Off Contract Charges.</w:t>
      </w:r>
    </w:p>
    <w:p w14:paraId="3D8191FD" w14:textId="77777777" w:rsidR="005F5674" w:rsidRDefault="005F5674">
      <w:pPr>
        <w:spacing w:before="240" w:after="240"/>
        <w:ind w:left="720" w:hanging="720"/>
      </w:pPr>
    </w:p>
    <w:p w14:paraId="2ECA7326" w14:textId="77777777" w:rsidR="005F5674" w:rsidRDefault="00680ADE">
      <w:pPr>
        <w:pStyle w:val="Heading3"/>
        <w:rPr>
          <w:color w:val="auto"/>
        </w:rPr>
      </w:pPr>
      <w:r>
        <w:rPr>
          <w:color w:val="auto"/>
        </w:rPr>
        <w:lastRenderedPageBreak/>
        <w:t>9.</w:t>
      </w:r>
      <w:r>
        <w:rPr>
          <w:color w:val="auto"/>
        </w:rPr>
        <w:tab/>
        <w:t>Insurance</w:t>
      </w:r>
    </w:p>
    <w:p w14:paraId="27B04349" w14:textId="77777777" w:rsidR="005F5674" w:rsidRDefault="00680ADE">
      <w:pPr>
        <w:spacing w:before="240" w:after="240"/>
        <w:ind w:left="660" w:hanging="660"/>
      </w:pPr>
      <w:r>
        <w:t>9.1</w:t>
      </w:r>
      <w:r>
        <w:tab/>
        <w:t>The Supplier will maintain the insurances required by the Buyer including those in this clause.</w:t>
      </w:r>
    </w:p>
    <w:p w14:paraId="30121020" w14:textId="77777777" w:rsidR="005F5674" w:rsidRDefault="00680ADE">
      <w:r>
        <w:t>9.2</w:t>
      </w:r>
      <w:r>
        <w:tab/>
        <w:t>The Supplier will ensure that:</w:t>
      </w:r>
    </w:p>
    <w:p w14:paraId="400175D7" w14:textId="77777777" w:rsidR="005F5674" w:rsidRDefault="005F5674"/>
    <w:p w14:paraId="13128742" w14:textId="77777777" w:rsidR="005F5674" w:rsidRDefault="00680ADE">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8DBB3C3" w14:textId="77777777" w:rsidR="005F5674" w:rsidRDefault="005F5674">
      <w:pPr>
        <w:ind w:firstLine="720"/>
      </w:pPr>
    </w:p>
    <w:p w14:paraId="2F8C0FF1" w14:textId="77777777" w:rsidR="005F5674" w:rsidRDefault="00680ADE">
      <w:pPr>
        <w:ind w:left="1440" w:hanging="720"/>
      </w:pPr>
      <w:r>
        <w:t>9.2.2</w:t>
      </w:r>
      <w:r>
        <w:tab/>
        <w:t>the third-party public and products liability insurance contains an ‘indemnity to principals’ clause for the Buyer’s benefit</w:t>
      </w:r>
    </w:p>
    <w:p w14:paraId="2B4C4AB2" w14:textId="77777777" w:rsidR="005F5674" w:rsidRDefault="005F5674">
      <w:pPr>
        <w:ind w:firstLine="720"/>
      </w:pPr>
    </w:p>
    <w:p w14:paraId="28DA66B5" w14:textId="77777777" w:rsidR="005F5674" w:rsidRDefault="00680ADE">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5DA2F1A3" w14:textId="77777777" w:rsidR="005F5674" w:rsidRDefault="005F5674">
      <w:pPr>
        <w:ind w:firstLine="720"/>
      </w:pPr>
    </w:p>
    <w:p w14:paraId="4F1CE9C8" w14:textId="77777777" w:rsidR="005F5674" w:rsidRDefault="00680ADE">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23418941" w14:textId="77777777" w:rsidR="005F5674" w:rsidRDefault="005F5674">
      <w:pPr>
        <w:ind w:left="720"/>
      </w:pPr>
    </w:p>
    <w:p w14:paraId="243B5629" w14:textId="77777777" w:rsidR="005F5674" w:rsidRDefault="00680ADE">
      <w:pPr>
        <w:ind w:left="720" w:hanging="720"/>
      </w:pPr>
      <w:r>
        <w:t>9.3</w:t>
      </w:r>
      <w:r>
        <w:tab/>
        <w:t>If requested by the Buyer, the Supplier will obtain additional insurance policies, or extend existing policies bought under the Framework Agreement.</w:t>
      </w:r>
    </w:p>
    <w:p w14:paraId="13652AAE" w14:textId="77777777" w:rsidR="005F5674" w:rsidRDefault="005F5674">
      <w:pPr>
        <w:ind w:left="720" w:firstLine="720"/>
      </w:pPr>
    </w:p>
    <w:p w14:paraId="2B230923" w14:textId="77777777" w:rsidR="005F5674" w:rsidRDefault="00680ADE">
      <w:pPr>
        <w:ind w:left="720" w:hanging="720"/>
      </w:pPr>
      <w:r>
        <w:t>9.4</w:t>
      </w:r>
      <w:r>
        <w:tab/>
        <w:t>If requested by the Buyer, the Supplier will provide the following to show compliance with this clause:</w:t>
      </w:r>
    </w:p>
    <w:p w14:paraId="7A2258D5" w14:textId="77777777" w:rsidR="005F5674" w:rsidRDefault="005F5674">
      <w:pPr>
        <w:ind w:firstLine="720"/>
      </w:pPr>
    </w:p>
    <w:p w14:paraId="12B6CA69" w14:textId="77777777" w:rsidR="005F5674" w:rsidRDefault="00680ADE">
      <w:pPr>
        <w:ind w:firstLine="720"/>
      </w:pPr>
      <w:r>
        <w:t>9.4.1</w:t>
      </w:r>
      <w:r>
        <w:tab/>
        <w:t>a broker's verification of insurance</w:t>
      </w:r>
    </w:p>
    <w:p w14:paraId="097FC855" w14:textId="77777777" w:rsidR="005F5674" w:rsidRDefault="005F5674">
      <w:pPr>
        <w:ind w:firstLine="720"/>
      </w:pPr>
    </w:p>
    <w:p w14:paraId="06352279" w14:textId="77777777" w:rsidR="005F5674" w:rsidRDefault="00680ADE">
      <w:pPr>
        <w:ind w:firstLine="720"/>
      </w:pPr>
      <w:r>
        <w:t>9.4.2</w:t>
      </w:r>
      <w:r>
        <w:tab/>
        <w:t>receipts for the insurance premium</w:t>
      </w:r>
    </w:p>
    <w:p w14:paraId="3F783B46" w14:textId="77777777" w:rsidR="005F5674" w:rsidRDefault="005F5674">
      <w:pPr>
        <w:ind w:firstLine="720"/>
      </w:pPr>
    </w:p>
    <w:p w14:paraId="0286B291" w14:textId="77777777" w:rsidR="005F5674" w:rsidRDefault="00680ADE">
      <w:pPr>
        <w:ind w:firstLine="720"/>
      </w:pPr>
      <w:r>
        <w:t>9.4.3</w:t>
      </w:r>
      <w:r>
        <w:tab/>
        <w:t>evidence of payment of the latest premiums due</w:t>
      </w:r>
    </w:p>
    <w:p w14:paraId="047D18C1" w14:textId="77777777" w:rsidR="005F5674" w:rsidRDefault="005F5674">
      <w:pPr>
        <w:ind w:firstLine="720"/>
      </w:pPr>
    </w:p>
    <w:p w14:paraId="4E2B60CF" w14:textId="77777777" w:rsidR="005F5674" w:rsidRDefault="00680ADE">
      <w:pPr>
        <w:ind w:left="720" w:hanging="720"/>
      </w:pPr>
      <w:r>
        <w:t>9.5</w:t>
      </w:r>
      <w:r>
        <w:tab/>
        <w:t xml:space="preserve">Insurance will not relieve the Supplier of any liabilities under the Framework </w:t>
      </w:r>
      <w:proofErr w:type="gramStart"/>
      <w:r>
        <w:t>Agreement</w:t>
      </w:r>
      <w:proofErr w:type="gramEnd"/>
      <w:r>
        <w:t xml:space="preserve"> or this Call-Off Contract and the Supplier will:</w:t>
      </w:r>
    </w:p>
    <w:p w14:paraId="712DB49C" w14:textId="77777777" w:rsidR="005F5674" w:rsidRDefault="005F5674">
      <w:pPr>
        <w:ind w:firstLine="720"/>
      </w:pPr>
    </w:p>
    <w:p w14:paraId="0176CA46" w14:textId="77777777" w:rsidR="005F5674" w:rsidRDefault="00680ADE">
      <w:pPr>
        <w:ind w:left="1440" w:hanging="720"/>
      </w:pPr>
      <w:r>
        <w:t>9.5.1</w:t>
      </w:r>
      <w:r>
        <w:tab/>
        <w:t>take all risk control measures using Good Industry Practice, including the investigation and reports of claims to insurers</w:t>
      </w:r>
    </w:p>
    <w:p w14:paraId="453A8DCF" w14:textId="77777777" w:rsidR="005F5674" w:rsidRDefault="005F5674">
      <w:pPr>
        <w:ind w:left="720" w:firstLine="720"/>
      </w:pPr>
    </w:p>
    <w:p w14:paraId="725F28BF" w14:textId="77777777" w:rsidR="005F5674" w:rsidRDefault="00680ADE">
      <w:pPr>
        <w:ind w:left="1440" w:hanging="720"/>
      </w:pPr>
      <w:r>
        <w:t>9.5.2</w:t>
      </w:r>
      <w:r>
        <w:tab/>
        <w:t>promptly notify the insurers in writing of any relevant material fact under any Insurances</w:t>
      </w:r>
    </w:p>
    <w:p w14:paraId="47AB17EE" w14:textId="77777777" w:rsidR="005F5674" w:rsidRDefault="005F5674">
      <w:pPr>
        <w:ind w:firstLine="720"/>
      </w:pPr>
    </w:p>
    <w:p w14:paraId="09C1D8B6" w14:textId="77777777" w:rsidR="005F5674" w:rsidRDefault="00680ADE">
      <w:pPr>
        <w:ind w:left="1440" w:hanging="720"/>
      </w:pPr>
      <w:r>
        <w:t>9.5.3</w:t>
      </w:r>
      <w:r>
        <w:tab/>
        <w:t>hold all insurance policies and require any broker arranging the insurance to hold any insurance slips and other evidence of insurance</w:t>
      </w:r>
    </w:p>
    <w:p w14:paraId="6CA36A06" w14:textId="77777777" w:rsidR="005F5674" w:rsidRDefault="00680ADE">
      <w:r>
        <w:t xml:space="preserve"> </w:t>
      </w:r>
    </w:p>
    <w:p w14:paraId="542752F4" w14:textId="77777777" w:rsidR="005F5674" w:rsidRDefault="00680ADE">
      <w:pPr>
        <w:ind w:left="720" w:hanging="720"/>
      </w:pPr>
      <w:r>
        <w:t>9.6</w:t>
      </w:r>
      <w:r>
        <w:tab/>
        <w:t>The Supplier will not do or omit to do anything, which would destroy or impair the legal validity of the insurance.</w:t>
      </w:r>
    </w:p>
    <w:p w14:paraId="03A62E57" w14:textId="77777777" w:rsidR="005F5674" w:rsidRDefault="005F5674">
      <w:pPr>
        <w:ind w:firstLine="720"/>
      </w:pPr>
    </w:p>
    <w:p w14:paraId="194C6EF6" w14:textId="77777777" w:rsidR="005F5674" w:rsidRDefault="00680ADE">
      <w:pPr>
        <w:ind w:left="720" w:hanging="720"/>
      </w:pPr>
      <w:r>
        <w:lastRenderedPageBreak/>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2449A56A" w14:textId="77777777" w:rsidR="005F5674" w:rsidRDefault="005F5674">
      <w:pPr>
        <w:ind w:firstLine="720"/>
      </w:pPr>
    </w:p>
    <w:p w14:paraId="385BA960" w14:textId="77777777" w:rsidR="005F5674" w:rsidRDefault="00680ADE">
      <w:r>
        <w:t>9.8</w:t>
      </w:r>
      <w:r>
        <w:tab/>
        <w:t>The Supplier will be liable for the payment of any:</w:t>
      </w:r>
    </w:p>
    <w:p w14:paraId="2F7DA7DC" w14:textId="77777777" w:rsidR="005F5674" w:rsidRDefault="005F5674"/>
    <w:p w14:paraId="029D708D" w14:textId="77777777" w:rsidR="005F5674" w:rsidRDefault="00680ADE">
      <w:pPr>
        <w:ind w:firstLine="720"/>
      </w:pPr>
      <w:r>
        <w:t>9.8.1</w:t>
      </w:r>
      <w:r>
        <w:tab/>
        <w:t>premiums, which it will pay promptly</w:t>
      </w:r>
    </w:p>
    <w:p w14:paraId="6CF38B97" w14:textId="77777777" w:rsidR="005F5674" w:rsidRDefault="00680ADE">
      <w:pPr>
        <w:ind w:firstLine="720"/>
      </w:pPr>
      <w:r>
        <w:t>9.8.2</w:t>
      </w:r>
      <w:r>
        <w:tab/>
        <w:t>excess or deductibles and will not be entitled to recover this from the Buyer</w:t>
      </w:r>
    </w:p>
    <w:p w14:paraId="563F0CCD" w14:textId="77777777" w:rsidR="005F5674" w:rsidRDefault="005F5674">
      <w:pPr>
        <w:ind w:firstLine="720"/>
      </w:pPr>
    </w:p>
    <w:p w14:paraId="4BDB096F" w14:textId="77777777" w:rsidR="005F5674" w:rsidRDefault="00680ADE">
      <w:pPr>
        <w:pStyle w:val="Heading3"/>
        <w:spacing w:before="0" w:after="100"/>
        <w:rPr>
          <w:color w:val="auto"/>
        </w:rPr>
      </w:pPr>
      <w:r>
        <w:rPr>
          <w:color w:val="auto"/>
        </w:rPr>
        <w:t>10.</w:t>
      </w:r>
      <w:r>
        <w:rPr>
          <w:color w:val="auto"/>
        </w:rPr>
        <w:tab/>
        <w:t>Confidentiality</w:t>
      </w:r>
    </w:p>
    <w:p w14:paraId="2D05D5EB" w14:textId="77777777" w:rsidR="005F5674" w:rsidRDefault="00680ADE">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53EC761B" w14:textId="77777777" w:rsidR="005F5674" w:rsidRDefault="005F5674">
      <w:pPr>
        <w:ind w:left="720" w:hanging="720"/>
      </w:pPr>
    </w:p>
    <w:p w14:paraId="317BCC91" w14:textId="77777777" w:rsidR="005F5674" w:rsidRDefault="00680ADE">
      <w:pPr>
        <w:pStyle w:val="Heading3"/>
        <w:spacing w:before="0" w:after="100"/>
        <w:rPr>
          <w:color w:val="auto"/>
        </w:rPr>
      </w:pPr>
      <w:r>
        <w:rPr>
          <w:color w:val="auto"/>
        </w:rPr>
        <w:t>11.</w:t>
      </w:r>
      <w:r>
        <w:rPr>
          <w:color w:val="auto"/>
        </w:rPr>
        <w:tab/>
        <w:t>Intellectual Property Rights</w:t>
      </w:r>
    </w:p>
    <w:p w14:paraId="75639995" w14:textId="77777777" w:rsidR="005F5674" w:rsidRDefault="00680ADE">
      <w:pPr>
        <w:ind w:left="720" w:hanging="720"/>
      </w:pPr>
      <w:r>
        <w:t>11.1</w:t>
      </w:r>
      <w:r>
        <w:tab/>
        <w:t>Unless otherwise specified in this Call-Off Contract, a Party will not acquire any right, title or interest in or to the Intellectual Property Rights (IPRs) of the other Party or its Licensors.</w:t>
      </w:r>
    </w:p>
    <w:p w14:paraId="0907F134" w14:textId="77777777" w:rsidR="005F5674" w:rsidRDefault="005F5674">
      <w:pPr>
        <w:ind w:left="720"/>
      </w:pPr>
    </w:p>
    <w:p w14:paraId="10BD05FA" w14:textId="77777777" w:rsidR="005F5674" w:rsidRDefault="00680ADE">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3E9AF022" w14:textId="77777777" w:rsidR="005F5674" w:rsidRDefault="005F5674">
      <w:pPr>
        <w:ind w:left="720"/>
      </w:pPr>
    </w:p>
    <w:p w14:paraId="58FB178D" w14:textId="77777777" w:rsidR="005F5674" w:rsidRDefault="00680ADE">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33C355D7" w14:textId="77777777" w:rsidR="005F5674" w:rsidRDefault="005F5674">
      <w:pPr>
        <w:ind w:left="720"/>
      </w:pPr>
    </w:p>
    <w:p w14:paraId="67C0D5DF" w14:textId="77777777" w:rsidR="005F5674" w:rsidRDefault="00680ADE">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6BD9B1C3" w14:textId="77777777" w:rsidR="005F5674" w:rsidRDefault="005F5674">
      <w:pPr>
        <w:ind w:left="720"/>
      </w:pPr>
    </w:p>
    <w:p w14:paraId="1985794F" w14:textId="77777777" w:rsidR="005F5674" w:rsidRDefault="00680ADE">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308B7BBB" w14:textId="77777777" w:rsidR="005F5674" w:rsidRDefault="005F5674">
      <w:pPr>
        <w:ind w:firstLine="720"/>
      </w:pPr>
    </w:p>
    <w:p w14:paraId="721678F7" w14:textId="77777777" w:rsidR="005F5674" w:rsidRDefault="00680ADE">
      <w:pPr>
        <w:ind w:firstLine="720"/>
      </w:pPr>
      <w:r>
        <w:t>11.5.1</w:t>
      </w:r>
      <w:r>
        <w:tab/>
        <w:t>rights granted to the Buyer under this Call-Off Contract</w:t>
      </w:r>
    </w:p>
    <w:p w14:paraId="632B993C" w14:textId="77777777" w:rsidR="005F5674" w:rsidRDefault="005F5674"/>
    <w:p w14:paraId="1AA2763B" w14:textId="77777777" w:rsidR="005F5674" w:rsidRDefault="00680ADE">
      <w:pPr>
        <w:ind w:firstLine="720"/>
      </w:pPr>
      <w:r>
        <w:t>11.5.2</w:t>
      </w:r>
      <w:r>
        <w:tab/>
        <w:t>Supplier’s performance of the Services</w:t>
      </w:r>
    </w:p>
    <w:p w14:paraId="659E6A55" w14:textId="77777777" w:rsidR="005F5674" w:rsidRDefault="005F5674">
      <w:pPr>
        <w:ind w:firstLine="720"/>
      </w:pPr>
    </w:p>
    <w:p w14:paraId="096221DD" w14:textId="77777777" w:rsidR="005F5674" w:rsidRDefault="00680ADE">
      <w:pPr>
        <w:ind w:firstLine="720"/>
      </w:pPr>
      <w:r>
        <w:t>11.5.3</w:t>
      </w:r>
      <w:r>
        <w:tab/>
        <w:t>use by the Buyer of the Services</w:t>
      </w:r>
    </w:p>
    <w:p w14:paraId="14B9CCBE" w14:textId="77777777" w:rsidR="005F5674" w:rsidRDefault="005F5674">
      <w:pPr>
        <w:ind w:firstLine="720"/>
      </w:pPr>
    </w:p>
    <w:p w14:paraId="36F04401" w14:textId="77777777" w:rsidR="005F5674" w:rsidRDefault="00680ADE">
      <w:pPr>
        <w:ind w:left="720" w:hanging="720"/>
      </w:pPr>
      <w:r>
        <w:t>11.6</w:t>
      </w:r>
      <w:r>
        <w:tab/>
        <w:t>If an IPR Claim is made, or is likely to be made, the Supplier will immediately notify the Buyer in writing and must at its own expense after written approval from the Buyer, either:</w:t>
      </w:r>
    </w:p>
    <w:p w14:paraId="3A6DAFEF" w14:textId="77777777" w:rsidR="005F5674" w:rsidRDefault="005F5674">
      <w:pPr>
        <w:ind w:firstLine="720"/>
      </w:pPr>
    </w:p>
    <w:p w14:paraId="1D0327F0" w14:textId="77777777" w:rsidR="005F5674" w:rsidRDefault="00680ADE">
      <w:pPr>
        <w:ind w:left="1440" w:hanging="720"/>
      </w:pPr>
      <w:r>
        <w:t>11.6.1</w:t>
      </w:r>
      <w:r>
        <w:tab/>
        <w:t>modify the relevant part of the Services without reducing its functionality or performance</w:t>
      </w:r>
    </w:p>
    <w:p w14:paraId="1D1FD9F0" w14:textId="77777777" w:rsidR="005F5674" w:rsidRDefault="005F5674">
      <w:pPr>
        <w:ind w:left="720" w:firstLine="720"/>
      </w:pPr>
    </w:p>
    <w:p w14:paraId="69F8850E" w14:textId="77777777" w:rsidR="005F5674" w:rsidRDefault="00680ADE">
      <w:pPr>
        <w:ind w:left="1440" w:hanging="720"/>
      </w:pPr>
      <w:r>
        <w:lastRenderedPageBreak/>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7E15651D" w14:textId="77777777" w:rsidR="005F5674" w:rsidRDefault="005F5674">
      <w:pPr>
        <w:ind w:left="1440"/>
      </w:pPr>
    </w:p>
    <w:p w14:paraId="15D5137B" w14:textId="77777777" w:rsidR="005F5674" w:rsidRDefault="00680ADE">
      <w:pPr>
        <w:ind w:left="1440" w:hanging="720"/>
      </w:pPr>
      <w:r>
        <w:t>11.6.3</w:t>
      </w:r>
      <w:r>
        <w:tab/>
        <w:t>buy a licence to use and supply the Services which are the subject of the alleged infringement, on terms acceptable to the Buyer</w:t>
      </w:r>
    </w:p>
    <w:p w14:paraId="2A591899" w14:textId="77777777" w:rsidR="005F5674" w:rsidRDefault="005F5674">
      <w:pPr>
        <w:ind w:left="720" w:firstLine="720"/>
      </w:pPr>
    </w:p>
    <w:p w14:paraId="371160ED" w14:textId="77777777" w:rsidR="005F5674" w:rsidRDefault="00680ADE">
      <w:r>
        <w:t>11.7</w:t>
      </w:r>
      <w:r>
        <w:tab/>
        <w:t>Clause 11.5 will not apply if the IPR Claim is from:</w:t>
      </w:r>
    </w:p>
    <w:p w14:paraId="30C0388B" w14:textId="77777777" w:rsidR="005F5674" w:rsidRDefault="005F5674"/>
    <w:p w14:paraId="5945FB2B" w14:textId="77777777" w:rsidR="005F5674" w:rsidRDefault="00680ADE">
      <w:pPr>
        <w:ind w:left="1440" w:hanging="720"/>
      </w:pPr>
      <w:r>
        <w:t>11.7.2</w:t>
      </w:r>
      <w:r>
        <w:tab/>
        <w:t>the use of data supplied by the Buyer which the Supplier isn’t required to verify under this Call-Off Contract</w:t>
      </w:r>
    </w:p>
    <w:p w14:paraId="6CC1962E" w14:textId="77777777" w:rsidR="005F5674" w:rsidRDefault="005F5674">
      <w:pPr>
        <w:ind w:left="720" w:firstLine="720"/>
      </w:pPr>
    </w:p>
    <w:p w14:paraId="59AB62B0" w14:textId="77777777" w:rsidR="005F5674" w:rsidRDefault="00680ADE">
      <w:pPr>
        <w:ind w:firstLine="720"/>
      </w:pPr>
      <w:r>
        <w:t>11.7.3</w:t>
      </w:r>
      <w:r>
        <w:tab/>
        <w:t>other material provided by the Buyer necessary for the Services</w:t>
      </w:r>
    </w:p>
    <w:p w14:paraId="1EF5DD12" w14:textId="77777777" w:rsidR="005F5674" w:rsidRDefault="005F5674">
      <w:pPr>
        <w:ind w:firstLine="720"/>
      </w:pPr>
    </w:p>
    <w:p w14:paraId="592EBAED" w14:textId="77777777" w:rsidR="005F5674" w:rsidRDefault="00680ADE">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70C6098F" w14:textId="77777777" w:rsidR="005F5674" w:rsidRDefault="005F5674">
      <w:pPr>
        <w:ind w:left="720" w:hanging="720"/>
      </w:pPr>
    </w:p>
    <w:p w14:paraId="7869AFA0" w14:textId="77777777" w:rsidR="005F5674" w:rsidRDefault="00680ADE">
      <w:pPr>
        <w:pStyle w:val="Heading3"/>
        <w:rPr>
          <w:color w:val="auto"/>
        </w:rPr>
      </w:pPr>
      <w:r>
        <w:rPr>
          <w:color w:val="auto"/>
        </w:rPr>
        <w:t>12.</w:t>
      </w:r>
      <w:r>
        <w:rPr>
          <w:color w:val="auto"/>
        </w:rPr>
        <w:tab/>
        <w:t>Protection of information</w:t>
      </w:r>
    </w:p>
    <w:p w14:paraId="098396EC" w14:textId="77777777" w:rsidR="005F5674" w:rsidRDefault="00680ADE">
      <w:pPr>
        <w:spacing w:before="240" w:after="240"/>
      </w:pPr>
      <w:r>
        <w:t>12.1</w:t>
      </w:r>
      <w:r>
        <w:tab/>
        <w:t>The Supplier must:</w:t>
      </w:r>
    </w:p>
    <w:p w14:paraId="184190B6" w14:textId="77777777" w:rsidR="005F5674" w:rsidRDefault="00680ADE">
      <w:pPr>
        <w:ind w:left="1440" w:hanging="720"/>
      </w:pPr>
      <w:r>
        <w:t>12.1.1</w:t>
      </w:r>
      <w:r>
        <w:tab/>
        <w:t>comply with the Buyer’s written instructions and this Call-Off Contract when Processing Buyer Personal Data</w:t>
      </w:r>
    </w:p>
    <w:p w14:paraId="265959B4" w14:textId="77777777" w:rsidR="005F5674" w:rsidRDefault="005F5674">
      <w:pPr>
        <w:ind w:left="720" w:firstLine="720"/>
      </w:pPr>
    </w:p>
    <w:p w14:paraId="4CD32216" w14:textId="77777777" w:rsidR="005F5674" w:rsidRDefault="00680ADE">
      <w:pPr>
        <w:ind w:left="1440" w:hanging="720"/>
      </w:pPr>
      <w:r>
        <w:t>12.1.2</w:t>
      </w:r>
      <w:r>
        <w:tab/>
        <w:t>only Process the Buyer Personal Data as necessary for the provision of the G-Cloud Services or as required by Law or any Regulatory Body</w:t>
      </w:r>
    </w:p>
    <w:p w14:paraId="5ACF7BB5" w14:textId="77777777" w:rsidR="005F5674" w:rsidRDefault="005F5674">
      <w:pPr>
        <w:ind w:left="720" w:firstLine="720"/>
      </w:pPr>
    </w:p>
    <w:p w14:paraId="64C9C729" w14:textId="77777777" w:rsidR="005F5674" w:rsidRDefault="00680ADE">
      <w:pPr>
        <w:ind w:left="1440" w:hanging="720"/>
      </w:pPr>
      <w:r>
        <w:t>12.1.3</w:t>
      </w:r>
      <w:r>
        <w:tab/>
        <w:t>take reasonable steps to ensure that any Supplier Staff who have access to Buyer Personal Data act in compliance with Supplier's security processes</w:t>
      </w:r>
    </w:p>
    <w:p w14:paraId="2BEA6C21" w14:textId="77777777" w:rsidR="005F5674" w:rsidRDefault="005F5674">
      <w:pPr>
        <w:ind w:left="720" w:firstLine="720"/>
      </w:pPr>
    </w:p>
    <w:p w14:paraId="5B42E79B" w14:textId="77777777" w:rsidR="005F5674" w:rsidRDefault="00680ADE">
      <w:pPr>
        <w:ind w:left="720" w:hanging="720"/>
      </w:pPr>
      <w:r>
        <w:t>12.2</w:t>
      </w:r>
      <w:r>
        <w:tab/>
        <w:t>The Supplier must fully assist with any complaint or request for Buyer Personal Data including by:</w:t>
      </w:r>
    </w:p>
    <w:p w14:paraId="30BC194D" w14:textId="77777777" w:rsidR="005F5674" w:rsidRDefault="005F5674">
      <w:pPr>
        <w:ind w:firstLine="720"/>
      </w:pPr>
    </w:p>
    <w:p w14:paraId="3B235958" w14:textId="77777777" w:rsidR="005F5674" w:rsidRDefault="00680ADE">
      <w:pPr>
        <w:ind w:firstLine="720"/>
      </w:pPr>
      <w:r>
        <w:t>12.2.1</w:t>
      </w:r>
      <w:r>
        <w:tab/>
        <w:t>providing the Buyer with full details of the complaint or request</w:t>
      </w:r>
    </w:p>
    <w:p w14:paraId="56274B8D" w14:textId="77777777" w:rsidR="005F5674" w:rsidRDefault="005F5674">
      <w:pPr>
        <w:ind w:firstLine="720"/>
      </w:pPr>
    </w:p>
    <w:p w14:paraId="3C8A3E1C" w14:textId="77777777" w:rsidR="005F5674" w:rsidRDefault="00680ADE">
      <w:pPr>
        <w:ind w:left="1440" w:hanging="720"/>
      </w:pPr>
      <w:r>
        <w:t>12.2.2</w:t>
      </w:r>
      <w:r>
        <w:tab/>
        <w:t>complying with a data access request within the timescales in the Data Protection Legislation and following the Buyer’s instructions</w:t>
      </w:r>
    </w:p>
    <w:p w14:paraId="1E7D8281" w14:textId="77777777" w:rsidR="005F5674" w:rsidRDefault="005F5674"/>
    <w:p w14:paraId="50044988" w14:textId="77777777" w:rsidR="005F5674" w:rsidRDefault="00680ADE">
      <w:pPr>
        <w:ind w:left="1440" w:hanging="720"/>
      </w:pPr>
      <w:r>
        <w:t>12.2.3</w:t>
      </w:r>
      <w:r>
        <w:tab/>
        <w:t>providing the Buyer with any Buyer Personal Data it holds about a Data Subject (within the timescales required by the Buyer)</w:t>
      </w:r>
    </w:p>
    <w:p w14:paraId="4F85C8DD" w14:textId="77777777" w:rsidR="005F5674" w:rsidRDefault="005F5674">
      <w:pPr>
        <w:ind w:left="720" w:firstLine="720"/>
      </w:pPr>
    </w:p>
    <w:p w14:paraId="5A7793AF" w14:textId="77777777" w:rsidR="005F5674" w:rsidRDefault="00680ADE">
      <w:pPr>
        <w:ind w:firstLine="720"/>
      </w:pPr>
      <w:r>
        <w:t>12.2.4</w:t>
      </w:r>
      <w:r>
        <w:tab/>
        <w:t>providing the Buyer with any information requested by the Data Subject</w:t>
      </w:r>
    </w:p>
    <w:p w14:paraId="386992C4" w14:textId="77777777" w:rsidR="005F5674" w:rsidRDefault="005F5674">
      <w:pPr>
        <w:ind w:firstLine="720"/>
      </w:pPr>
    </w:p>
    <w:p w14:paraId="45303C26" w14:textId="77777777" w:rsidR="005F5674" w:rsidRDefault="00680ADE">
      <w:pPr>
        <w:ind w:left="720" w:hanging="720"/>
      </w:pPr>
      <w:r>
        <w:t>12.3</w:t>
      </w:r>
      <w:r>
        <w:tab/>
        <w:t>The Supplier must get prior written consent from the Buyer to transfer Buyer Personal Data to any other person (including any Subcontractors) for the provision of the G-Cloud Services.</w:t>
      </w:r>
    </w:p>
    <w:p w14:paraId="66805A90" w14:textId="77777777" w:rsidR="005F5674" w:rsidRDefault="005F5674">
      <w:pPr>
        <w:ind w:left="720" w:hanging="720"/>
      </w:pPr>
    </w:p>
    <w:p w14:paraId="651F4191" w14:textId="77777777" w:rsidR="005F5674" w:rsidRDefault="00680ADE">
      <w:pPr>
        <w:pStyle w:val="Heading3"/>
        <w:rPr>
          <w:color w:val="auto"/>
        </w:rPr>
      </w:pPr>
      <w:r>
        <w:rPr>
          <w:color w:val="auto"/>
        </w:rPr>
        <w:lastRenderedPageBreak/>
        <w:t>13.</w:t>
      </w:r>
      <w:r>
        <w:rPr>
          <w:color w:val="auto"/>
        </w:rPr>
        <w:tab/>
        <w:t>Buyer data</w:t>
      </w:r>
    </w:p>
    <w:p w14:paraId="7B235028" w14:textId="77777777" w:rsidR="005F5674" w:rsidRDefault="00680ADE">
      <w:pPr>
        <w:spacing w:before="240" w:after="240"/>
      </w:pPr>
      <w:r>
        <w:t>13.1</w:t>
      </w:r>
      <w:r>
        <w:tab/>
        <w:t>The Supplier must not remove any proprietary notices in the Buyer Data.</w:t>
      </w:r>
    </w:p>
    <w:p w14:paraId="14C711BC" w14:textId="77777777" w:rsidR="005F5674" w:rsidRDefault="00680ADE">
      <w:r>
        <w:t>13.2</w:t>
      </w:r>
      <w:r>
        <w:tab/>
        <w:t>The Supplier will not store or use Buyer Data except if necessary to fulfil its</w:t>
      </w:r>
    </w:p>
    <w:p w14:paraId="34000EDF" w14:textId="77777777" w:rsidR="005F5674" w:rsidRDefault="00680ADE">
      <w:pPr>
        <w:ind w:firstLine="720"/>
      </w:pPr>
      <w:r>
        <w:t>obligations.</w:t>
      </w:r>
    </w:p>
    <w:p w14:paraId="014755FC" w14:textId="77777777" w:rsidR="005F5674" w:rsidRDefault="005F5674"/>
    <w:p w14:paraId="28BA5746" w14:textId="77777777" w:rsidR="005F5674" w:rsidRDefault="00680ADE">
      <w:pPr>
        <w:ind w:left="720" w:hanging="720"/>
      </w:pPr>
      <w:r>
        <w:t>13.3</w:t>
      </w:r>
      <w:r>
        <w:tab/>
        <w:t>If Buyer Data is processed by the Supplier, the Supplier will supply the data to the Buyer as requested.</w:t>
      </w:r>
    </w:p>
    <w:p w14:paraId="0FB2F126" w14:textId="77777777" w:rsidR="005F5674" w:rsidRDefault="005F5674"/>
    <w:p w14:paraId="5EDA002E" w14:textId="77777777" w:rsidR="005F5674" w:rsidRDefault="00680ADE">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6C45BDD6" w14:textId="77777777" w:rsidR="005F5674" w:rsidRDefault="005F5674">
      <w:pPr>
        <w:ind w:left="720"/>
      </w:pPr>
    </w:p>
    <w:p w14:paraId="4A90AA16" w14:textId="77777777" w:rsidR="005F5674" w:rsidRDefault="00680ADE">
      <w:pPr>
        <w:ind w:left="720" w:hanging="720"/>
      </w:pPr>
      <w:r>
        <w:t>13.5</w:t>
      </w:r>
      <w:r>
        <w:tab/>
        <w:t>The Supplier will preserve the integrity of Buyer Data processed by the Supplier and prevent its corruption and loss.</w:t>
      </w:r>
    </w:p>
    <w:p w14:paraId="2AD9E4D6" w14:textId="77777777" w:rsidR="005F5674" w:rsidRDefault="005F5674">
      <w:pPr>
        <w:ind w:firstLine="720"/>
      </w:pPr>
    </w:p>
    <w:p w14:paraId="042CAD3A" w14:textId="77777777" w:rsidR="005F5674" w:rsidRDefault="00680ADE">
      <w:pPr>
        <w:ind w:left="720" w:hanging="720"/>
      </w:pPr>
      <w:r>
        <w:t>13.6</w:t>
      </w:r>
      <w:r>
        <w:tab/>
        <w:t>The Supplier will ensure that any Supplier system which holds any protectively marked Buyer Data or other government data will comply with:</w:t>
      </w:r>
    </w:p>
    <w:p w14:paraId="40FE487C" w14:textId="77777777" w:rsidR="005F5674" w:rsidRDefault="005F5674">
      <w:pPr>
        <w:ind w:firstLine="720"/>
      </w:pPr>
    </w:p>
    <w:p w14:paraId="762FA2A6" w14:textId="77777777" w:rsidR="005F5674" w:rsidRDefault="00680ADE">
      <w:pPr>
        <w:ind w:firstLine="720"/>
      </w:pPr>
      <w:r>
        <w:t>13.6.1</w:t>
      </w:r>
      <w:r>
        <w:tab/>
        <w:t>the principles in the Security Policy Framework:</w:t>
      </w:r>
      <w:hyperlink r:id="rId14" w:history="1">
        <w:r>
          <w:rPr>
            <w:u w:val="single"/>
          </w:rPr>
          <w:t xml:space="preserve"> </w:t>
        </w:r>
      </w:hyperlink>
    </w:p>
    <w:p w14:paraId="1C7F9FD6" w14:textId="77777777" w:rsidR="005F5674" w:rsidRDefault="00820871">
      <w:pPr>
        <w:ind w:left="1440"/>
      </w:pPr>
      <w:hyperlink r:id="rId15" w:history="1">
        <w:r w:rsidR="00680ADE">
          <w:rPr>
            <w:rStyle w:val="Hyperlink"/>
          </w:rPr>
          <w:t>https://www.gov.uk/government/publications/security-policy-framework</w:t>
        </w:r>
      </w:hyperlink>
      <w:r w:rsidR="00680ADE">
        <w:rPr>
          <w:rStyle w:val="Hyperlink"/>
          <w:color w:val="auto"/>
        </w:rPr>
        <w:t xml:space="preserve"> and</w:t>
      </w:r>
    </w:p>
    <w:p w14:paraId="67238D03" w14:textId="77777777" w:rsidR="005F5674" w:rsidRDefault="00680ADE">
      <w:pPr>
        <w:ind w:left="1440"/>
      </w:pPr>
      <w:r>
        <w:t>the Government Security Classification policy:</w:t>
      </w:r>
      <w:r>
        <w:rPr>
          <w:u w:val="single"/>
        </w:rPr>
        <w:t xml:space="preserve"> https:/www.gov.uk/government/publications/government-security-classifications</w:t>
      </w:r>
    </w:p>
    <w:p w14:paraId="59E595BD" w14:textId="77777777" w:rsidR="005F5674" w:rsidRDefault="005F5674">
      <w:pPr>
        <w:ind w:left="1440"/>
      </w:pPr>
    </w:p>
    <w:p w14:paraId="57AE51D8" w14:textId="77777777" w:rsidR="005F5674" w:rsidRDefault="00680ADE">
      <w:pPr>
        <w:ind w:firstLine="720"/>
      </w:pPr>
      <w:r>
        <w:t>13.6.2</w:t>
      </w:r>
      <w:r>
        <w:tab/>
        <w:t>guidance issued by the Centre for Protection of National Infrastructure on</w:t>
      </w:r>
    </w:p>
    <w:p w14:paraId="5586B1AC" w14:textId="77777777" w:rsidR="005F5674" w:rsidRDefault="00680ADE">
      <w:pPr>
        <w:ind w:left="720" w:firstLine="720"/>
      </w:pPr>
      <w:r>
        <w:t>Risk Management:</w:t>
      </w:r>
    </w:p>
    <w:p w14:paraId="2B5AE409" w14:textId="77777777" w:rsidR="005F5674" w:rsidRDefault="00820871">
      <w:pPr>
        <w:ind w:left="720" w:firstLine="720"/>
      </w:pPr>
      <w:hyperlink r:id="rId16" w:history="1">
        <w:r w:rsidR="00680ADE">
          <w:rPr>
            <w:u w:val="single"/>
          </w:rPr>
          <w:t>https://www.cpni.gov.uk/content/adopt-risk-management-approach</w:t>
        </w:r>
      </w:hyperlink>
      <w:r w:rsidR="00680ADE">
        <w:t xml:space="preserve"> and</w:t>
      </w:r>
    </w:p>
    <w:p w14:paraId="58EAEADC" w14:textId="77777777" w:rsidR="005F5674" w:rsidRDefault="00680ADE">
      <w:pPr>
        <w:ind w:left="720" w:firstLine="720"/>
      </w:pPr>
      <w:r>
        <w:t>Protection of Sensitive Information and Assets:</w:t>
      </w:r>
      <w:hyperlink r:id="rId17" w:history="1">
        <w:r>
          <w:rPr>
            <w:u w:val="single"/>
          </w:rPr>
          <w:t xml:space="preserve"> </w:t>
        </w:r>
      </w:hyperlink>
    </w:p>
    <w:p w14:paraId="4740DF99" w14:textId="77777777" w:rsidR="005F5674" w:rsidRDefault="00820871">
      <w:pPr>
        <w:ind w:left="720" w:firstLine="720"/>
      </w:pPr>
      <w:hyperlink r:id="rId18" w:history="1">
        <w:r w:rsidR="00680ADE">
          <w:rPr>
            <w:u w:val="single"/>
          </w:rPr>
          <w:t>https://www.cpni.gov.uk/protection-sensitive-information-and-assets</w:t>
        </w:r>
      </w:hyperlink>
    </w:p>
    <w:p w14:paraId="1ECEDD15" w14:textId="77777777" w:rsidR="005F5674" w:rsidRDefault="005F5674">
      <w:pPr>
        <w:ind w:left="720" w:firstLine="720"/>
      </w:pPr>
    </w:p>
    <w:p w14:paraId="010422B5" w14:textId="77777777" w:rsidR="005F5674" w:rsidRDefault="00680ADE">
      <w:pPr>
        <w:ind w:left="1440" w:hanging="720"/>
      </w:pPr>
      <w:r>
        <w:t>13.6.3</w:t>
      </w:r>
      <w:r>
        <w:tab/>
        <w:t>the National Cyber Security Centre’s (NCSC) information risk management guidance:</w:t>
      </w:r>
    </w:p>
    <w:p w14:paraId="16B43673" w14:textId="77777777" w:rsidR="005F5674" w:rsidRDefault="00820871">
      <w:pPr>
        <w:ind w:left="720" w:firstLine="720"/>
      </w:pPr>
      <w:hyperlink r:id="rId19" w:history="1">
        <w:r w:rsidR="00680ADE">
          <w:rPr>
            <w:u w:val="single"/>
          </w:rPr>
          <w:t>https://www.ncsc.gov.uk/collection/risk-management-collection</w:t>
        </w:r>
      </w:hyperlink>
    </w:p>
    <w:p w14:paraId="1A999234" w14:textId="77777777" w:rsidR="005F5674" w:rsidRDefault="005F5674"/>
    <w:p w14:paraId="108A8B41" w14:textId="77777777" w:rsidR="005F5674" w:rsidRDefault="00680ADE">
      <w:pPr>
        <w:ind w:left="1440" w:hanging="720"/>
      </w:pPr>
      <w:r>
        <w:t>13.6.4</w:t>
      </w:r>
      <w:r>
        <w:tab/>
        <w:t>government best practice in the design and implementation of system components, including network principles, security design principles for digital services and the secure email blueprint:</w:t>
      </w:r>
    </w:p>
    <w:p w14:paraId="2E0CFAD8" w14:textId="77777777" w:rsidR="005F5674" w:rsidRDefault="00820871">
      <w:pPr>
        <w:ind w:left="1440"/>
      </w:pPr>
      <w:hyperlink r:id="rId20" w:history="1">
        <w:r w:rsidR="00680ADE">
          <w:rPr>
            <w:rStyle w:val="Hyperlink"/>
            <w:color w:val="auto"/>
          </w:rPr>
          <w:t>https://www.gov.uk/government/publications/technology-code-of-practice/technology-code-of-practice</w:t>
        </w:r>
      </w:hyperlink>
    </w:p>
    <w:p w14:paraId="42FFF178" w14:textId="77777777" w:rsidR="005F5674" w:rsidRDefault="005F5674">
      <w:pPr>
        <w:ind w:left="1440"/>
      </w:pPr>
    </w:p>
    <w:p w14:paraId="6FDF653D" w14:textId="77777777" w:rsidR="005F5674" w:rsidRDefault="00680ADE">
      <w:pPr>
        <w:ind w:left="1440" w:hanging="720"/>
      </w:pPr>
      <w:r>
        <w:t>13.6.5</w:t>
      </w:r>
      <w:r>
        <w:tab/>
        <w:t>the security requirements of cloud services using the NCSC Cloud Security Principles and accompanying guidance:</w:t>
      </w:r>
      <w:hyperlink r:id="rId21" w:history="1">
        <w:r>
          <w:rPr>
            <w:u w:val="single"/>
          </w:rPr>
          <w:t xml:space="preserve"> </w:t>
        </w:r>
      </w:hyperlink>
    </w:p>
    <w:p w14:paraId="683BD92F" w14:textId="77777777" w:rsidR="005F5674" w:rsidRDefault="00820871">
      <w:pPr>
        <w:ind w:left="720" w:firstLine="720"/>
      </w:pPr>
      <w:hyperlink r:id="rId22" w:history="1">
        <w:r w:rsidR="00680ADE">
          <w:rPr>
            <w:rStyle w:val="Hyperlink"/>
            <w:color w:val="auto"/>
          </w:rPr>
          <w:t>https://www.ncsc.gov.uk/guidance/implementing-cloud-security-principles</w:t>
        </w:r>
      </w:hyperlink>
    </w:p>
    <w:p w14:paraId="5B07BC03" w14:textId="77777777" w:rsidR="005F5674" w:rsidRDefault="005F5674"/>
    <w:p w14:paraId="52C4940F" w14:textId="77777777" w:rsidR="005F5674" w:rsidRDefault="00680ADE">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5A70DC8A" w14:textId="77777777" w:rsidR="005F5674" w:rsidRDefault="005F5674"/>
    <w:p w14:paraId="36C972D9" w14:textId="77777777" w:rsidR="005F5674" w:rsidRDefault="00680ADE">
      <w:r>
        <w:t>13.7</w:t>
      </w:r>
      <w:r>
        <w:tab/>
        <w:t>The Buyer will specify any security requirements for this project in the Order Form.</w:t>
      </w:r>
    </w:p>
    <w:p w14:paraId="6947CB11" w14:textId="77777777" w:rsidR="005F5674" w:rsidRDefault="005F5674"/>
    <w:p w14:paraId="02463C06" w14:textId="77777777" w:rsidR="005F5674" w:rsidRDefault="00680ADE">
      <w:pPr>
        <w:ind w:left="720" w:hanging="720"/>
      </w:pPr>
      <w:r>
        <w:t>13.8</w:t>
      </w:r>
      <w:r>
        <w:tab/>
        <w:t xml:space="preserve">If the Supplier suspects that the Buyer Data has or may become corrupted, lost, </w:t>
      </w:r>
      <w:proofErr w:type="gramStart"/>
      <w:r>
        <w:t>breached</w:t>
      </w:r>
      <w:proofErr w:type="gramEnd"/>
      <w:r>
        <w:t xml:space="preserve">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14:paraId="5B79546C" w14:textId="77777777" w:rsidR="005F5674" w:rsidRDefault="005F5674">
      <w:pPr>
        <w:ind w:left="720"/>
      </w:pPr>
    </w:p>
    <w:p w14:paraId="58A88D73" w14:textId="77777777" w:rsidR="005F5674" w:rsidRDefault="00680ADE">
      <w:pPr>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554759EE" w14:textId="77777777" w:rsidR="005F5674" w:rsidRDefault="005F5674">
      <w:pPr>
        <w:ind w:left="720"/>
      </w:pPr>
    </w:p>
    <w:p w14:paraId="2D51E18B" w14:textId="77777777" w:rsidR="005F5674" w:rsidRDefault="00680ADE">
      <w:pPr>
        <w:ind w:left="720" w:hanging="720"/>
      </w:pPr>
      <w:r>
        <w:t>13.10</w:t>
      </w:r>
      <w:r>
        <w:tab/>
        <w:t>The provisions of this clause 13 will apply during the term of this Call-Off Contract and for as long as the Supplier holds the Buyer’s Data.</w:t>
      </w:r>
    </w:p>
    <w:p w14:paraId="3946626B" w14:textId="77777777" w:rsidR="005F5674" w:rsidRDefault="005F5674">
      <w:pPr>
        <w:spacing w:before="240" w:after="240"/>
      </w:pPr>
    </w:p>
    <w:p w14:paraId="5C3A834D" w14:textId="77777777" w:rsidR="005F5674" w:rsidRDefault="00680ADE">
      <w:pPr>
        <w:pStyle w:val="Heading3"/>
        <w:rPr>
          <w:color w:val="auto"/>
        </w:rPr>
      </w:pPr>
      <w:r>
        <w:rPr>
          <w:color w:val="auto"/>
        </w:rPr>
        <w:t>14.</w:t>
      </w:r>
      <w:r>
        <w:rPr>
          <w:color w:val="auto"/>
        </w:rPr>
        <w:tab/>
        <w:t>Standards and quality</w:t>
      </w:r>
    </w:p>
    <w:p w14:paraId="4BCC1868" w14:textId="77777777" w:rsidR="005F5674" w:rsidRDefault="00680ADE">
      <w:pPr>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6FD13C26" w14:textId="77777777" w:rsidR="005F5674" w:rsidRDefault="005F5674">
      <w:pPr>
        <w:ind w:firstLine="720"/>
      </w:pPr>
    </w:p>
    <w:p w14:paraId="48FD6D00" w14:textId="77777777" w:rsidR="005F5674" w:rsidRDefault="00680ADE">
      <w:pPr>
        <w:ind w:left="720" w:hanging="720"/>
      </w:pPr>
      <w:r>
        <w:t>14.2</w:t>
      </w:r>
      <w:r>
        <w:tab/>
        <w:t>The Supplier will deliver the Services in a way that enables the Buyer to comply with its obligations under the Technology Code of Practice, which is at:</w:t>
      </w:r>
      <w:hyperlink r:id="rId23" w:history="1">
        <w:r>
          <w:rPr>
            <w:u w:val="single"/>
          </w:rPr>
          <w:t xml:space="preserve"> </w:t>
        </w:r>
      </w:hyperlink>
    </w:p>
    <w:p w14:paraId="3D4B61C2" w14:textId="77777777" w:rsidR="005F5674" w:rsidRDefault="00820871">
      <w:pPr>
        <w:ind w:left="720"/>
      </w:pPr>
      <w:hyperlink r:id="rId24" w:history="1">
        <w:r w:rsidR="00680ADE">
          <w:rPr>
            <w:u w:val="single"/>
          </w:rPr>
          <w:t>https://www.gov.uk/government/publications/technology-code-of-practice/technology-code-of-practice</w:t>
        </w:r>
      </w:hyperlink>
    </w:p>
    <w:p w14:paraId="0FF21144" w14:textId="77777777" w:rsidR="005F5674" w:rsidRDefault="005F5674">
      <w:pPr>
        <w:ind w:left="720" w:hanging="720"/>
      </w:pPr>
    </w:p>
    <w:p w14:paraId="548D239C" w14:textId="77777777" w:rsidR="005F5674" w:rsidRDefault="00680ADE">
      <w:pPr>
        <w:ind w:left="720" w:hanging="720"/>
      </w:pPr>
      <w:r>
        <w:t>14.3</w:t>
      </w:r>
      <w:r>
        <w:tab/>
        <w:t>If requested by the Buyer, the Supplier must, at its own cost, ensure that the G-Cloud Services comply with the requirements in the PSN Code of Practice.</w:t>
      </w:r>
    </w:p>
    <w:p w14:paraId="459C0392" w14:textId="77777777" w:rsidR="005F5674" w:rsidRDefault="005F5674">
      <w:pPr>
        <w:ind w:firstLine="720"/>
      </w:pPr>
    </w:p>
    <w:p w14:paraId="0D41C119" w14:textId="77777777" w:rsidR="005F5674" w:rsidRDefault="00680ADE">
      <w:pPr>
        <w:ind w:left="720" w:hanging="720"/>
      </w:pPr>
      <w:r>
        <w:t>14.4</w:t>
      </w:r>
      <w:r>
        <w:tab/>
        <w:t>If any PSN Services are Subcontracted by the Supplier, the Supplier must ensure that the services have the relevant PSN compliance certification.</w:t>
      </w:r>
    </w:p>
    <w:p w14:paraId="2E999361" w14:textId="77777777" w:rsidR="005F5674" w:rsidRDefault="005F5674">
      <w:pPr>
        <w:ind w:firstLine="720"/>
      </w:pPr>
    </w:p>
    <w:p w14:paraId="54B7CC06" w14:textId="77777777" w:rsidR="005F5674" w:rsidRDefault="00680ADE">
      <w:pPr>
        <w:ind w:left="720" w:hanging="720"/>
      </w:pPr>
      <w:r>
        <w:t>14.5</w:t>
      </w:r>
      <w:r>
        <w:tab/>
        <w:t xml:space="preserve">The Supplier must immediately disconnect its G-Cloud Services from the PSN if the PSN Authority considers there is a risk to the PSN’s </w:t>
      </w:r>
      <w:proofErr w:type="gramStart"/>
      <w:r>
        <w:t>security</w:t>
      </w:r>
      <w:proofErr w:type="gramEnd"/>
      <w:r>
        <w:t xml:space="preserve"> and the Supplier agrees that the Buyer and the PSN Authority will not be liable for any actions, damages, costs, and any other Supplier liabilities which may arise.</w:t>
      </w:r>
    </w:p>
    <w:p w14:paraId="2A1AEF94" w14:textId="77777777" w:rsidR="005F5674" w:rsidRDefault="00680ADE">
      <w:r>
        <w:t xml:space="preserve"> </w:t>
      </w:r>
    </w:p>
    <w:p w14:paraId="6665BBBB" w14:textId="77777777" w:rsidR="005F5674" w:rsidRDefault="00680ADE">
      <w:pPr>
        <w:pStyle w:val="Heading3"/>
        <w:rPr>
          <w:color w:val="auto"/>
        </w:rPr>
      </w:pPr>
      <w:r>
        <w:rPr>
          <w:color w:val="auto"/>
        </w:rPr>
        <w:t>15.</w:t>
      </w:r>
      <w:r>
        <w:rPr>
          <w:color w:val="auto"/>
        </w:rPr>
        <w:tab/>
        <w:t>Open source</w:t>
      </w:r>
    </w:p>
    <w:p w14:paraId="67DFF343" w14:textId="77777777" w:rsidR="005F5674" w:rsidRDefault="00680ADE">
      <w:pPr>
        <w:ind w:left="720" w:hanging="720"/>
      </w:pPr>
      <w:r>
        <w:t>15.1</w:t>
      </w:r>
      <w:r>
        <w:tab/>
        <w:t>All software created for the Buyer must be suitable for publication as open source, unless otherwise agreed by the Buyer.</w:t>
      </w:r>
    </w:p>
    <w:p w14:paraId="1584349F" w14:textId="77777777" w:rsidR="005F5674" w:rsidRDefault="005F5674">
      <w:pPr>
        <w:ind w:firstLine="720"/>
      </w:pPr>
    </w:p>
    <w:p w14:paraId="0BE38517" w14:textId="77777777" w:rsidR="005F5674" w:rsidRDefault="00680ADE">
      <w:pPr>
        <w:ind w:left="720" w:hanging="720"/>
      </w:pPr>
      <w:r>
        <w:t>15.2</w:t>
      </w:r>
      <w:r>
        <w:tab/>
        <w:t>If software needs to be converted before publication as open source, the Supplier must also provide the converted format unless otherwise agreed by the Buyer.</w:t>
      </w:r>
    </w:p>
    <w:p w14:paraId="32758837" w14:textId="77777777" w:rsidR="005F5674" w:rsidRDefault="00680ADE">
      <w:pPr>
        <w:spacing w:before="240" w:after="240"/>
        <w:ind w:left="720"/>
      </w:pPr>
      <w:r>
        <w:t xml:space="preserve"> </w:t>
      </w:r>
    </w:p>
    <w:p w14:paraId="61F77D0C" w14:textId="77777777" w:rsidR="005F5674" w:rsidRDefault="00680ADE">
      <w:pPr>
        <w:pStyle w:val="Heading3"/>
        <w:rPr>
          <w:color w:val="auto"/>
        </w:rPr>
      </w:pPr>
      <w:r>
        <w:rPr>
          <w:color w:val="auto"/>
        </w:rPr>
        <w:t>16.</w:t>
      </w:r>
      <w:r>
        <w:rPr>
          <w:color w:val="auto"/>
        </w:rPr>
        <w:tab/>
        <w:t>Security</w:t>
      </w:r>
    </w:p>
    <w:p w14:paraId="6E8511BE" w14:textId="77777777" w:rsidR="005F5674" w:rsidRDefault="00680ADE">
      <w:pPr>
        <w:ind w:left="720" w:hanging="720"/>
      </w:pPr>
      <w:r>
        <w:t>16.1</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w:t>
      </w:r>
      <w:r>
        <w:lastRenderedPageBreak/>
        <w:t>plans will comply with the Buyer’s security policy and protect all aspects and processes associated with the delivery of the Services.</w:t>
      </w:r>
    </w:p>
    <w:p w14:paraId="0206A4CE" w14:textId="77777777" w:rsidR="005F5674" w:rsidRDefault="005F5674">
      <w:pPr>
        <w:ind w:left="720"/>
      </w:pPr>
    </w:p>
    <w:p w14:paraId="53ED3333" w14:textId="77777777" w:rsidR="005F5674" w:rsidRDefault="00680ADE">
      <w:pPr>
        <w:ind w:left="720" w:hanging="720"/>
      </w:pPr>
      <w:r>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4DD2067E" w14:textId="77777777" w:rsidR="005F5674" w:rsidRDefault="005F5674">
      <w:pPr>
        <w:ind w:left="720"/>
      </w:pPr>
    </w:p>
    <w:p w14:paraId="0D4FEDE3" w14:textId="77777777" w:rsidR="005F5674" w:rsidRDefault="00680ADE">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4E65D656" w14:textId="77777777" w:rsidR="005F5674" w:rsidRDefault="005F5674">
      <w:pPr>
        <w:ind w:firstLine="720"/>
      </w:pPr>
    </w:p>
    <w:p w14:paraId="33DC75EA" w14:textId="77777777" w:rsidR="005F5674" w:rsidRDefault="00680ADE">
      <w:r>
        <w:t>16.4</w:t>
      </w:r>
      <w:r>
        <w:tab/>
        <w:t>Responsibility for costs will be at the:</w:t>
      </w:r>
    </w:p>
    <w:p w14:paraId="2BA44F3A" w14:textId="77777777" w:rsidR="005F5674" w:rsidRDefault="00680ADE">
      <w:r>
        <w:tab/>
      </w:r>
    </w:p>
    <w:p w14:paraId="598026E8" w14:textId="77777777" w:rsidR="005F5674" w:rsidRDefault="00680ADE">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4616D05" w14:textId="77777777" w:rsidR="005F5674" w:rsidRDefault="005F5674">
      <w:pPr>
        <w:ind w:left="1440"/>
      </w:pPr>
    </w:p>
    <w:p w14:paraId="48A03162" w14:textId="77777777" w:rsidR="005F5674" w:rsidRDefault="00680ADE">
      <w:pPr>
        <w:ind w:left="1440" w:hanging="720"/>
      </w:pPr>
      <w:r>
        <w:t>16.4.2</w:t>
      </w:r>
      <w:r>
        <w:tab/>
        <w:t>Buyer’s expense if the Malicious Software originates from the Buyer software or the Service Data, while the Service Data was under the Buyer’s control</w:t>
      </w:r>
    </w:p>
    <w:p w14:paraId="44934AE7" w14:textId="77777777" w:rsidR="005F5674" w:rsidRDefault="005F5674">
      <w:pPr>
        <w:ind w:left="720" w:firstLine="720"/>
      </w:pPr>
    </w:p>
    <w:p w14:paraId="61AD52A3" w14:textId="77777777" w:rsidR="005F5674" w:rsidRDefault="00680ADE">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5148256F" w14:textId="77777777" w:rsidR="005F5674" w:rsidRDefault="005F5674">
      <w:pPr>
        <w:ind w:left="720"/>
      </w:pPr>
    </w:p>
    <w:p w14:paraId="57D0F494" w14:textId="77777777" w:rsidR="005F5674" w:rsidRDefault="00680ADE">
      <w:pPr>
        <w:ind w:left="720" w:hanging="720"/>
      </w:pPr>
      <w:r>
        <w:t>16.6</w:t>
      </w:r>
      <w:r>
        <w:tab/>
        <w:t>Any system development by the Supplier should also comply with the government’s ‘10 Steps to Cyber Security’ guidance:</w:t>
      </w:r>
      <w:hyperlink r:id="rId25" w:history="1">
        <w:r>
          <w:rPr>
            <w:u w:val="single"/>
          </w:rPr>
          <w:t xml:space="preserve"> </w:t>
        </w:r>
      </w:hyperlink>
    </w:p>
    <w:p w14:paraId="0643C921" w14:textId="77777777" w:rsidR="005F5674" w:rsidRDefault="00820871">
      <w:pPr>
        <w:ind w:left="720"/>
      </w:pPr>
      <w:hyperlink r:id="rId26" w:history="1">
        <w:r w:rsidR="00680ADE">
          <w:rPr>
            <w:u w:val="single"/>
          </w:rPr>
          <w:t>https://www.ncsc.gov.uk/guidance/10-steps-cyber-security</w:t>
        </w:r>
      </w:hyperlink>
    </w:p>
    <w:p w14:paraId="7187B806" w14:textId="77777777" w:rsidR="005F5674" w:rsidRDefault="005F5674">
      <w:pPr>
        <w:ind w:left="720"/>
      </w:pPr>
    </w:p>
    <w:p w14:paraId="7EABB17E" w14:textId="77777777" w:rsidR="005F5674" w:rsidRDefault="00680ADE">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1BC51D98" w14:textId="77777777" w:rsidR="005F5674" w:rsidRDefault="00680ADE">
      <w:r>
        <w:t xml:space="preserve"> </w:t>
      </w:r>
    </w:p>
    <w:p w14:paraId="740D1C91" w14:textId="77777777" w:rsidR="005F5674" w:rsidRDefault="00680ADE">
      <w:pPr>
        <w:pStyle w:val="Heading3"/>
        <w:rPr>
          <w:color w:val="auto"/>
        </w:rPr>
      </w:pPr>
      <w:r>
        <w:rPr>
          <w:color w:val="auto"/>
        </w:rPr>
        <w:t>17.</w:t>
      </w:r>
      <w:r>
        <w:rPr>
          <w:color w:val="auto"/>
        </w:rPr>
        <w:tab/>
        <w:t>Guarantee</w:t>
      </w:r>
    </w:p>
    <w:p w14:paraId="360DEA67" w14:textId="77777777" w:rsidR="005F5674" w:rsidRDefault="00680ADE">
      <w:pPr>
        <w:ind w:left="720" w:hanging="720"/>
      </w:pPr>
      <w:r>
        <w:t>17.1</w:t>
      </w:r>
      <w:r>
        <w:tab/>
        <w:t>If this Call-Off Contract is conditional on receipt of a Guarantee that is acceptable to the Buyer, the Supplier must give the Buyer on or before the Start date:</w:t>
      </w:r>
    </w:p>
    <w:p w14:paraId="4EE6317B" w14:textId="77777777" w:rsidR="005F5674" w:rsidRDefault="005F5674">
      <w:pPr>
        <w:ind w:firstLine="720"/>
      </w:pPr>
    </w:p>
    <w:p w14:paraId="70052122" w14:textId="77777777" w:rsidR="005F5674" w:rsidRDefault="00680ADE">
      <w:pPr>
        <w:ind w:firstLine="720"/>
      </w:pPr>
      <w:r>
        <w:t>17.1.1</w:t>
      </w:r>
      <w:r>
        <w:tab/>
        <w:t>an executed Guarantee in the form at Schedule 5</w:t>
      </w:r>
    </w:p>
    <w:p w14:paraId="0FD5134F" w14:textId="77777777" w:rsidR="005F5674" w:rsidRDefault="005F5674"/>
    <w:p w14:paraId="7C527E36" w14:textId="77777777" w:rsidR="005F5674" w:rsidRDefault="00680ADE">
      <w:pPr>
        <w:ind w:left="1440" w:hanging="720"/>
      </w:pPr>
      <w:r>
        <w:t>17.1.2</w:t>
      </w:r>
      <w:r>
        <w:tab/>
        <w:t>a certified copy of the passed resolution or board minutes of the guarantor approving the execution of the Guarantee</w:t>
      </w:r>
    </w:p>
    <w:p w14:paraId="03C0C685" w14:textId="77777777" w:rsidR="005F5674" w:rsidRDefault="005F5674">
      <w:pPr>
        <w:ind w:left="720" w:firstLine="720"/>
      </w:pPr>
    </w:p>
    <w:p w14:paraId="158C9B2F" w14:textId="77777777" w:rsidR="005F5674" w:rsidRDefault="00680ADE">
      <w:pPr>
        <w:pStyle w:val="Heading3"/>
        <w:rPr>
          <w:color w:val="auto"/>
        </w:rPr>
      </w:pPr>
      <w:r>
        <w:rPr>
          <w:color w:val="auto"/>
        </w:rPr>
        <w:t>18.</w:t>
      </w:r>
      <w:r>
        <w:rPr>
          <w:color w:val="auto"/>
        </w:rPr>
        <w:tab/>
        <w:t>Ending the Call-Off Contract</w:t>
      </w:r>
    </w:p>
    <w:p w14:paraId="4E2A1CC3" w14:textId="77777777" w:rsidR="005F5674" w:rsidRDefault="00680ADE">
      <w:pPr>
        <w:ind w:left="720" w:hanging="720"/>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409E31A4" w14:textId="77777777" w:rsidR="005F5674" w:rsidRDefault="005F5674">
      <w:pPr>
        <w:ind w:left="720"/>
      </w:pPr>
    </w:p>
    <w:p w14:paraId="0FE34164" w14:textId="77777777" w:rsidR="005F5674" w:rsidRDefault="00680ADE">
      <w:r>
        <w:t>18.2</w:t>
      </w:r>
      <w:r>
        <w:tab/>
        <w:t>The Parties agree that the:</w:t>
      </w:r>
    </w:p>
    <w:p w14:paraId="1C504085" w14:textId="77777777" w:rsidR="005F5674" w:rsidRDefault="005F5674"/>
    <w:p w14:paraId="4DC7E1B7" w14:textId="77777777" w:rsidR="005F5674" w:rsidRDefault="00680ADE">
      <w:pPr>
        <w:ind w:left="1440" w:hanging="720"/>
      </w:pPr>
      <w:r>
        <w:t>18.2.1</w:t>
      </w:r>
      <w:r>
        <w:tab/>
        <w:t>Buyer’s right to End the Call-Off Contract under clause 18.1 is reasonable considering the type of cloud Service being provided</w:t>
      </w:r>
    </w:p>
    <w:p w14:paraId="082B1A8D" w14:textId="77777777" w:rsidR="005F5674" w:rsidRDefault="005F5674">
      <w:pPr>
        <w:ind w:left="720"/>
      </w:pPr>
    </w:p>
    <w:p w14:paraId="78A64A5E" w14:textId="77777777" w:rsidR="005F5674" w:rsidRDefault="00680ADE">
      <w:pPr>
        <w:ind w:left="1440" w:hanging="720"/>
      </w:pPr>
      <w:r>
        <w:t>18.2.2</w:t>
      </w:r>
      <w:r>
        <w:tab/>
        <w:t>Call-Off Contract Charges paid during the notice period is reasonable compensation and covers all the Supplier’s avoidable costs or Losses</w:t>
      </w:r>
    </w:p>
    <w:p w14:paraId="1E7FEC5D" w14:textId="77777777" w:rsidR="005F5674" w:rsidRDefault="005F5674">
      <w:pPr>
        <w:ind w:left="720" w:firstLine="720"/>
      </w:pPr>
    </w:p>
    <w:p w14:paraId="2C9B7B23" w14:textId="77777777" w:rsidR="005F5674" w:rsidRDefault="00680ADE">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63CFAEE7" w14:textId="77777777" w:rsidR="005F5674" w:rsidRDefault="005F5674">
      <w:pPr>
        <w:ind w:left="720"/>
      </w:pPr>
    </w:p>
    <w:p w14:paraId="3175AECF" w14:textId="77777777" w:rsidR="005F5674" w:rsidRDefault="00680ADE">
      <w:pPr>
        <w:ind w:left="720" w:hanging="720"/>
      </w:pPr>
      <w:r>
        <w:t>18.4</w:t>
      </w:r>
      <w:r>
        <w:tab/>
        <w:t>The Buyer will have the right to End this Call-Off Contract at any time with immediate effect by written notice to the Supplier if either the Supplier commits:</w:t>
      </w:r>
    </w:p>
    <w:p w14:paraId="0ABFFB57" w14:textId="77777777" w:rsidR="005F5674" w:rsidRDefault="005F5674">
      <w:pPr>
        <w:ind w:firstLine="720"/>
      </w:pPr>
    </w:p>
    <w:p w14:paraId="0219FEAB" w14:textId="77777777" w:rsidR="005F5674" w:rsidRDefault="00680ADE">
      <w:pPr>
        <w:ind w:left="1440" w:hanging="720"/>
      </w:pPr>
      <w:r>
        <w:t>18.4.1</w:t>
      </w:r>
      <w:r>
        <w:tab/>
        <w:t>a Supplier Default and if the Supplier Default cannot, in the reasonable opinion of the Buyer, be remedied</w:t>
      </w:r>
    </w:p>
    <w:p w14:paraId="3A4B933B" w14:textId="77777777" w:rsidR="005F5674" w:rsidRDefault="005F5674">
      <w:pPr>
        <w:ind w:left="720" w:firstLine="720"/>
      </w:pPr>
    </w:p>
    <w:p w14:paraId="005BFF41" w14:textId="77777777" w:rsidR="005F5674" w:rsidRDefault="00680ADE">
      <w:pPr>
        <w:ind w:firstLine="720"/>
      </w:pPr>
      <w:r>
        <w:t>18.4.2</w:t>
      </w:r>
      <w:r>
        <w:tab/>
        <w:t>any fraud</w:t>
      </w:r>
    </w:p>
    <w:p w14:paraId="645C094C" w14:textId="77777777" w:rsidR="005F5674" w:rsidRDefault="005F5674">
      <w:pPr>
        <w:ind w:firstLine="720"/>
      </w:pPr>
    </w:p>
    <w:p w14:paraId="39DD9AA7" w14:textId="77777777" w:rsidR="005F5674" w:rsidRDefault="00680ADE">
      <w:r>
        <w:t>18.5</w:t>
      </w:r>
      <w:r>
        <w:tab/>
        <w:t>A Party can End this Call-Off Contract at any time with immediate effect by written notice if:</w:t>
      </w:r>
    </w:p>
    <w:p w14:paraId="0582CC11" w14:textId="77777777" w:rsidR="005F5674" w:rsidRDefault="005F5674">
      <w:pPr>
        <w:ind w:firstLine="720"/>
      </w:pPr>
    </w:p>
    <w:p w14:paraId="05DB6206" w14:textId="77777777" w:rsidR="005F5674" w:rsidRDefault="00680ADE">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4C4C3C59" w14:textId="77777777" w:rsidR="005F5674" w:rsidRDefault="005F5674">
      <w:pPr>
        <w:ind w:left="1440"/>
      </w:pPr>
    </w:p>
    <w:p w14:paraId="23B3F6B4" w14:textId="77777777" w:rsidR="005F5674" w:rsidRDefault="00680ADE">
      <w:pPr>
        <w:ind w:firstLine="720"/>
      </w:pPr>
      <w:r>
        <w:t>18.5.2</w:t>
      </w:r>
      <w:r>
        <w:tab/>
        <w:t>an Insolvency Event of the other Party happens</w:t>
      </w:r>
    </w:p>
    <w:p w14:paraId="4A0C1F19" w14:textId="77777777" w:rsidR="005F5674" w:rsidRDefault="005F5674">
      <w:pPr>
        <w:ind w:firstLine="720"/>
      </w:pPr>
    </w:p>
    <w:p w14:paraId="4E11D567" w14:textId="77777777" w:rsidR="005F5674" w:rsidRDefault="00680ADE">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1D34A9A9" w14:textId="77777777" w:rsidR="005F5674" w:rsidRDefault="005F5674">
      <w:pPr>
        <w:ind w:left="720" w:firstLine="720"/>
      </w:pPr>
    </w:p>
    <w:p w14:paraId="085D78B0" w14:textId="77777777" w:rsidR="005F5674" w:rsidRDefault="00680ADE">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4EBA593" w14:textId="77777777" w:rsidR="005F5674" w:rsidRDefault="005F5674">
      <w:pPr>
        <w:ind w:left="720"/>
      </w:pPr>
    </w:p>
    <w:p w14:paraId="5F3B9D44" w14:textId="77777777" w:rsidR="005F5674" w:rsidRDefault="00680ADE">
      <w:pPr>
        <w:ind w:left="720" w:hanging="720"/>
      </w:pPr>
      <w:r>
        <w:t>18.7</w:t>
      </w:r>
      <w:r>
        <w:tab/>
        <w:t>A Party who isn’t relying on a Force Majeure event will have the right to End this Call-Off Contract if clause 23.1 applies.</w:t>
      </w:r>
    </w:p>
    <w:p w14:paraId="0D0D21A2" w14:textId="77777777" w:rsidR="005F5674" w:rsidRDefault="00680ADE">
      <w:pPr>
        <w:ind w:left="720" w:hanging="720"/>
      </w:pPr>
      <w:r>
        <w:t xml:space="preserve"> </w:t>
      </w:r>
    </w:p>
    <w:p w14:paraId="4BCFF4DB" w14:textId="77777777" w:rsidR="005F5674" w:rsidRDefault="00680ADE">
      <w:pPr>
        <w:pStyle w:val="Heading3"/>
        <w:rPr>
          <w:color w:val="auto"/>
        </w:rPr>
      </w:pPr>
      <w:r>
        <w:rPr>
          <w:color w:val="auto"/>
        </w:rPr>
        <w:t>19.</w:t>
      </w:r>
      <w:r>
        <w:rPr>
          <w:color w:val="auto"/>
        </w:rPr>
        <w:tab/>
        <w:t>Consequences of suspension, ending and expiry</w:t>
      </w:r>
    </w:p>
    <w:p w14:paraId="03F14776" w14:textId="77777777" w:rsidR="005F5674" w:rsidRDefault="00680ADE">
      <w:pPr>
        <w:ind w:left="720" w:hanging="720"/>
      </w:pPr>
      <w:r>
        <w:t>19.1</w:t>
      </w:r>
      <w:r>
        <w:tab/>
        <w:t>If a Buyer has the right to End a Call-Off Contract, it may elect to suspend this Call-Off Contract or any part of it.</w:t>
      </w:r>
    </w:p>
    <w:p w14:paraId="5A4F1B6F" w14:textId="77777777" w:rsidR="005F5674" w:rsidRDefault="005F5674"/>
    <w:p w14:paraId="27DC598D" w14:textId="77777777" w:rsidR="005F5674" w:rsidRDefault="00680ADE">
      <w:pPr>
        <w:ind w:left="720" w:hanging="720"/>
      </w:pPr>
      <w:r>
        <w:t>19.2</w:t>
      </w:r>
      <w:r>
        <w:tab/>
        <w:t>Even if a notice has been served to End this Call-Off Contract or any part of it, the Supplier must continue to provide the Ordered G-Cloud Services until the dates set out in the notice.</w:t>
      </w:r>
    </w:p>
    <w:p w14:paraId="4B644319" w14:textId="77777777" w:rsidR="005F5674" w:rsidRDefault="005F5674">
      <w:pPr>
        <w:ind w:left="720" w:hanging="720"/>
      </w:pPr>
    </w:p>
    <w:p w14:paraId="606EFDDB" w14:textId="77777777" w:rsidR="005F5674" w:rsidRDefault="00680ADE">
      <w:pPr>
        <w:ind w:left="720" w:hanging="720"/>
      </w:pPr>
      <w:r>
        <w:t>19.3</w:t>
      </w:r>
      <w:r>
        <w:tab/>
        <w:t>The rights and obligations of the Parties will cease on the Expiry Date or End Date whichever applies) of this Call-Off Contract, except those continuing provisions described in clause 19.4.</w:t>
      </w:r>
    </w:p>
    <w:p w14:paraId="1D0DAA5B" w14:textId="77777777" w:rsidR="005F5674" w:rsidRDefault="005F5674"/>
    <w:p w14:paraId="304D18D6" w14:textId="77777777" w:rsidR="005F5674" w:rsidRDefault="00680ADE">
      <w:r>
        <w:t>19.4</w:t>
      </w:r>
      <w:r>
        <w:tab/>
        <w:t>Ending or expiry of this Call-Off Contract will not affect:</w:t>
      </w:r>
    </w:p>
    <w:p w14:paraId="18BE90ED" w14:textId="77777777" w:rsidR="005F5674" w:rsidRDefault="005F5674"/>
    <w:p w14:paraId="61CA9D00" w14:textId="77777777" w:rsidR="005F5674" w:rsidRDefault="00680ADE">
      <w:pPr>
        <w:ind w:firstLine="720"/>
      </w:pPr>
      <w:r>
        <w:t>19.4.1</w:t>
      </w:r>
      <w:r>
        <w:tab/>
        <w:t>any rights, remedies or obligations accrued before its Ending or expiration</w:t>
      </w:r>
    </w:p>
    <w:p w14:paraId="34F5FF17" w14:textId="77777777" w:rsidR="005F5674" w:rsidRDefault="005F5674"/>
    <w:p w14:paraId="5C47D305" w14:textId="77777777" w:rsidR="005F5674" w:rsidRDefault="00680ADE">
      <w:pPr>
        <w:ind w:left="1440" w:hanging="720"/>
      </w:pPr>
      <w:r>
        <w:t>19.4.2</w:t>
      </w:r>
      <w:r>
        <w:tab/>
        <w:t>the right of either Party to recover any amount outstanding at the time of Ending or expiry</w:t>
      </w:r>
    </w:p>
    <w:p w14:paraId="4A775376" w14:textId="77777777" w:rsidR="005F5674" w:rsidRDefault="005F5674"/>
    <w:p w14:paraId="5EC9BE3E" w14:textId="77777777" w:rsidR="005F5674" w:rsidRDefault="00680ADE">
      <w:pPr>
        <w:ind w:left="1440" w:hanging="720"/>
      </w:pPr>
      <w:r>
        <w:t>19.4.3</w:t>
      </w:r>
      <w:r>
        <w:tab/>
        <w:t>the continuing rights, remedies or obligations of the Buyer or the Supplier under clauses</w:t>
      </w:r>
    </w:p>
    <w:p w14:paraId="7C942B55" w14:textId="77777777" w:rsidR="005F5674" w:rsidRDefault="00680ADE">
      <w:pPr>
        <w:pStyle w:val="ListParagraph"/>
        <w:numPr>
          <w:ilvl w:val="1"/>
          <w:numId w:val="10"/>
        </w:numPr>
      </w:pPr>
      <w:r>
        <w:t>7 (Payment, VAT and Call-Off Contract charges)</w:t>
      </w:r>
    </w:p>
    <w:p w14:paraId="5B4F61C6" w14:textId="77777777" w:rsidR="005F5674" w:rsidRDefault="00680ADE">
      <w:pPr>
        <w:pStyle w:val="ListParagraph"/>
        <w:numPr>
          <w:ilvl w:val="1"/>
          <w:numId w:val="10"/>
        </w:numPr>
      </w:pPr>
      <w:r>
        <w:t>8 (Recovery of sums due and right of set-off)</w:t>
      </w:r>
    </w:p>
    <w:p w14:paraId="0F66D98D" w14:textId="77777777" w:rsidR="005F5674" w:rsidRDefault="00680ADE">
      <w:pPr>
        <w:pStyle w:val="ListParagraph"/>
        <w:numPr>
          <w:ilvl w:val="1"/>
          <w:numId w:val="10"/>
        </w:numPr>
      </w:pPr>
      <w:r>
        <w:t>9 (Insurance)</w:t>
      </w:r>
    </w:p>
    <w:p w14:paraId="77B4A9EC" w14:textId="77777777" w:rsidR="005F5674" w:rsidRDefault="00680ADE">
      <w:pPr>
        <w:pStyle w:val="ListParagraph"/>
        <w:numPr>
          <w:ilvl w:val="1"/>
          <w:numId w:val="10"/>
        </w:numPr>
      </w:pPr>
      <w:r>
        <w:t>10 (Confidentiality)</w:t>
      </w:r>
    </w:p>
    <w:p w14:paraId="68E7A94F" w14:textId="77777777" w:rsidR="005F5674" w:rsidRDefault="00680ADE">
      <w:pPr>
        <w:pStyle w:val="ListParagraph"/>
        <w:numPr>
          <w:ilvl w:val="1"/>
          <w:numId w:val="10"/>
        </w:numPr>
      </w:pPr>
      <w:r>
        <w:t>11 (Intellectual property rights)</w:t>
      </w:r>
    </w:p>
    <w:p w14:paraId="1A572F2B" w14:textId="77777777" w:rsidR="005F5674" w:rsidRDefault="00680ADE">
      <w:pPr>
        <w:pStyle w:val="ListParagraph"/>
        <w:numPr>
          <w:ilvl w:val="1"/>
          <w:numId w:val="10"/>
        </w:numPr>
      </w:pPr>
      <w:r>
        <w:t>12 (Protection of information)</w:t>
      </w:r>
    </w:p>
    <w:p w14:paraId="1DB93494" w14:textId="77777777" w:rsidR="005F5674" w:rsidRDefault="00680ADE">
      <w:pPr>
        <w:pStyle w:val="ListParagraph"/>
        <w:numPr>
          <w:ilvl w:val="1"/>
          <w:numId w:val="10"/>
        </w:numPr>
      </w:pPr>
      <w:r>
        <w:t>13 (Buyer data)</w:t>
      </w:r>
    </w:p>
    <w:p w14:paraId="6522CED5" w14:textId="77777777" w:rsidR="005F5674" w:rsidRDefault="00680ADE">
      <w:pPr>
        <w:pStyle w:val="ListParagraph"/>
        <w:numPr>
          <w:ilvl w:val="1"/>
          <w:numId w:val="10"/>
        </w:numPr>
      </w:pPr>
      <w:r>
        <w:t>19 (Consequences of suspension, ending and expiry)</w:t>
      </w:r>
    </w:p>
    <w:p w14:paraId="03659CA5" w14:textId="77777777" w:rsidR="005F5674" w:rsidRDefault="00680ADE">
      <w:pPr>
        <w:pStyle w:val="ListParagraph"/>
        <w:numPr>
          <w:ilvl w:val="1"/>
          <w:numId w:val="10"/>
        </w:numPr>
      </w:pPr>
      <w:r>
        <w:t>24 (Liability); incorporated Framework Agreement clauses: 4.2 to 4.7 (Liability)</w:t>
      </w:r>
    </w:p>
    <w:p w14:paraId="6C37228E" w14:textId="77777777" w:rsidR="005F5674" w:rsidRDefault="00680ADE">
      <w:pPr>
        <w:pStyle w:val="ListParagraph"/>
        <w:numPr>
          <w:ilvl w:val="1"/>
          <w:numId w:val="10"/>
        </w:numPr>
      </w:pPr>
      <w:r>
        <w:t>8.44 to 8.50 (Conflicts of interest and ethical walls)</w:t>
      </w:r>
    </w:p>
    <w:p w14:paraId="1A359FC5" w14:textId="77777777" w:rsidR="005F5674" w:rsidRDefault="00680ADE">
      <w:pPr>
        <w:pStyle w:val="ListParagraph"/>
        <w:numPr>
          <w:ilvl w:val="1"/>
          <w:numId w:val="10"/>
        </w:numPr>
      </w:pPr>
      <w:r>
        <w:t>8.89 to 8.90 (Waiver and cumulative remedies)</w:t>
      </w:r>
    </w:p>
    <w:p w14:paraId="163EF78D" w14:textId="77777777" w:rsidR="005F5674" w:rsidRDefault="005F5674">
      <w:pPr>
        <w:ind w:firstLine="720"/>
      </w:pPr>
    </w:p>
    <w:p w14:paraId="08AB8B6E" w14:textId="77777777" w:rsidR="005F5674" w:rsidRDefault="00680ADE">
      <w:pPr>
        <w:ind w:left="1440" w:hanging="720"/>
      </w:pPr>
      <w:r>
        <w:t>19.4.4</w:t>
      </w:r>
      <w:r>
        <w:tab/>
        <w:t>any other provision of the Framework Agreement or this Call-Off Contract which expressly or by implication is in force even if it Ends or expires</w:t>
      </w:r>
    </w:p>
    <w:p w14:paraId="3810BF12" w14:textId="77777777" w:rsidR="005F5674" w:rsidRDefault="00680ADE">
      <w:r>
        <w:t xml:space="preserve"> </w:t>
      </w:r>
    </w:p>
    <w:p w14:paraId="757EF3A5" w14:textId="77777777" w:rsidR="005F5674" w:rsidRDefault="00680ADE">
      <w:r>
        <w:t>19.5</w:t>
      </w:r>
      <w:r>
        <w:tab/>
        <w:t>At the end of the Call-Off Contract Term, the Supplier must promptly:</w:t>
      </w:r>
    </w:p>
    <w:p w14:paraId="2256068A" w14:textId="77777777" w:rsidR="005F5674" w:rsidRDefault="005F5674"/>
    <w:p w14:paraId="5945B0E0" w14:textId="77777777" w:rsidR="005F5674" w:rsidRDefault="00680ADE">
      <w:pPr>
        <w:ind w:left="1440" w:hanging="720"/>
      </w:pPr>
      <w:r>
        <w:t>19.5.1</w:t>
      </w:r>
      <w:r>
        <w:tab/>
        <w:t>return all Buyer Data including all copies of Buyer software, code and any other software licensed by the Buyer to the Supplier under it</w:t>
      </w:r>
    </w:p>
    <w:p w14:paraId="619F6BEC" w14:textId="77777777" w:rsidR="005F5674" w:rsidRDefault="005F5674">
      <w:pPr>
        <w:ind w:firstLine="720"/>
      </w:pPr>
    </w:p>
    <w:p w14:paraId="3BFC21D0" w14:textId="77777777" w:rsidR="005F5674" w:rsidRDefault="00680ADE">
      <w:pPr>
        <w:ind w:left="1440" w:hanging="720"/>
      </w:pPr>
      <w:r>
        <w:t>19.5.2</w:t>
      </w:r>
      <w:r>
        <w:tab/>
        <w:t>return any materials created by the Supplier under this Call-Off Contract if the IPRs are owned by the Buyer</w:t>
      </w:r>
    </w:p>
    <w:p w14:paraId="52AA03AD" w14:textId="77777777" w:rsidR="005F5674" w:rsidRDefault="005F5674">
      <w:pPr>
        <w:ind w:firstLine="720"/>
      </w:pPr>
    </w:p>
    <w:p w14:paraId="5F5BD8E4" w14:textId="77777777" w:rsidR="005F5674" w:rsidRDefault="00680ADE">
      <w:pPr>
        <w:ind w:left="1440" w:hanging="720"/>
      </w:pPr>
      <w:r>
        <w:t>19.5.3</w:t>
      </w:r>
      <w:r>
        <w:tab/>
        <w:t>stop using the Buyer Data and, at the direction of the Buyer, provide the Buyer with a complete and uncorrupted version in electronic form in the formats and on media agreed with the Buyer</w:t>
      </w:r>
    </w:p>
    <w:p w14:paraId="619C82E2" w14:textId="77777777" w:rsidR="005F5674" w:rsidRDefault="005F5674">
      <w:pPr>
        <w:ind w:firstLine="720"/>
      </w:pPr>
    </w:p>
    <w:p w14:paraId="4C56130F" w14:textId="77777777" w:rsidR="005F5674" w:rsidRDefault="00680ADE">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1D260310" w14:textId="77777777" w:rsidR="005F5674" w:rsidRDefault="005F5674">
      <w:pPr>
        <w:ind w:left="720"/>
      </w:pPr>
    </w:p>
    <w:p w14:paraId="565043C5" w14:textId="77777777" w:rsidR="005F5674" w:rsidRDefault="00680ADE">
      <w:pPr>
        <w:ind w:firstLine="720"/>
      </w:pPr>
      <w:r>
        <w:t>19.5.5</w:t>
      </w:r>
      <w:r>
        <w:tab/>
        <w:t>work with the Buyer on any ongoing work</w:t>
      </w:r>
    </w:p>
    <w:p w14:paraId="6044B6EE" w14:textId="77777777" w:rsidR="005F5674" w:rsidRDefault="005F5674"/>
    <w:p w14:paraId="472AA48C" w14:textId="77777777" w:rsidR="005F5674" w:rsidRDefault="00680ADE">
      <w:pPr>
        <w:ind w:left="1440" w:hanging="720"/>
      </w:pPr>
      <w:r>
        <w:t>19.5.6</w:t>
      </w:r>
      <w:r>
        <w:tab/>
        <w:t>return any sums prepaid for Services which have not been delivered to the Buyer, within 10 Working Days of the End or Expiry Date</w:t>
      </w:r>
    </w:p>
    <w:p w14:paraId="49F771C4" w14:textId="77777777" w:rsidR="005F5674" w:rsidRDefault="005F5674">
      <w:pPr>
        <w:ind w:firstLine="720"/>
      </w:pPr>
    </w:p>
    <w:p w14:paraId="34D43D0D" w14:textId="77777777" w:rsidR="005F5674" w:rsidRDefault="005F5674"/>
    <w:p w14:paraId="4D36F530" w14:textId="77777777" w:rsidR="005F5674" w:rsidRDefault="00680ADE">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506907A1" w14:textId="77777777" w:rsidR="005F5674" w:rsidRDefault="005F5674">
      <w:pPr>
        <w:ind w:left="720"/>
      </w:pPr>
    </w:p>
    <w:p w14:paraId="6856997B" w14:textId="77777777" w:rsidR="005F5674" w:rsidRDefault="00680ADE">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5D4AF666" w14:textId="77777777" w:rsidR="005F5674" w:rsidRDefault="005F5674"/>
    <w:p w14:paraId="1FDB846B" w14:textId="77777777" w:rsidR="005F5674" w:rsidRDefault="00680ADE">
      <w:pPr>
        <w:pStyle w:val="Heading3"/>
        <w:rPr>
          <w:color w:val="auto"/>
        </w:rPr>
      </w:pPr>
      <w:r>
        <w:rPr>
          <w:color w:val="auto"/>
        </w:rPr>
        <w:t>20.</w:t>
      </w:r>
      <w:r>
        <w:rPr>
          <w:color w:val="auto"/>
        </w:rPr>
        <w:tab/>
        <w:t>Notices</w:t>
      </w:r>
    </w:p>
    <w:p w14:paraId="4373BCC9" w14:textId="77777777" w:rsidR="005F5674" w:rsidRDefault="00680ADE">
      <w:pPr>
        <w:ind w:left="720" w:hanging="720"/>
      </w:pPr>
      <w:r>
        <w:t>20.1</w:t>
      </w:r>
      <w:r>
        <w:tab/>
        <w:t xml:space="preserve">Any notices sent must be in writing. </w:t>
      </w:r>
      <w:proofErr w:type="gramStart"/>
      <w:r>
        <w:t>For the purpose of</w:t>
      </w:r>
      <w:proofErr w:type="gramEnd"/>
      <w:r>
        <w:t xml:space="preserve"> this clause, an email is accepted as being 'in writing'.</w:t>
      </w:r>
    </w:p>
    <w:p w14:paraId="4A1E4289" w14:textId="77777777" w:rsidR="005F5674" w:rsidRDefault="005F5674">
      <w:pPr>
        <w:ind w:left="720" w:hanging="720"/>
      </w:pPr>
    </w:p>
    <w:p w14:paraId="05EB619B" w14:textId="77777777" w:rsidR="005F5674" w:rsidRDefault="00680ADE">
      <w:pPr>
        <w:pStyle w:val="ListParagraph"/>
        <w:numPr>
          <w:ilvl w:val="0"/>
          <w:numId w:val="11"/>
        </w:numPr>
        <w:spacing w:after="120" w:line="360" w:lineRule="auto"/>
      </w:pPr>
      <w:r>
        <w:t>Manner of delivery: email</w:t>
      </w:r>
    </w:p>
    <w:p w14:paraId="320C3700" w14:textId="77777777" w:rsidR="005F5674" w:rsidRDefault="00680ADE">
      <w:pPr>
        <w:pStyle w:val="ListParagraph"/>
        <w:numPr>
          <w:ilvl w:val="0"/>
          <w:numId w:val="11"/>
        </w:numPr>
        <w:spacing w:line="360" w:lineRule="auto"/>
      </w:pPr>
      <w:r>
        <w:t>Deemed time of delivery: 9am on the first Working Day after sending</w:t>
      </w:r>
    </w:p>
    <w:p w14:paraId="19A6BD9D" w14:textId="77777777" w:rsidR="005F5674" w:rsidRDefault="00680ADE">
      <w:pPr>
        <w:pStyle w:val="ListParagraph"/>
        <w:numPr>
          <w:ilvl w:val="0"/>
          <w:numId w:val="11"/>
        </w:numPr>
      </w:pPr>
      <w:r>
        <w:t>Proof of service: Sent in an emailed letter in PDF format to the correct email address without any error message</w:t>
      </w:r>
    </w:p>
    <w:p w14:paraId="2CC4F5DF" w14:textId="77777777" w:rsidR="005F5674" w:rsidRDefault="005F5674"/>
    <w:p w14:paraId="1B192A94" w14:textId="77777777" w:rsidR="005F5674" w:rsidRDefault="00680ADE">
      <w:pPr>
        <w:ind w:left="720" w:hanging="720"/>
      </w:pPr>
      <w:r>
        <w:t>20.2</w:t>
      </w:r>
      <w:r>
        <w:tab/>
        <w:t>This clause does not apply to any legal action or other method of dispute resolution which should be sent to the addresses in the Order Form (other than a dispute notice under this Call-Off Contract).</w:t>
      </w:r>
    </w:p>
    <w:p w14:paraId="2F833CF1" w14:textId="77777777" w:rsidR="005F5674" w:rsidRDefault="005F5674">
      <w:pPr>
        <w:spacing w:before="240" w:after="240"/>
        <w:ind w:left="720"/>
      </w:pPr>
    </w:p>
    <w:p w14:paraId="58C5C6D6" w14:textId="77777777" w:rsidR="005F5674" w:rsidRDefault="00680ADE">
      <w:pPr>
        <w:pStyle w:val="Heading3"/>
        <w:rPr>
          <w:color w:val="auto"/>
        </w:rPr>
      </w:pPr>
      <w:r>
        <w:rPr>
          <w:color w:val="auto"/>
        </w:rPr>
        <w:t>21.</w:t>
      </w:r>
      <w:r>
        <w:rPr>
          <w:color w:val="auto"/>
        </w:rPr>
        <w:tab/>
        <w:t>Exit plan</w:t>
      </w:r>
    </w:p>
    <w:p w14:paraId="3669DF0D" w14:textId="77777777" w:rsidR="005F5674" w:rsidRDefault="00680ADE">
      <w:pPr>
        <w:ind w:left="720" w:hanging="720"/>
      </w:pPr>
      <w:r>
        <w:t>21.1</w:t>
      </w:r>
      <w:r>
        <w:tab/>
        <w:t xml:space="preserve">The Supplier must provide an exit plan in its </w:t>
      </w:r>
      <w:proofErr w:type="gramStart"/>
      <w:r>
        <w:t>Application</w:t>
      </w:r>
      <w:proofErr w:type="gramEnd"/>
      <w:r>
        <w:t xml:space="preserve"> which ensures continuity of service and the Supplier will follow it.</w:t>
      </w:r>
    </w:p>
    <w:p w14:paraId="169ED15D" w14:textId="77777777" w:rsidR="005F5674" w:rsidRDefault="005F5674">
      <w:pPr>
        <w:ind w:firstLine="720"/>
      </w:pPr>
    </w:p>
    <w:p w14:paraId="65D295E1" w14:textId="77777777" w:rsidR="005F5674" w:rsidRDefault="00680ADE">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5ACCC250" w14:textId="77777777" w:rsidR="005F5674" w:rsidRDefault="005F5674">
      <w:pPr>
        <w:ind w:left="720"/>
      </w:pPr>
    </w:p>
    <w:p w14:paraId="7C474E47" w14:textId="77777777" w:rsidR="005F5674" w:rsidRDefault="00680ADE">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5692E41D" w14:textId="77777777" w:rsidR="005F5674" w:rsidRDefault="005F5674">
      <w:pPr>
        <w:ind w:left="720"/>
      </w:pPr>
    </w:p>
    <w:p w14:paraId="5C462325" w14:textId="77777777" w:rsidR="005F5674" w:rsidRDefault="00680ADE">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9BF30E4" w14:textId="77777777" w:rsidR="005F5674" w:rsidRDefault="005F5674">
      <w:pPr>
        <w:ind w:left="720"/>
      </w:pPr>
    </w:p>
    <w:p w14:paraId="06C34444" w14:textId="77777777" w:rsidR="005F5674" w:rsidRDefault="00680ADE">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0C1EA957" w14:textId="77777777" w:rsidR="005F5674" w:rsidRDefault="005F5674">
      <w:pPr>
        <w:ind w:left="720"/>
      </w:pPr>
    </w:p>
    <w:p w14:paraId="0F5330C5" w14:textId="77777777" w:rsidR="005F5674" w:rsidRDefault="00680ADE">
      <w:pPr>
        <w:ind w:left="720" w:hanging="720"/>
      </w:pPr>
      <w:r>
        <w:lastRenderedPageBreak/>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0582B7F5" w14:textId="77777777" w:rsidR="005F5674" w:rsidRDefault="005F5674">
      <w:pPr>
        <w:ind w:left="720"/>
      </w:pPr>
    </w:p>
    <w:p w14:paraId="02D7E2F0" w14:textId="77777777" w:rsidR="005F5674" w:rsidRDefault="00680ADE">
      <w:pPr>
        <w:ind w:left="1440" w:hanging="720"/>
      </w:pPr>
      <w:r>
        <w:t>21.6.1</w:t>
      </w:r>
      <w:r>
        <w:tab/>
        <w:t>the Buyer will be able to transfer the Services to a replacement supplier before the expiry or Ending of the extension period on terms that are commercially reasonable and acceptable to the Buyer</w:t>
      </w:r>
    </w:p>
    <w:p w14:paraId="2F29B5C1" w14:textId="77777777" w:rsidR="005F5674" w:rsidRDefault="005F5674"/>
    <w:p w14:paraId="6E2E792A" w14:textId="77777777" w:rsidR="005F5674" w:rsidRDefault="00680ADE">
      <w:pPr>
        <w:ind w:firstLine="720"/>
      </w:pPr>
      <w:r>
        <w:t>21.6.2</w:t>
      </w:r>
      <w:r>
        <w:tab/>
        <w:t>there will be no adverse impact on service continuity</w:t>
      </w:r>
    </w:p>
    <w:p w14:paraId="07EB3F1D" w14:textId="77777777" w:rsidR="005F5674" w:rsidRDefault="005F5674">
      <w:pPr>
        <w:ind w:firstLine="720"/>
      </w:pPr>
    </w:p>
    <w:p w14:paraId="66E102F1" w14:textId="77777777" w:rsidR="005F5674" w:rsidRDefault="00680ADE">
      <w:pPr>
        <w:ind w:firstLine="720"/>
      </w:pPr>
      <w:r>
        <w:t>21.6.3</w:t>
      </w:r>
      <w:r>
        <w:tab/>
        <w:t>there is no vendor lock-in to the Supplier’s Service at exit</w:t>
      </w:r>
    </w:p>
    <w:p w14:paraId="613AB55C" w14:textId="77777777" w:rsidR="005F5674" w:rsidRDefault="005F5674"/>
    <w:p w14:paraId="244C7426" w14:textId="77777777" w:rsidR="005F5674" w:rsidRDefault="00680ADE">
      <w:pPr>
        <w:ind w:firstLine="720"/>
      </w:pPr>
      <w:r>
        <w:t>21.6.4</w:t>
      </w:r>
      <w:r>
        <w:tab/>
        <w:t xml:space="preserve">it enables the Buyer to meet its obligations under the Technology Code </w:t>
      </w:r>
      <w:proofErr w:type="gramStart"/>
      <w:r>
        <w:t>Of</w:t>
      </w:r>
      <w:proofErr w:type="gramEnd"/>
      <w:r>
        <w:t xml:space="preserve"> Practice</w:t>
      </w:r>
    </w:p>
    <w:p w14:paraId="24109499" w14:textId="77777777" w:rsidR="005F5674" w:rsidRDefault="005F5674">
      <w:pPr>
        <w:ind w:left="720" w:firstLine="720"/>
      </w:pPr>
    </w:p>
    <w:p w14:paraId="2B216D4D" w14:textId="77777777" w:rsidR="005F5674" w:rsidRDefault="00680ADE">
      <w:pPr>
        <w:ind w:left="720" w:hanging="720"/>
      </w:pPr>
      <w:r>
        <w:t>21.7</w:t>
      </w:r>
      <w:r>
        <w:tab/>
        <w:t>If approval is obtained by the Buyer to extend the Term, then the Supplier will comply with its obligations in the additional exit plan.</w:t>
      </w:r>
    </w:p>
    <w:p w14:paraId="3C6AF3E5" w14:textId="77777777" w:rsidR="005F5674" w:rsidRDefault="005F5674">
      <w:pPr>
        <w:ind w:firstLine="720"/>
      </w:pPr>
    </w:p>
    <w:p w14:paraId="6E1B789F" w14:textId="77777777" w:rsidR="005F5674" w:rsidRDefault="00680ADE">
      <w:pPr>
        <w:ind w:left="720" w:hanging="720"/>
      </w:pPr>
      <w:r>
        <w:t>21.8</w:t>
      </w:r>
      <w:r>
        <w:tab/>
        <w:t>The additional exit plan must set out full details of timescales, activities and roles and responsibilities of the Parties for:</w:t>
      </w:r>
    </w:p>
    <w:p w14:paraId="2EEF6333" w14:textId="77777777" w:rsidR="005F5674" w:rsidRDefault="005F5674">
      <w:pPr>
        <w:ind w:firstLine="720"/>
      </w:pPr>
    </w:p>
    <w:p w14:paraId="30BD63AF" w14:textId="77777777" w:rsidR="005F5674" w:rsidRDefault="00680ADE">
      <w:pPr>
        <w:ind w:left="1440" w:hanging="720"/>
      </w:pPr>
      <w:r>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6CA60757" w14:textId="77777777" w:rsidR="005F5674" w:rsidRDefault="005F5674">
      <w:pPr>
        <w:ind w:left="1440"/>
      </w:pPr>
    </w:p>
    <w:p w14:paraId="38747B7C" w14:textId="77777777" w:rsidR="005F5674" w:rsidRDefault="00680ADE">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67B206A8" w14:textId="77777777" w:rsidR="005F5674" w:rsidRDefault="005F5674">
      <w:pPr>
        <w:ind w:left="1440"/>
      </w:pPr>
    </w:p>
    <w:p w14:paraId="33B6473B" w14:textId="77777777" w:rsidR="005F5674" w:rsidRDefault="00680ADE">
      <w:pPr>
        <w:ind w:left="1440" w:hanging="720"/>
      </w:pPr>
      <w:r>
        <w:t>21.8.3</w:t>
      </w:r>
      <w:r>
        <w:tab/>
        <w:t>the transfer of Project Specific IPR items and other Buyer customisations, configurations and databases to the Buyer or a replacement supplier</w:t>
      </w:r>
    </w:p>
    <w:p w14:paraId="72D760FF" w14:textId="77777777" w:rsidR="005F5674" w:rsidRDefault="005F5674">
      <w:pPr>
        <w:ind w:left="720" w:firstLine="720"/>
      </w:pPr>
    </w:p>
    <w:p w14:paraId="4BB10A2D" w14:textId="77777777" w:rsidR="005F5674" w:rsidRDefault="00680ADE">
      <w:pPr>
        <w:ind w:firstLine="720"/>
      </w:pPr>
      <w:r>
        <w:t>21.8.4</w:t>
      </w:r>
      <w:r>
        <w:tab/>
        <w:t>the testing and assurance strategy for exported Buyer Data</w:t>
      </w:r>
    </w:p>
    <w:p w14:paraId="61E03DC8" w14:textId="77777777" w:rsidR="005F5674" w:rsidRDefault="005F5674">
      <w:pPr>
        <w:ind w:firstLine="720"/>
      </w:pPr>
    </w:p>
    <w:p w14:paraId="72AF0EE6" w14:textId="77777777" w:rsidR="005F5674" w:rsidRDefault="00680ADE">
      <w:pPr>
        <w:ind w:firstLine="720"/>
      </w:pPr>
      <w:r>
        <w:t>21.8.5</w:t>
      </w:r>
      <w:r>
        <w:tab/>
        <w:t>if relevant, TUPE-related activity to comply with the TUPE regulations</w:t>
      </w:r>
    </w:p>
    <w:p w14:paraId="40DB8750" w14:textId="77777777" w:rsidR="005F5674" w:rsidRDefault="005F5674">
      <w:pPr>
        <w:ind w:firstLine="720"/>
      </w:pPr>
    </w:p>
    <w:p w14:paraId="40E2E858" w14:textId="77777777" w:rsidR="005F5674" w:rsidRDefault="00680ADE">
      <w:pPr>
        <w:ind w:left="1440" w:hanging="720"/>
      </w:pPr>
      <w:r>
        <w:t>21.8.6</w:t>
      </w:r>
      <w:r>
        <w:tab/>
        <w:t>any other activities and information which is reasonably required to ensure continuity of Service during the exit period and an orderly transition</w:t>
      </w:r>
    </w:p>
    <w:p w14:paraId="5BF86177" w14:textId="77777777" w:rsidR="005F5674" w:rsidRDefault="005F5674"/>
    <w:p w14:paraId="62C008D7" w14:textId="77777777" w:rsidR="005F5674" w:rsidRDefault="00680ADE">
      <w:pPr>
        <w:pStyle w:val="Heading3"/>
        <w:rPr>
          <w:color w:val="auto"/>
        </w:rPr>
      </w:pPr>
      <w:r>
        <w:rPr>
          <w:color w:val="auto"/>
        </w:rPr>
        <w:t>22.</w:t>
      </w:r>
      <w:r>
        <w:rPr>
          <w:color w:val="auto"/>
        </w:rPr>
        <w:tab/>
        <w:t>Handover to replacement supplier</w:t>
      </w:r>
    </w:p>
    <w:p w14:paraId="7C200E8C" w14:textId="77777777" w:rsidR="005F5674" w:rsidRDefault="00680ADE">
      <w:pPr>
        <w:ind w:left="720" w:hanging="720"/>
      </w:pPr>
      <w:r>
        <w:t>22.1</w:t>
      </w:r>
      <w:r>
        <w:tab/>
        <w:t>At least 10 Working Days before the Expiry Date or End Date, the Supplier must provide any:</w:t>
      </w:r>
    </w:p>
    <w:p w14:paraId="74DB0705" w14:textId="77777777" w:rsidR="005F5674" w:rsidRDefault="005F5674">
      <w:pPr>
        <w:ind w:firstLine="720"/>
      </w:pPr>
    </w:p>
    <w:p w14:paraId="11A935E4" w14:textId="77777777" w:rsidR="005F5674" w:rsidRDefault="00680ADE">
      <w:pPr>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23853509" w14:textId="77777777" w:rsidR="005F5674" w:rsidRDefault="005F5674">
      <w:pPr>
        <w:ind w:left="720" w:firstLine="720"/>
      </w:pPr>
    </w:p>
    <w:p w14:paraId="48505F81" w14:textId="77777777" w:rsidR="005F5674" w:rsidRDefault="00680ADE">
      <w:pPr>
        <w:ind w:firstLine="720"/>
      </w:pPr>
      <w:r>
        <w:t>22.1.2</w:t>
      </w:r>
      <w:r>
        <w:tab/>
        <w:t>other information reasonably requested by the Buyer</w:t>
      </w:r>
    </w:p>
    <w:p w14:paraId="4E6CAB68" w14:textId="77777777" w:rsidR="005F5674" w:rsidRDefault="005F5674">
      <w:pPr>
        <w:ind w:firstLine="720"/>
      </w:pPr>
    </w:p>
    <w:p w14:paraId="39F8A2ED" w14:textId="77777777" w:rsidR="005F5674" w:rsidRDefault="00680ADE">
      <w:pPr>
        <w:ind w:left="720" w:hanging="720"/>
      </w:pPr>
      <w:r>
        <w:lastRenderedPageBreak/>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28F3864" w14:textId="77777777" w:rsidR="005F5674" w:rsidRDefault="005F5674">
      <w:pPr>
        <w:ind w:left="720"/>
      </w:pPr>
    </w:p>
    <w:p w14:paraId="1B730316" w14:textId="77777777" w:rsidR="005F5674" w:rsidRDefault="00680ADE">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264A23A8" w14:textId="77777777" w:rsidR="005F5674" w:rsidRDefault="005F5674">
      <w:pPr>
        <w:ind w:left="720"/>
      </w:pPr>
    </w:p>
    <w:p w14:paraId="0546B482" w14:textId="77777777" w:rsidR="005F5674" w:rsidRDefault="00680ADE">
      <w:pPr>
        <w:pStyle w:val="Heading3"/>
        <w:rPr>
          <w:color w:val="auto"/>
        </w:rPr>
      </w:pPr>
      <w:r>
        <w:rPr>
          <w:color w:val="auto"/>
        </w:rPr>
        <w:t>23.</w:t>
      </w:r>
      <w:r>
        <w:rPr>
          <w:color w:val="auto"/>
        </w:rPr>
        <w:tab/>
        <w:t>Force majeure</w:t>
      </w:r>
    </w:p>
    <w:p w14:paraId="048795DA" w14:textId="77777777" w:rsidR="005F5674" w:rsidRDefault="00680ADE">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08C8FA1" w14:textId="77777777" w:rsidR="005F5674" w:rsidRDefault="005F5674">
      <w:pPr>
        <w:ind w:left="720" w:hanging="720"/>
      </w:pPr>
    </w:p>
    <w:p w14:paraId="0B6EFF9D" w14:textId="77777777" w:rsidR="005F5674" w:rsidRDefault="00680ADE">
      <w:pPr>
        <w:pStyle w:val="Heading3"/>
        <w:rPr>
          <w:color w:val="auto"/>
        </w:rPr>
      </w:pPr>
      <w:r>
        <w:rPr>
          <w:color w:val="auto"/>
        </w:rPr>
        <w:t>24.</w:t>
      </w:r>
      <w:r>
        <w:rPr>
          <w:color w:val="auto"/>
        </w:rPr>
        <w:tab/>
        <w:t>Liability</w:t>
      </w:r>
    </w:p>
    <w:p w14:paraId="3C50E1A2" w14:textId="77777777" w:rsidR="005F5674" w:rsidRDefault="00680ADE">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05ECD527" w14:textId="77777777" w:rsidR="005F5674" w:rsidRDefault="005F5674">
      <w:pPr>
        <w:ind w:left="720"/>
      </w:pPr>
    </w:p>
    <w:p w14:paraId="69B9EFB7" w14:textId="77777777" w:rsidR="005F5674" w:rsidRDefault="00680ADE">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1D2E2250" w14:textId="77777777" w:rsidR="005F5674" w:rsidRDefault="005F5674">
      <w:pPr>
        <w:ind w:left="1440"/>
      </w:pPr>
    </w:p>
    <w:p w14:paraId="0DE720F2" w14:textId="77777777" w:rsidR="005F5674" w:rsidRDefault="00680ADE">
      <w:pPr>
        <w:ind w:left="1440" w:hanging="720"/>
      </w:pPr>
      <w:r>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76E79B22" w14:textId="77777777" w:rsidR="005F5674" w:rsidRDefault="005F5674">
      <w:pPr>
        <w:ind w:left="1440"/>
      </w:pPr>
    </w:p>
    <w:p w14:paraId="2E376289" w14:textId="77777777" w:rsidR="005F5674" w:rsidRDefault="00680ADE">
      <w:pPr>
        <w:ind w:left="1440" w:hanging="720"/>
      </w:pPr>
      <w:r>
        <w:t>24.1.3</w:t>
      </w:r>
      <w:r>
        <w:tab/>
        <w:t xml:space="preserve">Other Defaults: for all other Defaults by either party, claims, </w:t>
      </w:r>
      <w:proofErr w:type="gramStart"/>
      <w:r>
        <w:t>Losses</w:t>
      </w:r>
      <w:proofErr w:type="gramEnd"/>
      <w:r>
        <w:t xml:space="preserve"> or damages, whether arising from breach of contract, misrepresentation (whether under common law or statute), tort (including negligence), breach of statutory duty or otherwise will not exceed the amount in the Order Form.</w:t>
      </w:r>
    </w:p>
    <w:p w14:paraId="1DCBECED" w14:textId="77777777" w:rsidR="005F5674" w:rsidRDefault="005F5674">
      <w:pPr>
        <w:spacing w:before="240" w:after="240"/>
      </w:pPr>
    </w:p>
    <w:p w14:paraId="334CFAB1" w14:textId="77777777" w:rsidR="005F5674" w:rsidRDefault="00680ADE">
      <w:pPr>
        <w:pStyle w:val="Heading3"/>
        <w:rPr>
          <w:color w:val="auto"/>
        </w:rPr>
      </w:pPr>
      <w:r>
        <w:rPr>
          <w:color w:val="auto"/>
        </w:rPr>
        <w:t>25.</w:t>
      </w:r>
      <w:r>
        <w:rPr>
          <w:color w:val="auto"/>
        </w:rPr>
        <w:tab/>
        <w:t>Premises</w:t>
      </w:r>
    </w:p>
    <w:p w14:paraId="2B3A33CA" w14:textId="77777777" w:rsidR="005F5674" w:rsidRDefault="00680ADE">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72E19DE7" w14:textId="77777777" w:rsidR="005F5674" w:rsidRDefault="005F5674">
      <w:pPr>
        <w:ind w:left="720"/>
      </w:pPr>
    </w:p>
    <w:p w14:paraId="547398BC" w14:textId="77777777" w:rsidR="005F5674" w:rsidRDefault="00680ADE">
      <w:pPr>
        <w:ind w:left="720" w:hanging="720"/>
      </w:pPr>
      <w:r>
        <w:t>25.2</w:t>
      </w:r>
      <w:r>
        <w:tab/>
        <w:t>The Supplier will use the Buyer’s premises solely for the performance of its obligations under this Call-Off Contract.</w:t>
      </w:r>
    </w:p>
    <w:p w14:paraId="71B73AD6" w14:textId="77777777" w:rsidR="005F5674" w:rsidRDefault="005F5674">
      <w:pPr>
        <w:ind w:firstLine="720"/>
      </w:pPr>
    </w:p>
    <w:p w14:paraId="1D591C14" w14:textId="77777777" w:rsidR="005F5674" w:rsidRDefault="00680ADE">
      <w:r>
        <w:t>25.3</w:t>
      </w:r>
      <w:r>
        <w:tab/>
        <w:t>The Supplier will vacate the Buyer’s premises when the Call-Off Contract Ends or expires.</w:t>
      </w:r>
    </w:p>
    <w:p w14:paraId="7E96FA50" w14:textId="77777777" w:rsidR="005F5674" w:rsidRDefault="005F5674">
      <w:pPr>
        <w:ind w:firstLine="720"/>
      </w:pPr>
    </w:p>
    <w:p w14:paraId="010DC11C" w14:textId="77777777" w:rsidR="005F5674" w:rsidRDefault="00680ADE">
      <w:r>
        <w:lastRenderedPageBreak/>
        <w:t>25.4</w:t>
      </w:r>
      <w:r>
        <w:tab/>
        <w:t>This clause does not create a tenancy or exclusive right of occupation.</w:t>
      </w:r>
    </w:p>
    <w:p w14:paraId="07B5EDF9" w14:textId="77777777" w:rsidR="005F5674" w:rsidRDefault="005F5674"/>
    <w:p w14:paraId="69770FAB" w14:textId="77777777" w:rsidR="005F5674" w:rsidRDefault="00680ADE">
      <w:r>
        <w:t>25.5</w:t>
      </w:r>
      <w:r>
        <w:tab/>
        <w:t>While on the Buyer’s premises, the Supplier will:</w:t>
      </w:r>
    </w:p>
    <w:p w14:paraId="17A110E4" w14:textId="77777777" w:rsidR="005F5674" w:rsidRDefault="005F5674"/>
    <w:p w14:paraId="1911BD11" w14:textId="77777777" w:rsidR="005F5674" w:rsidRDefault="00680ADE">
      <w:pPr>
        <w:ind w:left="1440" w:hanging="720"/>
      </w:pPr>
      <w:r>
        <w:t>25.5.1</w:t>
      </w:r>
      <w:r>
        <w:tab/>
        <w:t>comply with any security requirements at the premises and not do anything to weaken the security of the premises</w:t>
      </w:r>
    </w:p>
    <w:p w14:paraId="588EFE88" w14:textId="77777777" w:rsidR="005F5674" w:rsidRDefault="005F5674">
      <w:pPr>
        <w:ind w:left="720"/>
      </w:pPr>
    </w:p>
    <w:p w14:paraId="00C77A95" w14:textId="77777777" w:rsidR="005F5674" w:rsidRDefault="00680ADE">
      <w:pPr>
        <w:ind w:firstLine="720"/>
      </w:pPr>
      <w:r>
        <w:t>25.5.2</w:t>
      </w:r>
      <w:r>
        <w:tab/>
        <w:t>comply with Buyer requirements for the conduct of personnel</w:t>
      </w:r>
    </w:p>
    <w:p w14:paraId="7FB64B11" w14:textId="77777777" w:rsidR="005F5674" w:rsidRDefault="005F5674">
      <w:pPr>
        <w:ind w:firstLine="720"/>
      </w:pPr>
    </w:p>
    <w:p w14:paraId="0F6ABA13" w14:textId="77777777" w:rsidR="005F5674" w:rsidRDefault="00680ADE">
      <w:pPr>
        <w:ind w:firstLine="720"/>
      </w:pPr>
      <w:r>
        <w:t>25.5.3</w:t>
      </w:r>
      <w:r>
        <w:tab/>
        <w:t>comply with any health and safety measures implemented by the Buyer</w:t>
      </w:r>
    </w:p>
    <w:p w14:paraId="0C712354" w14:textId="77777777" w:rsidR="005F5674" w:rsidRDefault="005F5674">
      <w:pPr>
        <w:ind w:firstLine="720"/>
      </w:pPr>
    </w:p>
    <w:p w14:paraId="6B64F85F" w14:textId="77777777" w:rsidR="005F5674" w:rsidRDefault="00680ADE">
      <w:pPr>
        <w:ind w:left="1440" w:hanging="720"/>
      </w:pPr>
      <w:r>
        <w:t>25.5.4</w:t>
      </w:r>
      <w:r>
        <w:tab/>
        <w:t>immediately notify the Buyer of any incident on the premises that causes any damage to Property which could cause personal injury</w:t>
      </w:r>
    </w:p>
    <w:p w14:paraId="1B9950D2" w14:textId="77777777" w:rsidR="005F5674" w:rsidRDefault="005F5674">
      <w:pPr>
        <w:ind w:left="720" w:firstLine="720"/>
      </w:pPr>
    </w:p>
    <w:p w14:paraId="63BE48F3" w14:textId="77777777" w:rsidR="005F5674" w:rsidRDefault="00680ADE">
      <w:pPr>
        <w:ind w:left="720" w:hanging="720"/>
      </w:pPr>
      <w:r>
        <w:t>25.6</w:t>
      </w:r>
      <w:r>
        <w:tab/>
        <w:t>The Supplier will ensure that its health and safety policy statement (as required by the Health and Safety at Work etc Act 1974) is made available to the Buyer on request.</w:t>
      </w:r>
    </w:p>
    <w:p w14:paraId="1601891E" w14:textId="77777777" w:rsidR="005F5674" w:rsidRDefault="005F5674">
      <w:pPr>
        <w:ind w:left="720" w:hanging="720"/>
      </w:pPr>
    </w:p>
    <w:p w14:paraId="53F5FA85" w14:textId="77777777" w:rsidR="005F5674" w:rsidRDefault="00680ADE">
      <w:pPr>
        <w:pStyle w:val="Heading3"/>
        <w:rPr>
          <w:color w:val="auto"/>
        </w:rPr>
      </w:pPr>
      <w:r>
        <w:rPr>
          <w:color w:val="auto"/>
        </w:rPr>
        <w:t>26.</w:t>
      </w:r>
      <w:r>
        <w:rPr>
          <w:color w:val="auto"/>
        </w:rPr>
        <w:tab/>
        <w:t>Equipment</w:t>
      </w:r>
    </w:p>
    <w:p w14:paraId="1E98AA1E" w14:textId="77777777" w:rsidR="005F5674" w:rsidRDefault="00680ADE">
      <w:pPr>
        <w:spacing w:before="240" w:after="240"/>
      </w:pPr>
      <w:r>
        <w:t>26.1</w:t>
      </w:r>
      <w:r>
        <w:tab/>
        <w:t>The Supplier is responsible for providing any Equipment which the Supplier requires to provide the Services.</w:t>
      </w:r>
    </w:p>
    <w:p w14:paraId="61C306A8" w14:textId="77777777" w:rsidR="005F5674" w:rsidRDefault="005F5674">
      <w:pPr>
        <w:ind w:firstLine="720"/>
      </w:pPr>
    </w:p>
    <w:p w14:paraId="11E338FF" w14:textId="77777777" w:rsidR="005F5674" w:rsidRDefault="00680ADE">
      <w:pPr>
        <w:ind w:left="720" w:hanging="720"/>
      </w:pPr>
      <w:r>
        <w:t>26.2</w:t>
      </w:r>
      <w:r>
        <w:tab/>
        <w:t>Any Equipment brought onto the premises will be at the Supplier's own risk and the Buyer will have no liability for any loss of, or damage to, any Equipment.</w:t>
      </w:r>
    </w:p>
    <w:p w14:paraId="550E3992" w14:textId="77777777" w:rsidR="005F5674" w:rsidRDefault="005F5674">
      <w:pPr>
        <w:ind w:firstLine="720"/>
      </w:pPr>
    </w:p>
    <w:p w14:paraId="1DC372F4" w14:textId="77777777" w:rsidR="005F5674" w:rsidRDefault="00680ADE">
      <w:pPr>
        <w:ind w:left="720" w:hanging="720"/>
      </w:pPr>
      <w:r>
        <w:t>26.3</w:t>
      </w:r>
      <w:r>
        <w:tab/>
        <w:t>When the Call-Off Contract Ends or expires, the Supplier will remove the Equipment and any other materials leaving the premises in a safe and clean condition.</w:t>
      </w:r>
    </w:p>
    <w:p w14:paraId="6E1DB71B" w14:textId="77777777" w:rsidR="005F5674" w:rsidRDefault="005F5674">
      <w:pPr>
        <w:ind w:left="720" w:hanging="720"/>
      </w:pPr>
    </w:p>
    <w:p w14:paraId="0506770E" w14:textId="77777777" w:rsidR="005F5674" w:rsidRDefault="00680ADE">
      <w:pPr>
        <w:pStyle w:val="Heading3"/>
        <w:rPr>
          <w:color w:val="auto"/>
        </w:rPr>
      </w:pPr>
      <w:r>
        <w:rPr>
          <w:color w:val="auto"/>
        </w:rPr>
        <w:t>27.</w:t>
      </w:r>
      <w:r>
        <w:rPr>
          <w:color w:val="auto"/>
        </w:rPr>
        <w:tab/>
        <w:t>The Contracts (Rights of Third Parties) Act 1999</w:t>
      </w:r>
    </w:p>
    <w:p w14:paraId="64120B75" w14:textId="77777777" w:rsidR="005F5674" w:rsidRDefault="005F5674"/>
    <w:p w14:paraId="234E6A43" w14:textId="77777777" w:rsidR="005F5674" w:rsidRDefault="00680ADE">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124F4F41" w14:textId="77777777" w:rsidR="005F5674" w:rsidRDefault="005F5674">
      <w:pPr>
        <w:ind w:left="720" w:hanging="720"/>
      </w:pPr>
    </w:p>
    <w:p w14:paraId="07A02BF6" w14:textId="77777777" w:rsidR="005F5674" w:rsidRDefault="00680ADE">
      <w:pPr>
        <w:pStyle w:val="Heading3"/>
        <w:rPr>
          <w:color w:val="auto"/>
        </w:rPr>
      </w:pPr>
      <w:r>
        <w:rPr>
          <w:color w:val="auto"/>
        </w:rPr>
        <w:t>28.</w:t>
      </w:r>
      <w:r>
        <w:rPr>
          <w:color w:val="auto"/>
        </w:rPr>
        <w:tab/>
        <w:t>Environmental requirements</w:t>
      </w:r>
    </w:p>
    <w:p w14:paraId="26C32A73" w14:textId="77777777" w:rsidR="005F5674" w:rsidRDefault="00680ADE">
      <w:pPr>
        <w:ind w:left="720" w:hanging="720"/>
      </w:pPr>
      <w:r>
        <w:t>28.1</w:t>
      </w:r>
      <w:r>
        <w:tab/>
        <w:t>The Buyer will provide a copy of its environmental policy to the Supplier on request, which the Supplier will comply with.</w:t>
      </w:r>
    </w:p>
    <w:p w14:paraId="28404C74" w14:textId="77777777" w:rsidR="005F5674" w:rsidRDefault="005F5674">
      <w:pPr>
        <w:ind w:firstLine="720"/>
      </w:pPr>
    </w:p>
    <w:p w14:paraId="45C1CD57" w14:textId="77777777" w:rsidR="005F5674" w:rsidRDefault="00680ADE">
      <w:pPr>
        <w:ind w:left="720" w:hanging="720"/>
      </w:pPr>
      <w:r>
        <w:t>28.2</w:t>
      </w:r>
      <w:r>
        <w:tab/>
        <w:t>The Supplier must provide reasonable support to enable Buyers to work in an environmentally friendly way, for example by helping them recycle or lower their carbon footprint.</w:t>
      </w:r>
    </w:p>
    <w:p w14:paraId="36EF5C38" w14:textId="77777777" w:rsidR="005F5674" w:rsidRDefault="005F5674">
      <w:pPr>
        <w:ind w:left="720" w:hanging="720"/>
      </w:pPr>
    </w:p>
    <w:p w14:paraId="17B1B37A" w14:textId="77777777" w:rsidR="005F5674" w:rsidRDefault="00680ADE">
      <w:pPr>
        <w:pStyle w:val="Heading3"/>
        <w:rPr>
          <w:color w:val="auto"/>
        </w:rPr>
      </w:pPr>
      <w:r>
        <w:rPr>
          <w:color w:val="auto"/>
        </w:rPr>
        <w:lastRenderedPageBreak/>
        <w:t>29.</w:t>
      </w:r>
      <w:r>
        <w:rPr>
          <w:color w:val="auto"/>
        </w:rPr>
        <w:tab/>
        <w:t>The Employment Regulations (TUPE)</w:t>
      </w:r>
    </w:p>
    <w:p w14:paraId="173F0EB6" w14:textId="77777777" w:rsidR="005F5674" w:rsidRDefault="00680ADE">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69242937" w14:textId="77777777" w:rsidR="005F5674" w:rsidRDefault="005F5674">
      <w:pPr>
        <w:ind w:left="720"/>
      </w:pPr>
    </w:p>
    <w:p w14:paraId="2B4E1FAA" w14:textId="77777777" w:rsidR="005F5674" w:rsidRDefault="00680ADE">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6F2179D2" w14:textId="77777777" w:rsidR="005F5674" w:rsidRDefault="005F5674">
      <w:pPr>
        <w:ind w:left="720"/>
      </w:pPr>
    </w:p>
    <w:p w14:paraId="724B6EEA" w14:textId="77777777" w:rsidR="005F5674" w:rsidRDefault="00680ADE">
      <w:pPr>
        <w:ind w:firstLine="720"/>
      </w:pPr>
      <w:r>
        <w:t>29.2.1</w:t>
      </w:r>
      <w:r>
        <w:tab/>
      </w:r>
      <w:r>
        <w:tab/>
        <w:t>the activities they perform</w:t>
      </w:r>
    </w:p>
    <w:p w14:paraId="52EAEA23" w14:textId="77777777" w:rsidR="005F5674" w:rsidRDefault="00680ADE">
      <w:pPr>
        <w:ind w:firstLine="720"/>
      </w:pPr>
      <w:r>
        <w:t>29.2.2</w:t>
      </w:r>
      <w:r>
        <w:tab/>
      </w:r>
      <w:r>
        <w:tab/>
        <w:t>age</w:t>
      </w:r>
    </w:p>
    <w:p w14:paraId="1925268C" w14:textId="77777777" w:rsidR="005F5674" w:rsidRDefault="00680ADE">
      <w:pPr>
        <w:ind w:firstLine="720"/>
      </w:pPr>
      <w:r>
        <w:t>29.2.3</w:t>
      </w:r>
      <w:r>
        <w:tab/>
      </w:r>
      <w:r>
        <w:tab/>
        <w:t>start date</w:t>
      </w:r>
    </w:p>
    <w:p w14:paraId="41447691" w14:textId="77777777" w:rsidR="005F5674" w:rsidRDefault="00680ADE">
      <w:pPr>
        <w:ind w:firstLine="720"/>
      </w:pPr>
      <w:r>
        <w:t>29.2.4</w:t>
      </w:r>
      <w:r>
        <w:tab/>
      </w:r>
      <w:r>
        <w:tab/>
        <w:t>place of work</w:t>
      </w:r>
    </w:p>
    <w:p w14:paraId="7A856ADE" w14:textId="77777777" w:rsidR="005F5674" w:rsidRDefault="00680ADE">
      <w:pPr>
        <w:ind w:firstLine="720"/>
      </w:pPr>
      <w:r>
        <w:t>29.2.5</w:t>
      </w:r>
      <w:r>
        <w:tab/>
      </w:r>
      <w:r>
        <w:tab/>
        <w:t>notice period</w:t>
      </w:r>
    </w:p>
    <w:p w14:paraId="6B61D0D0" w14:textId="77777777" w:rsidR="005F5674" w:rsidRDefault="00680ADE">
      <w:pPr>
        <w:ind w:firstLine="720"/>
      </w:pPr>
      <w:r>
        <w:t>29.2.6</w:t>
      </w:r>
      <w:r>
        <w:tab/>
      </w:r>
      <w:r>
        <w:tab/>
        <w:t>redundancy payment entitlement</w:t>
      </w:r>
    </w:p>
    <w:p w14:paraId="2294B9AB" w14:textId="77777777" w:rsidR="005F5674" w:rsidRDefault="00680ADE">
      <w:pPr>
        <w:ind w:firstLine="720"/>
      </w:pPr>
      <w:r>
        <w:t>29.2.7</w:t>
      </w:r>
      <w:r>
        <w:tab/>
      </w:r>
      <w:r>
        <w:tab/>
        <w:t xml:space="preserve">salary, </w:t>
      </w:r>
      <w:proofErr w:type="gramStart"/>
      <w:r>
        <w:t>benefits</w:t>
      </w:r>
      <w:proofErr w:type="gramEnd"/>
      <w:r>
        <w:t xml:space="preserve"> and pension entitlements</w:t>
      </w:r>
    </w:p>
    <w:p w14:paraId="3EA3A392" w14:textId="77777777" w:rsidR="005F5674" w:rsidRDefault="00680ADE">
      <w:pPr>
        <w:ind w:firstLine="720"/>
      </w:pPr>
      <w:r>
        <w:t>29.2.8</w:t>
      </w:r>
      <w:r>
        <w:tab/>
      </w:r>
      <w:r>
        <w:tab/>
        <w:t>employment status</w:t>
      </w:r>
    </w:p>
    <w:p w14:paraId="26C6F8B3" w14:textId="77777777" w:rsidR="005F5674" w:rsidRDefault="00680ADE">
      <w:pPr>
        <w:ind w:firstLine="720"/>
      </w:pPr>
      <w:r>
        <w:t>29.2.9</w:t>
      </w:r>
      <w:r>
        <w:tab/>
      </w:r>
      <w:r>
        <w:tab/>
        <w:t>identity of employer</w:t>
      </w:r>
    </w:p>
    <w:p w14:paraId="3A3FAAA4" w14:textId="77777777" w:rsidR="005F5674" w:rsidRDefault="00680ADE">
      <w:pPr>
        <w:ind w:firstLine="720"/>
      </w:pPr>
      <w:r>
        <w:t>29.2.10</w:t>
      </w:r>
      <w:r>
        <w:tab/>
        <w:t>working arrangements</w:t>
      </w:r>
    </w:p>
    <w:p w14:paraId="37823796" w14:textId="77777777" w:rsidR="005F5674" w:rsidRDefault="00680ADE">
      <w:pPr>
        <w:ind w:firstLine="720"/>
      </w:pPr>
      <w:r>
        <w:t>29.2.11</w:t>
      </w:r>
      <w:r>
        <w:tab/>
        <w:t>outstanding liabilities</w:t>
      </w:r>
    </w:p>
    <w:p w14:paraId="199B3F73" w14:textId="77777777" w:rsidR="005F5674" w:rsidRDefault="00680ADE">
      <w:pPr>
        <w:ind w:firstLine="720"/>
      </w:pPr>
      <w:r>
        <w:t>29.2.12</w:t>
      </w:r>
      <w:r>
        <w:tab/>
        <w:t>sickness absence</w:t>
      </w:r>
    </w:p>
    <w:p w14:paraId="73DDDCF7" w14:textId="77777777" w:rsidR="005F5674" w:rsidRDefault="00680ADE">
      <w:pPr>
        <w:ind w:firstLine="720"/>
      </w:pPr>
      <w:r>
        <w:t>29.2.13</w:t>
      </w:r>
      <w:r>
        <w:tab/>
        <w:t>copies of all relevant employment contracts and related documents</w:t>
      </w:r>
    </w:p>
    <w:p w14:paraId="2172E6CB" w14:textId="77777777" w:rsidR="005F5674" w:rsidRDefault="00680ADE">
      <w:pPr>
        <w:ind w:firstLine="720"/>
      </w:pPr>
      <w:r>
        <w:t>29.2.14</w:t>
      </w:r>
      <w:r>
        <w:tab/>
        <w:t>all information required under regulation 11 of TUPE or as reasonably</w:t>
      </w:r>
    </w:p>
    <w:p w14:paraId="500CC559" w14:textId="77777777" w:rsidR="005F5674" w:rsidRDefault="00680ADE">
      <w:pPr>
        <w:ind w:left="1440" w:firstLine="720"/>
      </w:pPr>
      <w:r>
        <w:t>requested by the Buyer</w:t>
      </w:r>
    </w:p>
    <w:p w14:paraId="14FBCBBD" w14:textId="77777777" w:rsidR="005F5674" w:rsidRDefault="005F5674">
      <w:pPr>
        <w:ind w:left="720" w:firstLine="720"/>
      </w:pPr>
    </w:p>
    <w:p w14:paraId="1AC3D46D" w14:textId="77777777" w:rsidR="005F5674" w:rsidRDefault="00680ADE">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5B90701" w14:textId="77777777" w:rsidR="005F5674" w:rsidRDefault="005F5674">
      <w:pPr>
        <w:ind w:left="720"/>
      </w:pPr>
    </w:p>
    <w:p w14:paraId="064E8E0E" w14:textId="77777777" w:rsidR="005F5674" w:rsidRDefault="00680ADE">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EAC56A7" w14:textId="77777777" w:rsidR="005F5674" w:rsidRDefault="005F5674">
      <w:pPr>
        <w:ind w:left="720"/>
      </w:pPr>
    </w:p>
    <w:p w14:paraId="0484F48D" w14:textId="77777777" w:rsidR="005F5674" w:rsidRDefault="00680ADE">
      <w:pPr>
        <w:ind w:left="720" w:hanging="720"/>
      </w:pPr>
      <w:r>
        <w:t>29.5</w:t>
      </w:r>
      <w:r>
        <w:tab/>
        <w:t>The Supplier will co-operate with the re-tendering of this Call-Off Contract by allowing the Replacement Supplier to communicate with and meet the affected employees or their representatives.</w:t>
      </w:r>
    </w:p>
    <w:p w14:paraId="7BA67B51" w14:textId="77777777" w:rsidR="005F5674" w:rsidRDefault="005F5674">
      <w:pPr>
        <w:ind w:left="720"/>
      </w:pPr>
    </w:p>
    <w:p w14:paraId="3CD5D82C" w14:textId="77777777" w:rsidR="005F5674" w:rsidRDefault="00680ADE">
      <w:pPr>
        <w:ind w:left="720" w:hanging="720"/>
      </w:pPr>
      <w:r>
        <w:t>29.6</w:t>
      </w:r>
      <w:r>
        <w:tab/>
        <w:t>The Supplier will indemnify the Buyer or any Replacement Supplier for all Loss arising from both:</w:t>
      </w:r>
    </w:p>
    <w:p w14:paraId="72D2F2AA" w14:textId="77777777" w:rsidR="005F5674" w:rsidRDefault="005F5674">
      <w:pPr>
        <w:ind w:firstLine="720"/>
      </w:pPr>
    </w:p>
    <w:p w14:paraId="21B44611" w14:textId="77777777" w:rsidR="005F5674" w:rsidRDefault="00680ADE">
      <w:pPr>
        <w:ind w:firstLine="720"/>
      </w:pPr>
      <w:r>
        <w:t>29.6.1</w:t>
      </w:r>
      <w:r>
        <w:tab/>
        <w:t>its failure to comply with the provisions of this clause</w:t>
      </w:r>
    </w:p>
    <w:p w14:paraId="1BF0B9A4" w14:textId="77777777" w:rsidR="005F5674" w:rsidRDefault="005F5674">
      <w:pPr>
        <w:ind w:firstLine="720"/>
      </w:pPr>
    </w:p>
    <w:p w14:paraId="7D0E9CA5" w14:textId="77777777" w:rsidR="005F5674" w:rsidRDefault="00680ADE">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349C5E81" w14:textId="77777777" w:rsidR="005F5674" w:rsidRDefault="005F5674">
      <w:pPr>
        <w:ind w:left="1440"/>
      </w:pPr>
    </w:p>
    <w:p w14:paraId="6DE23860" w14:textId="77777777" w:rsidR="005F5674" w:rsidRDefault="00680ADE">
      <w:pPr>
        <w:ind w:left="720" w:hanging="720"/>
      </w:pPr>
      <w:r>
        <w:lastRenderedPageBreak/>
        <w:t>29.7</w:t>
      </w:r>
      <w:r>
        <w:tab/>
        <w:t>The provisions of this clause apply during the Term of this Call-Off Contract and indefinitely after it Ends or expires.</w:t>
      </w:r>
    </w:p>
    <w:p w14:paraId="1A99BFF3" w14:textId="77777777" w:rsidR="005F5674" w:rsidRDefault="005F5674">
      <w:pPr>
        <w:ind w:firstLine="720"/>
      </w:pPr>
    </w:p>
    <w:p w14:paraId="17659789" w14:textId="77777777" w:rsidR="005F5674" w:rsidRDefault="00680ADE">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2F731679" w14:textId="77777777" w:rsidR="005F5674" w:rsidRDefault="005F5674">
      <w:pPr>
        <w:ind w:left="720" w:hanging="720"/>
      </w:pPr>
    </w:p>
    <w:p w14:paraId="6D31E02B" w14:textId="77777777" w:rsidR="005F5674" w:rsidRDefault="00680ADE">
      <w:pPr>
        <w:pStyle w:val="Heading3"/>
        <w:rPr>
          <w:color w:val="auto"/>
        </w:rPr>
      </w:pPr>
      <w:r>
        <w:rPr>
          <w:color w:val="auto"/>
        </w:rPr>
        <w:t>30.</w:t>
      </w:r>
      <w:r>
        <w:rPr>
          <w:color w:val="auto"/>
        </w:rPr>
        <w:tab/>
        <w:t>Additional G-Cloud services</w:t>
      </w:r>
    </w:p>
    <w:p w14:paraId="2D71C503" w14:textId="77777777" w:rsidR="005F5674" w:rsidRDefault="00680ADE">
      <w:pPr>
        <w:ind w:left="720" w:hanging="720"/>
      </w:pPr>
      <w:r>
        <w:t>30.1</w:t>
      </w:r>
      <w:r>
        <w:tab/>
        <w:t xml:space="preserve"> T</w:t>
      </w:r>
      <w:r>
        <w:rPr>
          <w:rFonts w:eastAsia="Times New Roman"/>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lang w:eastAsia="en-US"/>
        </w:rPr>
        <w:t>similar to</w:t>
      </w:r>
      <w:proofErr w:type="gramEnd"/>
      <w:r>
        <w:rPr>
          <w:rFonts w:eastAsia="Times New Roman"/>
          <w:lang w:eastAsia="en-US"/>
        </w:rPr>
        <w:t xml:space="preserve"> the Additional Services from any third party.</w:t>
      </w:r>
    </w:p>
    <w:p w14:paraId="009FD371" w14:textId="77777777" w:rsidR="005F5674" w:rsidRDefault="005F5674">
      <w:pPr>
        <w:ind w:left="720"/>
      </w:pPr>
    </w:p>
    <w:p w14:paraId="0E7F573E" w14:textId="77777777" w:rsidR="005F5674" w:rsidRDefault="00680ADE">
      <w:pPr>
        <w:ind w:left="720" w:hanging="720"/>
      </w:pPr>
      <w:r>
        <w:t>30.2</w:t>
      </w:r>
      <w:r>
        <w:tab/>
        <w:t>If reasonably requested to do so by the Buyer in the Order Form, the Supplier must provide and monitor performance of the Additional Services using an Implementation Plan.</w:t>
      </w:r>
    </w:p>
    <w:p w14:paraId="46429A0D" w14:textId="77777777" w:rsidR="005F5674" w:rsidRDefault="005F5674">
      <w:pPr>
        <w:ind w:left="720" w:hanging="720"/>
      </w:pPr>
    </w:p>
    <w:p w14:paraId="041CB05E" w14:textId="77777777" w:rsidR="005F5674" w:rsidRDefault="00680ADE">
      <w:pPr>
        <w:pStyle w:val="Heading3"/>
        <w:rPr>
          <w:color w:val="auto"/>
        </w:rPr>
      </w:pPr>
      <w:r>
        <w:rPr>
          <w:color w:val="auto"/>
        </w:rPr>
        <w:t>31.</w:t>
      </w:r>
      <w:r>
        <w:rPr>
          <w:color w:val="auto"/>
        </w:rPr>
        <w:tab/>
        <w:t>Collaboration</w:t>
      </w:r>
    </w:p>
    <w:p w14:paraId="5BA6B474" w14:textId="77777777" w:rsidR="005F5674" w:rsidRDefault="00680ADE">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2565A9B9" w14:textId="77777777" w:rsidR="005F5674" w:rsidRDefault="005F5674">
      <w:pPr>
        <w:ind w:left="720"/>
      </w:pPr>
    </w:p>
    <w:p w14:paraId="482CE10B" w14:textId="77777777" w:rsidR="005F5674" w:rsidRDefault="00680ADE">
      <w:r>
        <w:t>31.2</w:t>
      </w:r>
      <w:r>
        <w:tab/>
        <w:t>In addition to any obligations under the Collaboration Agreement, the Supplier must:</w:t>
      </w:r>
    </w:p>
    <w:p w14:paraId="7CC23DBB" w14:textId="77777777" w:rsidR="005F5674" w:rsidRDefault="005F5674"/>
    <w:p w14:paraId="42C72DDD" w14:textId="77777777" w:rsidR="005F5674" w:rsidRDefault="00680ADE">
      <w:pPr>
        <w:ind w:firstLine="720"/>
      </w:pPr>
      <w:r>
        <w:t>31.2.1</w:t>
      </w:r>
      <w:r>
        <w:tab/>
        <w:t>work proactively and in good faith with each of the Buyer’s contractors</w:t>
      </w:r>
    </w:p>
    <w:p w14:paraId="6E3745BC" w14:textId="77777777" w:rsidR="005F5674" w:rsidRDefault="005F5674">
      <w:pPr>
        <w:ind w:firstLine="720"/>
      </w:pPr>
    </w:p>
    <w:p w14:paraId="597B1DF4" w14:textId="77777777" w:rsidR="005F5674" w:rsidRDefault="00680ADE">
      <w:pPr>
        <w:ind w:left="1440" w:hanging="720"/>
      </w:pPr>
      <w:r>
        <w:t>31.2.2</w:t>
      </w:r>
      <w:r>
        <w:tab/>
        <w:t>co-operate and share information with the Buyer’s contractors to enable the efficient operation of the Buyer’s ICT services and G-Cloud Services</w:t>
      </w:r>
    </w:p>
    <w:p w14:paraId="6338FFC4" w14:textId="77777777" w:rsidR="005F5674" w:rsidRDefault="005F5674">
      <w:pPr>
        <w:ind w:left="1440" w:hanging="720"/>
      </w:pPr>
    </w:p>
    <w:p w14:paraId="1CB8F226" w14:textId="77777777" w:rsidR="005F5674" w:rsidRDefault="00680ADE">
      <w:pPr>
        <w:pStyle w:val="Heading3"/>
        <w:rPr>
          <w:color w:val="auto"/>
        </w:rPr>
      </w:pPr>
      <w:r>
        <w:rPr>
          <w:color w:val="auto"/>
        </w:rPr>
        <w:t>32.</w:t>
      </w:r>
      <w:r>
        <w:rPr>
          <w:color w:val="auto"/>
        </w:rPr>
        <w:tab/>
        <w:t>Variation process</w:t>
      </w:r>
    </w:p>
    <w:p w14:paraId="7E2E5D83" w14:textId="77777777" w:rsidR="005F5674" w:rsidRDefault="00680ADE">
      <w:pPr>
        <w:ind w:left="720" w:hanging="720"/>
      </w:pPr>
      <w:r>
        <w:t>32.1</w:t>
      </w:r>
      <w:r>
        <w:tab/>
        <w:t>The Buyer can request in writing a change to this Call-Off Contract if it isn’t a material change to the Framework Agreement/or this Call-Off Contract. Once implemented, it is called a Variation.</w:t>
      </w:r>
    </w:p>
    <w:p w14:paraId="53C67641" w14:textId="77777777" w:rsidR="005F5674" w:rsidRDefault="005F5674">
      <w:pPr>
        <w:ind w:left="720"/>
      </w:pPr>
    </w:p>
    <w:p w14:paraId="7FB38BA1" w14:textId="77777777" w:rsidR="005F5674" w:rsidRDefault="00680ADE">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26008E89" w14:textId="77777777" w:rsidR="005F5674" w:rsidRDefault="005F5674"/>
    <w:p w14:paraId="7E68D8BC" w14:textId="77777777" w:rsidR="005F5674" w:rsidRDefault="00680ADE">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174FA2A1" w14:textId="77777777" w:rsidR="005F5674" w:rsidRDefault="005F5674">
      <w:pPr>
        <w:ind w:left="720" w:hanging="720"/>
      </w:pPr>
    </w:p>
    <w:p w14:paraId="651EB78E" w14:textId="77777777" w:rsidR="005F5674" w:rsidRDefault="00680ADE">
      <w:pPr>
        <w:pStyle w:val="Heading3"/>
        <w:rPr>
          <w:color w:val="auto"/>
        </w:rPr>
      </w:pPr>
      <w:r>
        <w:rPr>
          <w:color w:val="auto"/>
        </w:rPr>
        <w:t>33.</w:t>
      </w:r>
      <w:r>
        <w:rPr>
          <w:color w:val="auto"/>
        </w:rPr>
        <w:tab/>
        <w:t>Data Protection Legislation (GDPR)</w:t>
      </w:r>
    </w:p>
    <w:p w14:paraId="66749DD9" w14:textId="77777777" w:rsidR="005F5674" w:rsidRDefault="00680ADE">
      <w:pPr>
        <w:ind w:left="720" w:hanging="720"/>
      </w:pPr>
      <w:r>
        <w:t>33.1</w:t>
      </w:r>
      <w:r>
        <w:tab/>
        <w:t xml:space="preserve">Pursuant to clause 2.1 and for the avoidance of doubt, clauses 8.59 and 8.60 of the Framework Agreement are incorporated into this Call-Off Contract. For reference, the </w:t>
      </w:r>
      <w:r>
        <w:lastRenderedPageBreak/>
        <w:t>appropriate GDPR templates which are required to be completed in accordance with clauses 8.59 and 8.60 are reproduced in this Call-Off Contract document at schedule 7.</w:t>
      </w:r>
    </w:p>
    <w:p w14:paraId="22D870D0" w14:textId="77777777" w:rsidR="005F5674" w:rsidRDefault="005F5674"/>
    <w:p w14:paraId="646CB360" w14:textId="77777777" w:rsidR="005F5674" w:rsidRDefault="005F5674">
      <w:pPr>
        <w:pageBreakBefore/>
        <w:rPr>
          <w:b/>
        </w:rPr>
      </w:pPr>
    </w:p>
    <w:p w14:paraId="392A6595" w14:textId="77777777" w:rsidR="005F5674" w:rsidRDefault="00680ADE">
      <w:pPr>
        <w:pStyle w:val="Heading2"/>
      </w:pPr>
      <w:bookmarkStart w:id="21" w:name="_Toc33176236"/>
      <w:r>
        <w:t>Schedule 3: Collaboration agreement</w:t>
      </w:r>
      <w:bookmarkEnd w:id="21"/>
    </w:p>
    <w:p w14:paraId="2A87DAB3" w14:textId="77777777" w:rsidR="005F5674" w:rsidRDefault="00680ADE">
      <w:r>
        <w:t>This agreement is made on [enter date]</w:t>
      </w:r>
    </w:p>
    <w:p w14:paraId="38DDC923" w14:textId="77777777" w:rsidR="005F5674" w:rsidRDefault="005F5674"/>
    <w:p w14:paraId="2F7A21D3" w14:textId="77777777" w:rsidR="005F5674" w:rsidRDefault="00680ADE">
      <w:r>
        <w:t>between:</w:t>
      </w:r>
    </w:p>
    <w:p w14:paraId="7B707AE2" w14:textId="77777777" w:rsidR="005F5674" w:rsidRDefault="005F5674"/>
    <w:p w14:paraId="25272B23" w14:textId="77777777" w:rsidR="005F5674" w:rsidRDefault="00680ADE">
      <w:r>
        <w:t>1)</w:t>
      </w:r>
      <w:r>
        <w:tab/>
        <w:t>[Buyer name] of [Buyer address] (the Buyer)</w:t>
      </w:r>
    </w:p>
    <w:p w14:paraId="6AAE9B14" w14:textId="77777777" w:rsidR="005F5674" w:rsidRDefault="005F5674"/>
    <w:p w14:paraId="47804567" w14:textId="77777777" w:rsidR="005F5674" w:rsidRDefault="00680ADE">
      <w:pPr>
        <w:ind w:left="720" w:hanging="720"/>
      </w:pPr>
      <w:r>
        <w:t>2)</w:t>
      </w:r>
      <w:r>
        <w:tab/>
        <w:t>[Company name] a company incorporated in [company address] under [registration number], whose registered office is at [registered address]</w:t>
      </w:r>
    </w:p>
    <w:p w14:paraId="1EF352EB" w14:textId="77777777" w:rsidR="005F5674" w:rsidRDefault="005F5674"/>
    <w:p w14:paraId="77C0B452" w14:textId="77777777" w:rsidR="005F5674" w:rsidRDefault="00680ADE">
      <w:pPr>
        <w:ind w:left="720" w:hanging="720"/>
      </w:pPr>
      <w:r>
        <w:t>3)</w:t>
      </w:r>
      <w:r>
        <w:tab/>
        <w:t>[Company name] a company incorporated in [company address] under [registration number], whose registered office is at [registered address]</w:t>
      </w:r>
    </w:p>
    <w:p w14:paraId="36D29B69" w14:textId="77777777" w:rsidR="005F5674" w:rsidRDefault="005F5674"/>
    <w:p w14:paraId="48A0DB18" w14:textId="77777777" w:rsidR="005F5674" w:rsidRDefault="00680ADE">
      <w:pPr>
        <w:ind w:left="720" w:hanging="720"/>
      </w:pPr>
      <w:r>
        <w:t>4)</w:t>
      </w:r>
      <w:r>
        <w:tab/>
        <w:t>[Company name] a company incorporated in [company address] under [registration number], whose registered office is at [registered address]</w:t>
      </w:r>
    </w:p>
    <w:p w14:paraId="5E01FA4A" w14:textId="77777777" w:rsidR="005F5674" w:rsidRDefault="005F5674"/>
    <w:p w14:paraId="0CEBC92B" w14:textId="77777777" w:rsidR="005F5674" w:rsidRDefault="00680ADE">
      <w:pPr>
        <w:ind w:left="720" w:hanging="720"/>
      </w:pPr>
      <w:r>
        <w:t>5)</w:t>
      </w:r>
      <w:r>
        <w:tab/>
        <w:t>[Company name] a company incorporated in [company address] under [registration number], whose registered office is at [registered address]</w:t>
      </w:r>
    </w:p>
    <w:p w14:paraId="4C9139C2" w14:textId="77777777" w:rsidR="005F5674" w:rsidRDefault="005F5674">
      <w:pPr>
        <w:ind w:firstLine="720"/>
      </w:pPr>
    </w:p>
    <w:p w14:paraId="7A6197B9" w14:textId="77777777" w:rsidR="005F5674" w:rsidRDefault="00680ADE">
      <w:pPr>
        <w:ind w:left="720" w:hanging="720"/>
      </w:pPr>
      <w:r>
        <w:t>6)</w:t>
      </w:r>
      <w:r>
        <w:tab/>
        <w:t>[Company name] a company incorporated in [company address] under [registration number], whose registered office is at [registered address] together (the Collaboration Suppliers and each of them a Collaboration Supplier).</w:t>
      </w:r>
    </w:p>
    <w:p w14:paraId="0D0682A8" w14:textId="77777777" w:rsidR="005F5674" w:rsidRDefault="005F5674"/>
    <w:p w14:paraId="4DCF109E" w14:textId="77777777" w:rsidR="005F5674" w:rsidRDefault="00680ADE">
      <w:pPr>
        <w:spacing w:after="120"/>
      </w:pPr>
      <w:r>
        <w:t>Whereas the:</w:t>
      </w:r>
    </w:p>
    <w:p w14:paraId="1BBD4FF9" w14:textId="77777777" w:rsidR="005F5674" w:rsidRDefault="00680ADE">
      <w:pPr>
        <w:numPr>
          <w:ilvl w:val="0"/>
          <w:numId w:val="12"/>
        </w:numPr>
      </w:pPr>
      <w:r>
        <w:t xml:space="preserve">Buyer and the Collaboration Suppliers have </w:t>
      </w:r>
      <w:proofErr w:type="gramStart"/>
      <w:r>
        <w:t>entered into</w:t>
      </w:r>
      <w:proofErr w:type="gramEnd"/>
      <w:r>
        <w:t xml:space="preserve"> the Call-Off Contracts (defined below) for the provision of various IT and telecommunications (ICT) services</w:t>
      </w:r>
    </w:p>
    <w:p w14:paraId="48B1BD60" w14:textId="77777777" w:rsidR="005F5674" w:rsidRDefault="00680ADE">
      <w:pPr>
        <w:numPr>
          <w:ilvl w:val="0"/>
          <w:numId w:val="12"/>
        </w:numPr>
      </w:pPr>
      <w:r>
        <w:t>Collaboration Suppliers now wish to provide for the ongoing cooperation of the Collaboration Suppliers in the provision of services under their respective Call-Off Contract to the Buyer</w:t>
      </w:r>
    </w:p>
    <w:p w14:paraId="65BAF55F" w14:textId="77777777" w:rsidR="005F5674" w:rsidRDefault="005F5674">
      <w:pPr>
        <w:ind w:left="720"/>
      </w:pPr>
    </w:p>
    <w:p w14:paraId="5064341F" w14:textId="77777777" w:rsidR="005F5674" w:rsidRDefault="00680ADE">
      <w:r>
        <w:t>In consideration of the mutual covenants contained in the Call-Off Contracts and this Agreement and intending to be legally bound, the parties agree as follows:</w:t>
      </w:r>
    </w:p>
    <w:p w14:paraId="2F3077B5" w14:textId="77777777" w:rsidR="005F5674" w:rsidRDefault="00680ADE">
      <w:pPr>
        <w:pStyle w:val="Heading3"/>
        <w:rPr>
          <w:color w:val="auto"/>
        </w:rPr>
      </w:pPr>
      <w:r>
        <w:rPr>
          <w:color w:val="auto"/>
        </w:rPr>
        <w:t>1.</w:t>
      </w:r>
      <w:r>
        <w:rPr>
          <w:color w:val="auto"/>
        </w:rPr>
        <w:tab/>
        <w:t>Definitions and interpretation</w:t>
      </w:r>
    </w:p>
    <w:p w14:paraId="716D2A8D" w14:textId="77777777" w:rsidR="005F5674" w:rsidRDefault="00680ADE">
      <w:pPr>
        <w:ind w:left="720" w:hanging="720"/>
      </w:pPr>
      <w:r>
        <w:t>1.1</w:t>
      </w:r>
      <w:r>
        <w:tab/>
        <w:t>As used in this Agreement, the capitalised expressions will have the following meanings unless the context requires otherwise:</w:t>
      </w:r>
    </w:p>
    <w:p w14:paraId="04064E39" w14:textId="77777777" w:rsidR="005F5674" w:rsidRDefault="005F5674">
      <w:pPr>
        <w:ind w:firstLine="720"/>
      </w:pPr>
    </w:p>
    <w:p w14:paraId="00F3A2DF" w14:textId="77777777" w:rsidR="005F5674" w:rsidRDefault="00680ADE">
      <w:pPr>
        <w:ind w:left="1440" w:hanging="720"/>
      </w:pPr>
      <w:r>
        <w:t>1.1.1</w:t>
      </w:r>
      <w:r>
        <w:tab/>
        <w:t>“Agreement” means this collaboration agreement, containing the Clauses and Schedules</w:t>
      </w:r>
    </w:p>
    <w:p w14:paraId="1DBC0767" w14:textId="77777777" w:rsidR="005F5674" w:rsidRDefault="005F5674">
      <w:pPr>
        <w:ind w:left="720" w:firstLine="720"/>
      </w:pPr>
    </w:p>
    <w:p w14:paraId="5174AB59" w14:textId="77777777" w:rsidR="005F5674" w:rsidRDefault="00680ADE">
      <w:pPr>
        <w:ind w:left="1440" w:hanging="720"/>
      </w:pPr>
      <w:r>
        <w:t>1.1.2</w:t>
      </w:r>
      <w:r>
        <w:tab/>
        <w:t>“Call-Off Contract” means each contract that is let by the Buyer to one of the Collaboration Suppliers</w:t>
      </w:r>
    </w:p>
    <w:p w14:paraId="03DE4BC4" w14:textId="77777777" w:rsidR="005F5674" w:rsidRDefault="00680ADE">
      <w:pPr>
        <w:ind w:left="1440" w:hanging="720"/>
      </w:pPr>
      <w:r>
        <w:t>1.1.3</w:t>
      </w:r>
      <w:r>
        <w:tab/>
        <w:t>“Contractor’s Confidential Information” has the meaning set out in the Call-Off Contracts</w:t>
      </w:r>
    </w:p>
    <w:p w14:paraId="020D5282" w14:textId="77777777" w:rsidR="005F5674" w:rsidRDefault="005F5674">
      <w:pPr>
        <w:ind w:left="720" w:firstLine="720"/>
      </w:pPr>
    </w:p>
    <w:p w14:paraId="5422F076" w14:textId="77777777" w:rsidR="005F5674" w:rsidRDefault="00680ADE">
      <w:pPr>
        <w:ind w:left="1440" w:hanging="720"/>
      </w:pPr>
      <w:r>
        <w:t>1.1.4</w:t>
      </w:r>
      <w:r>
        <w:tab/>
        <w:t>“Confidential Information” means the Buyer Confidential Information or any Collaboration Supplier's Confidential Information</w:t>
      </w:r>
    </w:p>
    <w:p w14:paraId="5B6FB14A" w14:textId="77777777" w:rsidR="005F5674" w:rsidRDefault="005F5674">
      <w:pPr>
        <w:ind w:left="720" w:firstLine="720"/>
      </w:pPr>
    </w:p>
    <w:p w14:paraId="66F14D3B" w14:textId="77777777" w:rsidR="005F5674" w:rsidRDefault="00680ADE">
      <w:pPr>
        <w:ind w:firstLine="720"/>
      </w:pPr>
      <w:r>
        <w:t>1.1.5</w:t>
      </w:r>
      <w:r>
        <w:tab/>
        <w:t>“Collaboration Activities” means the activities set out in this Agreement</w:t>
      </w:r>
    </w:p>
    <w:p w14:paraId="522CB91C" w14:textId="77777777" w:rsidR="005F5674" w:rsidRDefault="005F5674">
      <w:pPr>
        <w:ind w:firstLine="720"/>
      </w:pPr>
    </w:p>
    <w:p w14:paraId="18C6377F" w14:textId="77777777" w:rsidR="005F5674" w:rsidRDefault="00680ADE">
      <w:pPr>
        <w:ind w:firstLine="720"/>
      </w:pPr>
      <w:r>
        <w:t>1.1.6</w:t>
      </w:r>
      <w:r>
        <w:tab/>
        <w:t>“Buyer Confidential Information” has the meaning set out in the Call-Off Contract</w:t>
      </w:r>
    </w:p>
    <w:p w14:paraId="074BD231" w14:textId="77777777" w:rsidR="005F5674" w:rsidRDefault="005F5674">
      <w:pPr>
        <w:ind w:left="720" w:firstLine="720"/>
      </w:pPr>
    </w:p>
    <w:p w14:paraId="02CB471E" w14:textId="77777777" w:rsidR="005F5674" w:rsidRDefault="00680ADE">
      <w:pPr>
        <w:ind w:left="1440" w:hanging="720"/>
      </w:pPr>
      <w:r>
        <w:t>1.1.7</w:t>
      </w:r>
      <w:r>
        <w:tab/>
        <w:t xml:space="preserve">“Default” means any breach of the obligations of any Collaboration Supplier or any Default, act, omission, negligence or statement of any Collaboration Supplier, its employees, servants, </w:t>
      </w:r>
      <w:proofErr w:type="gramStart"/>
      <w:r>
        <w:t>agents</w:t>
      </w:r>
      <w:proofErr w:type="gramEnd"/>
      <w:r>
        <w:t xml:space="preserve"> or subcontractors in connection with or in relation to the subject matter of this Agreement and in respect of which such Collaboration Supplier is liable (by way of indemnity or otherwise) to the other parties</w:t>
      </w:r>
    </w:p>
    <w:p w14:paraId="4B740EE8" w14:textId="77777777" w:rsidR="005F5674" w:rsidRDefault="005F5674">
      <w:pPr>
        <w:ind w:left="1440"/>
      </w:pPr>
    </w:p>
    <w:p w14:paraId="3E6CBF4A" w14:textId="77777777" w:rsidR="005F5674" w:rsidRDefault="00680ADE">
      <w:pPr>
        <w:ind w:firstLine="720"/>
      </w:pPr>
      <w:r>
        <w:t>1.1.8</w:t>
      </w:r>
      <w:r>
        <w:tab/>
        <w:t>“Detailed Collaboration Plan” has the meaning given in clause 3.2</w:t>
      </w:r>
    </w:p>
    <w:p w14:paraId="6CF33EAA" w14:textId="77777777" w:rsidR="005F5674" w:rsidRDefault="005F5674">
      <w:pPr>
        <w:ind w:firstLine="720"/>
      </w:pPr>
    </w:p>
    <w:p w14:paraId="4AB7F638" w14:textId="77777777" w:rsidR="005F5674" w:rsidRDefault="00680ADE">
      <w:pPr>
        <w:ind w:firstLine="720"/>
      </w:pPr>
      <w:r>
        <w:t>1.1.9</w:t>
      </w:r>
      <w:r>
        <w:tab/>
        <w:t>“Dispute Resolution Process” means the process described in clause 9</w:t>
      </w:r>
    </w:p>
    <w:p w14:paraId="0E6DA2EE" w14:textId="77777777" w:rsidR="005F5674" w:rsidRDefault="005F5674">
      <w:pPr>
        <w:ind w:firstLine="720"/>
      </w:pPr>
    </w:p>
    <w:p w14:paraId="1F103D1C" w14:textId="77777777" w:rsidR="005F5674" w:rsidRDefault="00680ADE">
      <w:pPr>
        <w:ind w:firstLine="720"/>
      </w:pPr>
      <w:r>
        <w:t>1.1.10</w:t>
      </w:r>
      <w:r>
        <w:tab/>
        <w:t>“Effective Date” means [insert date]</w:t>
      </w:r>
    </w:p>
    <w:p w14:paraId="4D051AEF" w14:textId="77777777" w:rsidR="005F5674" w:rsidRDefault="005F5674">
      <w:pPr>
        <w:ind w:firstLine="720"/>
      </w:pPr>
    </w:p>
    <w:p w14:paraId="57E732C4" w14:textId="77777777" w:rsidR="005F5674" w:rsidRDefault="00680ADE">
      <w:pPr>
        <w:ind w:firstLine="720"/>
      </w:pPr>
      <w:r>
        <w:t>1.1.11</w:t>
      </w:r>
      <w:r>
        <w:tab/>
        <w:t>“Force Majeure Event” has the meaning given in clause 11.1.1</w:t>
      </w:r>
    </w:p>
    <w:p w14:paraId="5B937147" w14:textId="77777777" w:rsidR="005F5674" w:rsidRDefault="005F5674"/>
    <w:p w14:paraId="426D9619" w14:textId="77777777" w:rsidR="005F5674" w:rsidRDefault="00680ADE">
      <w:pPr>
        <w:ind w:firstLine="720"/>
      </w:pPr>
      <w:r>
        <w:t>1.1.12</w:t>
      </w:r>
      <w:r>
        <w:tab/>
        <w:t>“Mediator” has the meaning given to it in clause 9.3.1</w:t>
      </w:r>
    </w:p>
    <w:p w14:paraId="012406BE" w14:textId="77777777" w:rsidR="005F5674" w:rsidRDefault="005F5674">
      <w:pPr>
        <w:ind w:firstLine="720"/>
      </w:pPr>
    </w:p>
    <w:p w14:paraId="5E234957" w14:textId="77777777" w:rsidR="005F5674" w:rsidRDefault="00680ADE">
      <w:pPr>
        <w:ind w:firstLine="720"/>
      </w:pPr>
      <w:r>
        <w:t>1.1.13</w:t>
      </w:r>
      <w:r>
        <w:tab/>
        <w:t>“Outline Collaboration Plan” has the meaning given to it in clause 3.1</w:t>
      </w:r>
    </w:p>
    <w:p w14:paraId="0AC16FCB" w14:textId="77777777" w:rsidR="005F5674" w:rsidRDefault="005F5674">
      <w:pPr>
        <w:ind w:firstLine="720"/>
      </w:pPr>
    </w:p>
    <w:p w14:paraId="39EA6DE0" w14:textId="77777777" w:rsidR="005F5674" w:rsidRDefault="00680ADE">
      <w:pPr>
        <w:ind w:firstLine="720"/>
      </w:pPr>
      <w:r>
        <w:t>1.1.14</w:t>
      </w:r>
      <w:r>
        <w:tab/>
        <w:t>“Term” has the meaning given to it in clause 2.1</w:t>
      </w:r>
    </w:p>
    <w:p w14:paraId="71860DE1" w14:textId="77777777" w:rsidR="005F5674" w:rsidRDefault="005F5674">
      <w:pPr>
        <w:ind w:firstLine="720"/>
      </w:pPr>
    </w:p>
    <w:p w14:paraId="3ECF52F8" w14:textId="77777777" w:rsidR="005F5674" w:rsidRDefault="00680ADE">
      <w:pPr>
        <w:ind w:left="1440" w:hanging="720"/>
      </w:pPr>
      <w:r>
        <w:t>1.1.15</w:t>
      </w:r>
      <w:r>
        <w:tab/>
        <w:t>"Working Day" means any day other than a Saturday, Sunday or public holiday in England and Wales</w:t>
      </w:r>
    </w:p>
    <w:p w14:paraId="32AED307" w14:textId="77777777" w:rsidR="005F5674" w:rsidRDefault="005F5674">
      <w:pPr>
        <w:ind w:left="720" w:firstLine="720"/>
      </w:pPr>
    </w:p>
    <w:p w14:paraId="77E292B3" w14:textId="77777777" w:rsidR="005F5674" w:rsidRDefault="005F5674"/>
    <w:p w14:paraId="4A22D117" w14:textId="77777777" w:rsidR="005F5674" w:rsidRDefault="00680ADE">
      <w:pPr>
        <w:spacing w:after="120"/>
      </w:pPr>
      <w:r>
        <w:t>1.2</w:t>
      </w:r>
      <w:r>
        <w:tab/>
        <w:t>General</w:t>
      </w:r>
    </w:p>
    <w:p w14:paraId="34BC4722" w14:textId="77777777" w:rsidR="005F5674" w:rsidRDefault="00680ADE">
      <w:pPr>
        <w:ind w:firstLine="720"/>
      </w:pPr>
      <w:r>
        <w:t>1.2.1</w:t>
      </w:r>
      <w:r>
        <w:tab/>
        <w:t>As used in this Agreement the:</w:t>
      </w:r>
    </w:p>
    <w:p w14:paraId="3601ACC8" w14:textId="77777777" w:rsidR="005F5674" w:rsidRDefault="005F5674">
      <w:pPr>
        <w:ind w:firstLine="720"/>
      </w:pPr>
    </w:p>
    <w:p w14:paraId="794E4ECB" w14:textId="77777777" w:rsidR="005F5674" w:rsidRDefault="00680ADE">
      <w:pPr>
        <w:ind w:left="720" w:firstLine="720"/>
      </w:pPr>
      <w:r>
        <w:t>1.2.1.1</w:t>
      </w:r>
      <w:r>
        <w:tab/>
        <w:t>masculine includes the feminine and the neuter</w:t>
      </w:r>
    </w:p>
    <w:p w14:paraId="4C31AF4A" w14:textId="77777777" w:rsidR="005F5674" w:rsidRDefault="005F5674">
      <w:pPr>
        <w:ind w:left="720" w:firstLine="720"/>
      </w:pPr>
    </w:p>
    <w:p w14:paraId="291E994E" w14:textId="77777777" w:rsidR="005F5674" w:rsidRDefault="00680ADE">
      <w:pPr>
        <w:ind w:left="720" w:firstLine="720"/>
      </w:pPr>
      <w:r>
        <w:t>1.2.1.2</w:t>
      </w:r>
      <w:r>
        <w:tab/>
        <w:t>singular includes the plural and the other way round</w:t>
      </w:r>
    </w:p>
    <w:p w14:paraId="15EBFCA3" w14:textId="77777777" w:rsidR="005F5674" w:rsidRDefault="005F5674">
      <w:pPr>
        <w:ind w:firstLine="720"/>
      </w:pPr>
    </w:p>
    <w:p w14:paraId="1947AEA4" w14:textId="77777777" w:rsidR="005F5674" w:rsidRDefault="00680ADE">
      <w:pPr>
        <w:ind w:left="2160" w:hanging="720"/>
      </w:pPr>
      <w:r>
        <w:t>1.2.1.3</w:t>
      </w:r>
      <w:r>
        <w:tab/>
        <w:t xml:space="preserve">A reference to any statute,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or as contained in any subsequent re-enactment.</w:t>
      </w:r>
    </w:p>
    <w:p w14:paraId="6E03909C" w14:textId="77777777" w:rsidR="005F5674" w:rsidRDefault="005F5674">
      <w:pPr>
        <w:ind w:left="2160"/>
      </w:pPr>
    </w:p>
    <w:p w14:paraId="19CF9202" w14:textId="77777777" w:rsidR="005F5674" w:rsidRDefault="00680ADE">
      <w:pPr>
        <w:ind w:left="1440" w:hanging="720"/>
      </w:pPr>
      <w:r>
        <w:t>1.2.2</w:t>
      </w:r>
      <w:r>
        <w:tab/>
        <w:t>Headings are included in this Agreement for ease of reference only and will not affect the interpretation or construction of this Agreement.</w:t>
      </w:r>
    </w:p>
    <w:p w14:paraId="4B210867" w14:textId="77777777" w:rsidR="005F5674" w:rsidRDefault="005F5674">
      <w:pPr>
        <w:ind w:left="720" w:firstLine="720"/>
      </w:pPr>
    </w:p>
    <w:p w14:paraId="4D4C41AA" w14:textId="77777777" w:rsidR="005F5674" w:rsidRDefault="00680ADE">
      <w:pPr>
        <w:ind w:left="1440" w:hanging="720"/>
      </w:pPr>
      <w:r>
        <w:t>1.2.3</w:t>
      </w:r>
      <w:r>
        <w:tab/>
        <w:t>References to Clauses and Schedules are, unless otherwise provided, references to clauses of and schedules to this Agreement.</w:t>
      </w:r>
    </w:p>
    <w:p w14:paraId="01800655" w14:textId="77777777" w:rsidR="005F5674" w:rsidRDefault="005F5674">
      <w:pPr>
        <w:ind w:left="720" w:firstLine="720"/>
      </w:pPr>
    </w:p>
    <w:p w14:paraId="277F89C0" w14:textId="77777777" w:rsidR="005F5674" w:rsidRDefault="00680ADE">
      <w:pPr>
        <w:ind w:left="1440" w:hanging="720"/>
      </w:pPr>
      <w:r>
        <w:t>1.2.4</w:t>
      </w:r>
      <w:r>
        <w:tab/>
        <w:t xml:space="preserve">Except as otherwise expressly provided in this Agreement, all remedies available to any party under this Agreement are cumulative and may be exercised concurrently </w:t>
      </w:r>
      <w:r>
        <w:lastRenderedPageBreak/>
        <w:t>or separately and the exercise of any one remedy will not exclude the exercise of any other remedy.</w:t>
      </w:r>
    </w:p>
    <w:p w14:paraId="62D45E4B" w14:textId="77777777" w:rsidR="005F5674" w:rsidRDefault="005F5674">
      <w:pPr>
        <w:ind w:left="1440"/>
      </w:pPr>
    </w:p>
    <w:p w14:paraId="08325CE5" w14:textId="77777777" w:rsidR="005F5674" w:rsidRDefault="00680ADE">
      <w:pPr>
        <w:ind w:left="1440" w:hanging="720"/>
      </w:pPr>
      <w:r>
        <w:t>1.2.5</w:t>
      </w:r>
      <w:r>
        <w:tab/>
        <w:t>The party receiving the benefit of an indemnity under this Agreement will use its reasonable endeavours to mitigate its loss covered by the indemnity.</w:t>
      </w:r>
    </w:p>
    <w:p w14:paraId="0F227FBB" w14:textId="77777777" w:rsidR="005F5674" w:rsidRDefault="005F5674">
      <w:pPr>
        <w:ind w:left="1440" w:hanging="720"/>
      </w:pPr>
    </w:p>
    <w:p w14:paraId="398AE7CD" w14:textId="77777777" w:rsidR="005F5674" w:rsidRDefault="00680ADE">
      <w:pPr>
        <w:pStyle w:val="Heading3"/>
        <w:rPr>
          <w:color w:val="auto"/>
        </w:rPr>
      </w:pPr>
      <w:r>
        <w:rPr>
          <w:color w:val="auto"/>
        </w:rPr>
        <w:t>2.</w:t>
      </w:r>
      <w:r>
        <w:rPr>
          <w:color w:val="auto"/>
        </w:rPr>
        <w:tab/>
        <w:t>Term of the agreement</w:t>
      </w:r>
    </w:p>
    <w:p w14:paraId="20EB6629" w14:textId="77777777" w:rsidR="005F5674" w:rsidRDefault="00680ADE">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01BAFFB3" w14:textId="77777777" w:rsidR="005F5674" w:rsidRDefault="005F5674">
      <w:pPr>
        <w:ind w:left="720"/>
      </w:pPr>
    </w:p>
    <w:p w14:paraId="7DF03078" w14:textId="77777777" w:rsidR="005F5674" w:rsidRDefault="00680ADE">
      <w:pPr>
        <w:ind w:left="720" w:hanging="720"/>
      </w:pPr>
      <w:r>
        <w:t>2.2</w:t>
      </w:r>
      <w:r>
        <w:tab/>
        <w:t>A Collaboration Supplier’s duty to perform the Collaboration Activities will continue until the end of the exit period of its last relevant Call-Off Contract.</w:t>
      </w:r>
    </w:p>
    <w:p w14:paraId="02805F84" w14:textId="77777777" w:rsidR="005F5674" w:rsidRDefault="005F5674">
      <w:pPr>
        <w:spacing w:after="200"/>
      </w:pPr>
    </w:p>
    <w:p w14:paraId="11DCEEFF" w14:textId="77777777" w:rsidR="005F5674" w:rsidRDefault="00680ADE">
      <w:pPr>
        <w:pStyle w:val="Heading3"/>
        <w:rPr>
          <w:color w:val="auto"/>
        </w:rPr>
      </w:pPr>
      <w:r>
        <w:rPr>
          <w:color w:val="auto"/>
        </w:rPr>
        <w:t>3.</w:t>
      </w:r>
      <w:r>
        <w:rPr>
          <w:color w:val="auto"/>
        </w:rPr>
        <w:tab/>
        <w:t>Provision of the collaboration plan</w:t>
      </w:r>
    </w:p>
    <w:p w14:paraId="63C96E46" w14:textId="77777777" w:rsidR="005F5674" w:rsidRDefault="00680ADE">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419868C5" w14:textId="77777777" w:rsidR="005F5674" w:rsidRDefault="005F5674">
      <w:pPr>
        <w:ind w:left="720"/>
      </w:pPr>
    </w:p>
    <w:p w14:paraId="0EF81247" w14:textId="77777777" w:rsidR="005F5674" w:rsidRDefault="00680ADE">
      <w:pPr>
        <w:ind w:left="720" w:hanging="720"/>
      </w:pPr>
      <w:r>
        <w:t>3.2</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5DE1F6EC" w14:textId="77777777" w:rsidR="005F5674" w:rsidRDefault="005F5674">
      <w:pPr>
        <w:ind w:left="720"/>
      </w:pPr>
    </w:p>
    <w:p w14:paraId="40CAA05D" w14:textId="77777777" w:rsidR="005F5674" w:rsidRDefault="00680ADE">
      <w:pPr>
        <w:ind w:left="720" w:hanging="720"/>
      </w:pPr>
      <w:r>
        <w:t>3.3</w:t>
      </w:r>
      <w:r>
        <w:tab/>
        <w:t>The Collaboration Suppliers will provide the help the Buyer needs to prepare the Detailed Collaboration Plan.</w:t>
      </w:r>
    </w:p>
    <w:p w14:paraId="3876E774" w14:textId="77777777" w:rsidR="005F5674" w:rsidRDefault="005F5674">
      <w:pPr>
        <w:ind w:firstLine="720"/>
      </w:pPr>
    </w:p>
    <w:p w14:paraId="449A148C" w14:textId="77777777" w:rsidR="005F5674" w:rsidRDefault="00680ADE">
      <w:pPr>
        <w:ind w:left="720" w:hanging="720"/>
      </w:pPr>
      <w:r>
        <w:t>3.4</w:t>
      </w:r>
      <w:r>
        <w:tab/>
        <w:t>The Collaboration Suppliers will, within 10 Working Days of receipt of the Detailed Collaboration Plan, either:</w:t>
      </w:r>
    </w:p>
    <w:p w14:paraId="66131CAB" w14:textId="77777777" w:rsidR="005F5674" w:rsidRDefault="005F5674">
      <w:pPr>
        <w:ind w:firstLine="720"/>
      </w:pPr>
    </w:p>
    <w:p w14:paraId="063FB5D9" w14:textId="77777777" w:rsidR="005F5674" w:rsidRDefault="00680ADE">
      <w:pPr>
        <w:ind w:firstLine="720"/>
      </w:pPr>
      <w:r>
        <w:t>3.4.1</w:t>
      </w:r>
      <w:r>
        <w:tab/>
        <w:t>approve the Detailed Collaboration Plan</w:t>
      </w:r>
    </w:p>
    <w:p w14:paraId="5530049F" w14:textId="77777777" w:rsidR="005F5674" w:rsidRDefault="00680ADE">
      <w:pPr>
        <w:ind w:firstLine="720"/>
      </w:pPr>
      <w:r>
        <w:t>3.4.2</w:t>
      </w:r>
      <w:r>
        <w:tab/>
        <w:t>reject the Detailed Collaboration Plan, giving reasons for the rejection</w:t>
      </w:r>
    </w:p>
    <w:p w14:paraId="2E2E29D8" w14:textId="77777777" w:rsidR="005F5674" w:rsidRDefault="005F5674"/>
    <w:p w14:paraId="3C081464" w14:textId="77777777" w:rsidR="005F5674" w:rsidRDefault="00680ADE">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1D0320C3" w14:textId="77777777" w:rsidR="005F5674" w:rsidRDefault="005F5674">
      <w:pPr>
        <w:ind w:left="720"/>
      </w:pPr>
    </w:p>
    <w:p w14:paraId="1C0CA9EA" w14:textId="77777777" w:rsidR="005F5674" w:rsidRDefault="00680ADE">
      <w:pPr>
        <w:ind w:left="720" w:hanging="720"/>
      </w:pPr>
      <w:r>
        <w:t>3.6</w:t>
      </w:r>
      <w:r>
        <w:tab/>
        <w:t>If the parties fail to agree the Detailed Collaboration Plan under clause 3.4, the dispute will be resolved using the Dispute Resolution Process.</w:t>
      </w:r>
    </w:p>
    <w:p w14:paraId="2CDF3E04" w14:textId="77777777" w:rsidR="005F5674" w:rsidRDefault="005F5674">
      <w:pPr>
        <w:ind w:firstLine="720"/>
      </w:pPr>
    </w:p>
    <w:p w14:paraId="0B5AE849" w14:textId="77777777" w:rsidR="005F5674" w:rsidRDefault="00680ADE">
      <w:pPr>
        <w:pStyle w:val="Heading3"/>
        <w:rPr>
          <w:color w:val="auto"/>
        </w:rPr>
      </w:pPr>
      <w:r>
        <w:rPr>
          <w:color w:val="auto"/>
        </w:rPr>
        <w:lastRenderedPageBreak/>
        <w:t>4.</w:t>
      </w:r>
      <w:r>
        <w:rPr>
          <w:color w:val="auto"/>
        </w:rPr>
        <w:tab/>
        <w:t>Collaboration activities</w:t>
      </w:r>
    </w:p>
    <w:p w14:paraId="398E0147" w14:textId="77777777" w:rsidR="005F5674" w:rsidRDefault="00680ADE">
      <w:pPr>
        <w:ind w:left="720" w:hanging="720"/>
      </w:pPr>
      <w:r>
        <w:t>4.1</w:t>
      </w:r>
      <w:r>
        <w:tab/>
        <w:t>The Collaboration Suppliers will perform the Collaboration Activities and all other obligations of this Agreement in accordance with the Detailed Collaboration Plan.</w:t>
      </w:r>
    </w:p>
    <w:p w14:paraId="17D3C295" w14:textId="77777777" w:rsidR="005F5674" w:rsidRDefault="005F5674">
      <w:pPr>
        <w:ind w:firstLine="720"/>
      </w:pPr>
    </w:p>
    <w:p w14:paraId="31DC940A" w14:textId="77777777" w:rsidR="005F5674" w:rsidRDefault="00680ADE">
      <w:pPr>
        <w:ind w:left="720" w:hanging="720"/>
      </w:pPr>
      <w:r>
        <w:t>4.2</w:t>
      </w:r>
      <w:r>
        <w:tab/>
        <w:t>The Collaboration Suppliers will provide all additional cooperation and assistance as is reasonably required by the Buyer to ensure the continuous delivery of the services under the Call-Off Contract.</w:t>
      </w:r>
    </w:p>
    <w:p w14:paraId="7628092A" w14:textId="77777777" w:rsidR="005F5674" w:rsidRDefault="005F5674">
      <w:pPr>
        <w:ind w:left="720"/>
      </w:pPr>
    </w:p>
    <w:p w14:paraId="78F47FAC" w14:textId="77777777" w:rsidR="005F5674" w:rsidRDefault="00680ADE">
      <w:pPr>
        <w:ind w:left="720" w:hanging="720"/>
      </w:pPr>
      <w:r>
        <w:t>4.3</w:t>
      </w:r>
      <w:r>
        <w:tab/>
        <w:t>The Collaboration Suppliers will ensure that their respective subcontractors provide all co-operation and assistance as set out in the Detailed Collaboration Plan.</w:t>
      </w:r>
    </w:p>
    <w:p w14:paraId="56D2ED95" w14:textId="77777777" w:rsidR="005F5674" w:rsidRDefault="005F5674">
      <w:pPr>
        <w:ind w:firstLine="720"/>
      </w:pPr>
    </w:p>
    <w:p w14:paraId="74F14FF5" w14:textId="77777777" w:rsidR="005F5674" w:rsidRDefault="00680ADE">
      <w:pPr>
        <w:pStyle w:val="Heading3"/>
        <w:rPr>
          <w:color w:val="auto"/>
        </w:rPr>
      </w:pPr>
      <w:r>
        <w:rPr>
          <w:color w:val="auto"/>
        </w:rPr>
        <w:t>5.</w:t>
      </w:r>
      <w:r>
        <w:rPr>
          <w:color w:val="auto"/>
        </w:rPr>
        <w:tab/>
        <w:t>Invoicing</w:t>
      </w:r>
    </w:p>
    <w:p w14:paraId="68955A3F" w14:textId="77777777" w:rsidR="005F5674" w:rsidRDefault="00680ADE">
      <w:pPr>
        <w:ind w:left="720" w:hanging="720"/>
      </w:pPr>
      <w:r>
        <w:t>5.1</w:t>
      </w:r>
      <w:r>
        <w:tab/>
        <w:t>If any sums are due under this Agreement, the Collaboration Supplier responsible for paying the sum will pay within 30 Working Days of receipt of a valid invoice.</w:t>
      </w:r>
    </w:p>
    <w:p w14:paraId="44B4009F" w14:textId="77777777" w:rsidR="005F5674" w:rsidRDefault="005F5674">
      <w:pPr>
        <w:ind w:firstLine="720"/>
      </w:pPr>
    </w:p>
    <w:p w14:paraId="4888B684" w14:textId="77777777" w:rsidR="005F5674" w:rsidRDefault="00680ADE">
      <w:pPr>
        <w:ind w:left="720" w:hanging="720"/>
      </w:pPr>
      <w:r>
        <w:t>5.2</w:t>
      </w:r>
      <w:r>
        <w:tab/>
        <w:t>Interest will be payable on any late payments under this Agreement under the Late Payment of Commercial Debts (Interest) Act 1998, as amended.</w:t>
      </w:r>
    </w:p>
    <w:p w14:paraId="3FCECF3A" w14:textId="77777777" w:rsidR="005F5674" w:rsidRDefault="005F5674">
      <w:pPr>
        <w:ind w:firstLine="720"/>
      </w:pPr>
    </w:p>
    <w:p w14:paraId="7BF0C5C6" w14:textId="77777777" w:rsidR="005F5674" w:rsidRDefault="00680ADE">
      <w:pPr>
        <w:pStyle w:val="Heading3"/>
        <w:rPr>
          <w:color w:val="auto"/>
        </w:rPr>
      </w:pPr>
      <w:r>
        <w:rPr>
          <w:color w:val="auto"/>
        </w:rPr>
        <w:t>6.</w:t>
      </w:r>
      <w:r>
        <w:rPr>
          <w:color w:val="auto"/>
        </w:rPr>
        <w:tab/>
        <w:t>Confidentiality</w:t>
      </w:r>
    </w:p>
    <w:p w14:paraId="5EE037BC" w14:textId="77777777" w:rsidR="005F5674" w:rsidRDefault="00680ADE">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5AC71C69" w14:textId="77777777" w:rsidR="005F5674" w:rsidRDefault="00680ADE">
      <w:r>
        <w:t>6.2</w:t>
      </w:r>
      <w:r>
        <w:tab/>
        <w:t>Each Collaboration Supplier warrants that:</w:t>
      </w:r>
    </w:p>
    <w:p w14:paraId="2399BE50" w14:textId="77777777" w:rsidR="005F5674" w:rsidRDefault="005F5674"/>
    <w:p w14:paraId="5C26D88E" w14:textId="77777777" w:rsidR="005F5674" w:rsidRDefault="00680ADE">
      <w:pPr>
        <w:ind w:left="1440" w:hanging="720"/>
      </w:pPr>
      <w:r>
        <w:t>6.2.1</w:t>
      </w:r>
      <w:r>
        <w:tab/>
        <w:t>any person employed or engaged by it (in connection with this Agreement in the course of such employment or engagement) will only use Confidential Information for the purposes of this Agreement</w:t>
      </w:r>
    </w:p>
    <w:p w14:paraId="594EA317" w14:textId="77777777" w:rsidR="005F5674" w:rsidRDefault="005F5674">
      <w:pPr>
        <w:ind w:left="1440"/>
      </w:pPr>
    </w:p>
    <w:p w14:paraId="38D38B96" w14:textId="77777777" w:rsidR="005F5674" w:rsidRDefault="00680ADE">
      <w:pPr>
        <w:ind w:left="1440" w:hanging="720"/>
      </w:pPr>
      <w:r>
        <w:t>6.2.2</w:t>
      </w:r>
      <w:r>
        <w:tab/>
        <w:t>any person employed or engaged by it (in connection with this Agreement) will not disclose any Confidential Information to any third party without the prior written consent of the other party</w:t>
      </w:r>
    </w:p>
    <w:p w14:paraId="269ED85A" w14:textId="77777777" w:rsidR="005F5674" w:rsidRDefault="005F5674">
      <w:pPr>
        <w:ind w:left="1440"/>
      </w:pPr>
    </w:p>
    <w:p w14:paraId="36DECCE3" w14:textId="77777777" w:rsidR="005F5674" w:rsidRDefault="00680ADE">
      <w:pPr>
        <w:ind w:left="1440" w:hanging="720"/>
      </w:pPr>
      <w:r>
        <w:t>6.2.3</w:t>
      </w:r>
      <w:r>
        <w:tab/>
        <w:t xml:space="preserve">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 subcontractors</w:t>
      </w:r>
    </w:p>
    <w:p w14:paraId="1C66F24A" w14:textId="77777777" w:rsidR="005F5674" w:rsidRDefault="005F5674">
      <w:pPr>
        <w:ind w:left="720" w:firstLine="720"/>
      </w:pPr>
    </w:p>
    <w:p w14:paraId="3469C1D9" w14:textId="77777777" w:rsidR="005F5674" w:rsidRDefault="00680ADE">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583E67D0" w14:textId="77777777" w:rsidR="005F5674" w:rsidRDefault="005F5674">
      <w:pPr>
        <w:ind w:left="1440"/>
      </w:pPr>
    </w:p>
    <w:p w14:paraId="6D21896D" w14:textId="77777777" w:rsidR="005F5674" w:rsidRDefault="00680ADE">
      <w:r>
        <w:t>6.3</w:t>
      </w:r>
      <w:r>
        <w:tab/>
        <w:t>The provisions of clauses 6.1 and 6.2 will not apply to any information which is:</w:t>
      </w:r>
    </w:p>
    <w:p w14:paraId="3AA205E5" w14:textId="77777777" w:rsidR="005F5674" w:rsidRDefault="005F5674"/>
    <w:p w14:paraId="74C90039" w14:textId="77777777" w:rsidR="005F5674" w:rsidRDefault="00680ADE">
      <w:pPr>
        <w:ind w:firstLine="720"/>
      </w:pPr>
      <w:r>
        <w:t>6.3.1</w:t>
      </w:r>
      <w:r>
        <w:tab/>
        <w:t>or becomes public knowledge other than by breach of this clause 6</w:t>
      </w:r>
    </w:p>
    <w:p w14:paraId="5E1A8956" w14:textId="77777777" w:rsidR="005F5674" w:rsidRDefault="005F5674"/>
    <w:p w14:paraId="3B13812F" w14:textId="77777777" w:rsidR="005F5674" w:rsidRDefault="00680ADE">
      <w:pPr>
        <w:ind w:left="1440" w:hanging="720"/>
      </w:pPr>
      <w:r>
        <w:lastRenderedPageBreak/>
        <w:t>6.3.2</w:t>
      </w:r>
      <w:r>
        <w:tab/>
        <w:t>in the possession of the receiving party without restriction in relation to disclosure before the date of receipt from the disclosing party</w:t>
      </w:r>
    </w:p>
    <w:p w14:paraId="764FB2DA" w14:textId="77777777" w:rsidR="005F5674" w:rsidRDefault="005F5674">
      <w:pPr>
        <w:ind w:left="720" w:firstLine="720"/>
      </w:pPr>
    </w:p>
    <w:p w14:paraId="6A8D39AC" w14:textId="77777777" w:rsidR="005F5674" w:rsidRDefault="00680ADE">
      <w:pPr>
        <w:ind w:left="1440" w:hanging="720"/>
      </w:pPr>
      <w:r>
        <w:t>6.3.3</w:t>
      </w:r>
      <w:r>
        <w:tab/>
        <w:t>received from a third party who lawfully acquired it and who is under no obligation restricting its disclosure</w:t>
      </w:r>
    </w:p>
    <w:p w14:paraId="46EA6BA7" w14:textId="77777777" w:rsidR="005F5674" w:rsidRDefault="005F5674">
      <w:pPr>
        <w:ind w:left="720" w:firstLine="720"/>
      </w:pPr>
    </w:p>
    <w:p w14:paraId="2A30BC49" w14:textId="77777777" w:rsidR="005F5674" w:rsidRDefault="00680ADE">
      <w:pPr>
        <w:ind w:firstLine="720"/>
      </w:pPr>
      <w:r>
        <w:t>6.3.4</w:t>
      </w:r>
      <w:r>
        <w:tab/>
        <w:t>independently developed without access to the Confidential Information</w:t>
      </w:r>
    </w:p>
    <w:p w14:paraId="2AB41576" w14:textId="77777777" w:rsidR="005F5674" w:rsidRDefault="005F5674">
      <w:pPr>
        <w:ind w:firstLine="720"/>
      </w:pPr>
    </w:p>
    <w:p w14:paraId="59A81AA5" w14:textId="77777777" w:rsidR="005F5674" w:rsidRDefault="00680ADE">
      <w:pPr>
        <w:ind w:left="1440" w:hanging="720"/>
      </w:pPr>
      <w:r>
        <w:t>6.3.5</w:t>
      </w:r>
      <w:r>
        <w:tab/>
        <w:t xml:space="preserve">required to be disclosed by law or by any judicial, arbitral, </w:t>
      </w:r>
      <w:proofErr w:type="gramStart"/>
      <w:r>
        <w:t>regulatory</w:t>
      </w:r>
      <w:proofErr w:type="gramEnd"/>
      <w:r>
        <w:t xml:space="preserve"> or other authority of competent jurisdiction</w:t>
      </w:r>
    </w:p>
    <w:p w14:paraId="2113106C" w14:textId="77777777" w:rsidR="005F5674" w:rsidRDefault="005F5674">
      <w:pPr>
        <w:ind w:left="720" w:firstLine="720"/>
      </w:pPr>
    </w:p>
    <w:p w14:paraId="7369C8F6" w14:textId="77777777" w:rsidR="005F5674" w:rsidRDefault="00680ADE">
      <w:pPr>
        <w:ind w:left="720" w:hanging="720"/>
      </w:pPr>
      <w:r>
        <w:t>6.4</w:t>
      </w:r>
      <w:r>
        <w:tab/>
        <w:t xml:space="preserve">The Buyer’s right, </w:t>
      </w:r>
      <w:proofErr w:type="gramStart"/>
      <w:r>
        <w:t>obligations</w:t>
      </w:r>
      <w:proofErr w:type="gramEnd"/>
      <w:r>
        <w:t xml:space="preserve">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3C4F7B61" w14:textId="77777777" w:rsidR="005F5674" w:rsidRDefault="005F5674">
      <w:pPr>
        <w:ind w:left="720" w:hanging="720"/>
      </w:pPr>
    </w:p>
    <w:p w14:paraId="503D1560" w14:textId="77777777" w:rsidR="005F5674" w:rsidRDefault="00680ADE">
      <w:pPr>
        <w:pStyle w:val="Heading3"/>
        <w:rPr>
          <w:color w:val="auto"/>
        </w:rPr>
      </w:pPr>
      <w:r>
        <w:rPr>
          <w:color w:val="auto"/>
        </w:rPr>
        <w:t>7.</w:t>
      </w:r>
      <w:r>
        <w:rPr>
          <w:color w:val="auto"/>
        </w:rPr>
        <w:tab/>
        <w:t>Warranties</w:t>
      </w:r>
    </w:p>
    <w:p w14:paraId="5269D53F" w14:textId="77777777" w:rsidR="005F5674" w:rsidRDefault="00680ADE">
      <w:r>
        <w:t>7.1</w:t>
      </w:r>
      <w:r>
        <w:tab/>
        <w:t>Each Collaboration Supplier warrant and represent that:</w:t>
      </w:r>
    </w:p>
    <w:p w14:paraId="4126B5C4" w14:textId="77777777" w:rsidR="005F5674" w:rsidRDefault="00680ADE">
      <w:pPr>
        <w:ind w:left="1440" w:hanging="720"/>
      </w:pPr>
      <w:r>
        <w:t>7.1.1</w:t>
      </w:r>
      <w:r>
        <w:tab/>
        <w:t xml:space="preserve">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w:t>
      </w:r>
    </w:p>
    <w:p w14:paraId="0517FEEB" w14:textId="77777777" w:rsidR="005F5674" w:rsidRDefault="005F5674"/>
    <w:p w14:paraId="049B2144" w14:textId="77777777" w:rsidR="005F5674" w:rsidRDefault="00680ADE">
      <w:pPr>
        <w:ind w:left="1440" w:hanging="720"/>
      </w:pPr>
      <w:r>
        <w:t>7.1.2</w:t>
      </w:r>
      <w:r>
        <w:tab/>
        <w:t xml:space="preserve">its obligations will be performed by appropriately experienced, </w:t>
      </w:r>
      <w:proofErr w:type="gramStart"/>
      <w:r>
        <w:t>qualified</w:t>
      </w:r>
      <w:proofErr w:type="gramEnd"/>
      <w:r>
        <w:t xml:space="preserve"> and trained personnel with all due skill, care and diligence including but not limited to good industry practice and (without limiting the generality of this clause 7) in accordance with its own established internal processes</w:t>
      </w:r>
    </w:p>
    <w:p w14:paraId="4E57E167" w14:textId="77777777" w:rsidR="005F5674" w:rsidRDefault="005F5674">
      <w:pPr>
        <w:ind w:left="1440"/>
      </w:pPr>
    </w:p>
    <w:p w14:paraId="1C6F12FF" w14:textId="77777777" w:rsidR="005F5674" w:rsidRDefault="00680ADE">
      <w:pPr>
        <w:ind w:left="720" w:hanging="720"/>
      </w:pPr>
      <w:r>
        <w:t>7.2</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w:t>
      </w:r>
    </w:p>
    <w:p w14:paraId="6C388DA9" w14:textId="77777777" w:rsidR="005F5674" w:rsidRDefault="005F5674">
      <w:pPr>
        <w:ind w:left="720" w:hanging="720"/>
      </w:pPr>
    </w:p>
    <w:p w14:paraId="509F821B" w14:textId="77777777" w:rsidR="005F5674" w:rsidRDefault="00680ADE">
      <w:pPr>
        <w:pStyle w:val="Heading3"/>
        <w:rPr>
          <w:color w:val="auto"/>
        </w:rPr>
      </w:pPr>
      <w:r>
        <w:rPr>
          <w:color w:val="auto"/>
        </w:rPr>
        <w:t>8.</w:t>
      </w:r>
      <w:r>
        <w:rPr>
          <w:color w:val="auto"/>
        </w:rPr>
        <w:tab/>
        <w:t>Limitation of liability</w:t>
      </w:r>
    </w:p>
    <w:p w14:paraId="124F2D70" w14:textId="77777777" w:rsidR="005F5674" w:rsidRDefault="00680ADE">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028EDD2F" w14:textId="77777777" w:rsidR="005F5674" w:rsidRDefault="005F5674">
      <w:pPr>
        <w:ind w:left="720"/>
      </w:pPr>
    </w:p>
    <w:p w14:paraId="3DC81018" w14:textId="77777777" w:rsidR="005F5674" w:rsidRDefault="00680ADE">
      <w:pPr>
        <w:ind w:left="720" w:hanging="720"/>
      </w:pPr>
      <w:r>
        <w:t>8.2</w:t>
      </w:r>
      <w:r>
        <w:tab/>
        <w:t>Nothing in this Agreement will exclude or limit the liability of any party for fraud or fraudulent misrepresentation.</w:t>
      </w:r>
    </w:p>
    <w:p w14:paraId="3F1E2F27" w14:textId="77777777" w:rsidR="005F5674" w:rsidRDefault="005F5674">
      <w:pPr>
        <w:ind w:firstLine="720"/>
      </w:pPr>
    </w:p>
    <w:p w14:paraId="0403D220" w14:textId="77777777" w:rsidR="005F5674" w:rsidRDefault="00680ADE">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21A0B8C5" w14:textId="77777777" w:rsidR="005F5674" w:rsidRDefault="005F5674">
      <w:pPr>
        <w:ind w:left="720"/>
      </w:pPr>
    </w:p>
    <w:p w14:paraId="2DDD1850" w14:textId="77777777" w:rsidR="005F5674" w:rsidRDefault="00680ADE">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15FA7820" w14:textId="77777777" w:rsidR="005F5674" w:rsidRDefault="005F5674">
      <w:pPr>
        <w:ind w:left="720"/>
      </w:pPr>
    </w:p>
    <w:p w14:paraId="44DF2CE8" w14:textId="77777777" w:rsidR="005F5674" w:rsidRDefault="00680ADE">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40CA8C7C" w14:textId="77777777" w:rsidR="005F5674" w:rsidRDefault="005F5674">
      <w:pPr>
        <w:ind w:left="720"/>
      </w:pPr>
    </w:p>
    <w:p w14:paraId="357C4079" w14:textId="77777777" w:rsidR="005F5674" w:rsidRDefault="00680ADE">
      <w:pPr>
        <w:ind w:firstLine="720"/>
      </w:pPr>
      <w:r>
        <w:t>8.5.1</w:t>
      </w:r>
      <w:r>
        <w:tab/>
        <w:t>indirect loss or damage</w:t>
      </w:r>
    </w:p>
    <w:p w14:paraId="7AC22A1C" w14:textId="77777777" w:rsidR="005F5674" w:rsidRDefault="00680ADE">
      <w:pPr>
        <w:ind w:firstLine="720"/>
      </w:pPr>
      <w:r>
        <w:t>8.5.2</w:t>
      </w:r>
      <w:r>
        <w:tab/>
        <w:t>special loss or damage</w:t>
      </w:r>
    </w:p>
    <w:p w14:paraId="05D6714E" w14:textId="77777777" w:rsidR="005F5674" w:rsidRDefault="00680ADE">
      <w:pPr>
        <w:ind w:firstLine="720"/>
      </w:pPr>
      <w:r>
        <w:t>8.5.3</w:t>
      </w:r>
      <w:r>
        <w:tab/>
        <w:t>consequential loss or damage</w:t>
      </w:r>
    </w:p>
    <w:p w14:paraId="0EC57E01" w14:textId="77777777" w:rsidR="005F5674" w:rsidRDefault="00680ADE">
      <w:pPr>
        <w:ind w:firstLine="720"/>
      </w:pPr>
      <w:r>
        <w:t>8.5.4</w:t>
      </w:r>
      <w:r>
        <w:tab/>
        <w:t>loss of profits (whether direct or indirect)</w:t>
      </w:r>
    </w:p>
    <w:p w14:paraId="497F9679" w14:textId="77777777" w:rsidR="005F5674" w:rsidRDefault="00680ADE">
      <w:pPr>
        <w:ind w:firstLine="720"/>
      </w:pPr>
      <w:r>
        <w:t>8.5.5</w:t>
      </w:r>
      <w:r>
        <w:tab/>
        <w:t>loss of turnover (whether direct or indirect)</w:t>
      </w:r>
    </w:p>
    <w:p w14:paraId="3EBC7CF2" w14:textId="77777777" w:rsidR="005F5674" w:rsidRDefault="00680ADE">
      <w:pPr>
        <w:ind w:firstLine="720"/>
      </w:pPr>
      <w:r>
        <w:t>8.5.6</w:t>
      </w:r>
      <w:r>
        <w:tab/>
        <w:t>loss of business opportunities (whether direct or indirect)</w:t>
      </w:r>
    </w:p>
    <w:p w14:paraId="60121359" w14:textId="77777777" w:rsidR="005F5674" w:rsidRDefault="00680ADE">
      <w:pPr>
        <w:ind w:firstLine="720"/>
      </w:pPr>
      <w:r>
        <w:t>8.5.7</w:t>
      </w:r>
      <w:r>
        <w:tab/>
        <w:t>damage to goodwill (whether direct or indirect)</w:t>
      </w:r>
    </w:p>
    <w:p w14:paraId="307D2974" w14:textId="77777777" w:rsidR="005F5674" w:rsidRDefault="005F5674"/>
    <w:p w14:paraId="4CAC251A" w14:textId="77777777" w:rsidR="005F5674" w:rsidRDefault="00680ADE">
      <w:pPr>
        <w:ind w:left="720" w:hanging="720"/>
      </w:pPr>
      <w:r>
        <w:t>8.6</w:t>
      </w:r>
      <w:r>
        <w:tab/>
        <w:t>Subject always to clauses 8.1 and 8.2, the provisions of clause 8.5 will not be taken as limiting the right of the Buyer to among other things, recover as a direct loss any:</w:t>
      </w:r>
    </w:p>
    <w:p w14:paraId="031827BF" w14:textId="77777777" w:rsidR="005F5674" w:rsidRDefault="005F5674"/>
    <w:p w14:paraId="50B980EF" w14:textId="77777777" w:rsidR="005F5674" w:rsidRDefault="00680ADE">
      <w:pPr>
        <w:ind w:left="1440" w:hanging="720"/>
      </w:pPr>
      <w:r>
        <w:t>8.6.1</w:t>
      </w:r>
      <w:r>
        <w:tab/>
        <w:t>additional operational or administrative costs and expenses arising from a Collaboration Supplier’s Default</w:t>
      </w:r>
    </w:p>
    <w:p w14:paraId="779433A7" w14:textId="77777777" w:rsidR="005F5674" w:rsidRDefault="005F5674">
      <w:pPr>
        <w:ind w:left="720" w:firstLine="720"/>
      </w:pPr>
    </w:p>
    <w:p w14:paraId="0B8E94EB" w14:textId="77777777" w:rsidR="005F5674" w:rsidRDefault="00680ADE">
      <w:pPr>
        <w:ind w:left="1440" w:hanging="720"/>
      </w:pPr>
      <w:r>
        <w:t>8.6.2</w:t>
      </w:r>
      <w:r>
        <w:tab/>
        <w:t>wasted expenditure or charges rendered unnecessary or incurred by the Buyer arising from a Collaboration Supplier's Default</w:t>
      </w:r>
    </w:p>
    <w:p w14:paraId="77F3A999" w14:textId="77777777" w:rsidR="005F5674" w:rsidRDefault="005F5674">
      <w:pPr>
        <w:ind w:left="1440" w:hanging="720"/>
      </w:pPr>
    </w:p>
    <w:p w14:paraId="59BE558E" w14:textId="77777777" w:rsidR="005F5674" w:rsidRDefault="00680ADE">
      <w:pPr>
        <w:pStyle w:val="Heading3"/>
        <w:rPr>
          <w:color w:val="auto"/>
        </w:rPr>
      </w:pPr>
      <w:r>
        <w:rPr>
          <w:color w:val="auto"/>
        </w:rPr>
        <w:t>9.</w:t>
      </w:r>
      <w:r>
        <w:rPr>
          <w:color w:val="auto"/>
        </w:rPr>
        <w:tab/>
        <w:t>Dispute resolution process</w:t>
      </w:r>
    </w:p>
    <w:p w14:paraId="75E515E7" w14:textId="77777777" w:rsidR="005F5674" w:rsidRDefault="00680ADE">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70863FA4" w14:textId="77777777" w:rsidR="005F5674" w:rsidRDefault="005F5674">
      <w:pPr>
        <w:ind w:firstLine="720"/>
      </w:pPr>
    </w:p>
    <w:p w14:paraId="6944792D" w14:textId="77777777" w:rsidR="005F5674" w:rsidRDefault="00680ADE">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02E9A445" w14:textId="77777777" w:rsidR="005F5674" w:rsidRDefault="005F5674">
      <w:pPr>
        <w:ind w:left="720"/>
      </w:pPr>
    </w:p>
    <w:p w14:paraId="584F9447" w14:textId="77777777" w:rsidR="005F5674" w:rsidRDefault="00680ADE">
      <w:pPr>
        <w:spacing w:after="120"/>
      </w:pPr>
      <w:r>
        <w:t>9.3</w:t>
      </w:r>
      <w:r>
        <w:tab/>
        <w:t>The process for mediation and consequential provisions for mediation are:</w:t>
      </w:r>
    </w:p>
    <w:p w14:paraId="7FF83DE2" w14:textId="77777777" w:rsidR="005F5674" w:rsidRDefault="00680ADE">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716B12FD" w14:textId="77777777" w:rsidR="005F5674" w:rsidRDefault="005F5674">
      <w:pPr>
        <w:ind w:left="1440"/>
      </w:pPr>
    </w:p>
    <w:p w14:paraId="33C478E9" w14:textId="77777777" w:rsidR="005F5674" w:rsidRDefault="00680ADE">
      <w:pPr>
        <w:ind w:left="1440" w:hanging="720"/>
      </w:pPr>
      <w:r>
        <w:lastRenderedPageBreak/>
        <w:t>9.3.2</w:t>
      </w:r>
      <w:r>
        <w:tab/>
        <w:t>the parties will within 10 Working Days of the appointment of the Mediator meet to agree a programme for the exchange of all relevant information and the structure of the negotiations</w:t>
      </w:r>
    </w:p>
    <w:p w14:paraId="135F4602" w14:textId="77777777" w:rsidR="005F5674" w:rsidRDefault="005F5674"/>
    <w:p w14:paraId="490D7984" w14:textId="77777777" w:rsidR="005F5674" w:rsidRDefault="00680ADE">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24FB9F09" w14:textId="77777777" w:rsidR="005F5674" w:rsidRDefault="005F5674"/>
    <w:p w14:paraId="6410ED31" w14:textId="77777777" w:rsidR="005F5674" w:rsidRDefault="00680ADE">
      <w:pPr>
        <w:ind w:left="1440" w:hanging="720"/>
      </w:pPr>
      <w:r>
        <w:t>9.3.4</w:t>
      </w:r>
      <w:r>
        <w:tab/>
        <w:t>if the parties reach agreement on the resolution of the dispute, the agreement will be put in writing and will be binding on the parties once it is signed by their authorised representatives</w:t>
      </w:r>
    </w:p>
    <w:p w14:paraId="7868513B" w14:textId="77777777" w:rsidR="005F5674" w:rsidRDefault="005F5674"/>
    <w:p w14:paraId="55013BDE" w14:textId="77777777" w:rsidR="005F5674" w:rsidRDefault="00680ADE">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2B62A22B" w14:textId="77777777" w:rsidR="005F5674" w:rsidRDefault="005F5674">
      <w:pPr>
        <w:ind w:left="1440"/>
      </w:pPr>
    </w:p>
    <w:p w14:paraId="01F42264" w14:textId="77777777" w:rsidR="005F5674" w:rsidRDefault="00680ADE">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0DD816D8" w14:textId="77777777" w:rsidR="005F5674" w:rsidRDefault="005F5674"/>
    <w:p w14:paraId="35F11F02" w14:textId="77777777" w:rsidR="005F5674" w:rsidRDefault="00680ADE">
      <w:pPr>
        <w:ind w:left="720" w:hanging="720"/>
      </w:pPr>
      <w:r>
        <w:t>9.4</w:t>
      </w:r>
      <w:r>
        <w:tab/>
        <w:t>The parties must continue to perform their respective obligations under this Agreement and under their respective Contracts pending the resolution of a dispute.</w:t>
      </w:r>
    </w:p>
    <w:p w14:paraId="7E3F6597" w14:textId="77777777" w:rsidR="005F5674" w:rsidRDefault="005F5674">
      <w:pPr>
        <w:ind w:left="720" w:hanging="720"/>
      </w:pPr>
    </w:p>
    <w:p w14:paraId="61295833" w14:textId="77777777" w:rsidR="005F5674" w:rsidRDefault="00680ADE">
      <w:pPr>
        <w:pStyle w:val="Heading3"/>
        <w:rPr>
          <w:color w:val="auto"/>
        </w:rPr>
      </w:pPr>
      <w:r>
        <w:rPr>
          <w:color w:val="auto"/>
        </w:rPr>
        <w:t>10. Termination and consequences of termination</w:t>
      </w:r>
    </w:p>
    <w:p w14:paraId="0A299098" w14:textId="77777777" w:rsidR="005F5674" w:rsidRDefault="00680ADE">
      <w:pPr>
        <w:pStyle w:val="Heading4"/>
        <w:spacing w:before="0" w:after="120"/>
        <w:rPr>
          <w:color w:val="auto"/>
        </w:rPr>
      </w:pPr>
      <w:r>
        <w:rPr>
          <w:color w:val="auto"/>
        </w:rPr>
        <w:t>10.1</w:t>
      </w:r>
      <w:r>
        <w:rPr>
          <w:color w:val="auto"/>
        </w:rPr>
        <w:tab/>
        <w:t>Termination</w:t>
      </w:r>
    </w:p>
    <w:p w14:paraId="779CD88E" w14:textId="77777777" w:rsidR="005F5674" w:rsidRDefault="00680ADE">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572CA869" w14:textId="77777777" w:rsidR="005F5674" w:rsidRDefault="005F5674">
      <w:pPr>
        <w:ind w:left="1440"/>
      </w:pPr>
    </w:p>
    <w:p w14:paraId="6745A27A" w14:textId="77777777" w:rsidR="005F5674" w:rsidRDefault="00680ADE">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75771675" w14:textId="77777777" w:rsidR="005F5674" w:rsidRDefault="00680ADE">
      <w:pPr>
        <w:pStyle w:val="Heading4"/>
        <w:spacing w:before="0" w:after="120"/>
        <w:rPr>
          <w:color w:val="auto"/>
        </w:rPr>
      </w:pPr>
      <w:r>
        <w:rPr>
          <w:color w:val="auto"/>
        </w:rPr>
        <w:t>10.2</w:t>
      </w:r>
      <w:r>
        <w:rPr>
          <w:color w:val="auto"/>
        </w:rPr>
        <w:tab/>
        <w:t>Consequences of termination</w:t>
      </w:r>
    </w:p>
    <w:p w14:paraId="74A5752C" w14:textId="77777777" w:rsidR="005F5674" w:rsidRDefault="00680ADE">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0A8CFDC4" w14:textId="77777777" w:rsidR="005F5674" w:rsidRDefault="005F5674"/>
    <w:p w14:paraId="5DF00784" w14:textId="77777777" w:rsidR="005F5674" w:rsidRDefault="00680ADE">
      <w:pPr>
        <w:ind w:left="1440" w:hanging="720"/>
      </w:pPr>
      <w:r>
        <w:t>10.2.2</w:t>
      </w:r>
      <w:r>
        <w:tab/>
        <w:t>Except as expressly provided in this Agreement, termination of this Agreement will be without prejudice to any accrued rights and obligations under this Agreement.</w:t>
      </w:r>
    </w:p>
    <w:p w14:paraId="5C5D3F73" w14:textId="77777777" w:rsidR="005F5674" w:rsidRDefault="005F5674"/>
    <w:p w14:paraId="0057F938" w14:textId="77777777" w:rsidR="005F5674" w:rsidRDefault="00680ADE">
      <w:pPr>
        <w:pStyle w:val="Heading3"/>
        <w:rPr>
          <w:color w:val="auto"/>
        </w:rPr>
      </w:pPr>
      <w:r>
        <w:rPr>
          <w:color w:val="auto"/>
        </w:rPr>
        <w:lastRenderedPageBreak/>
        <w:t>11. General provisions</w:t>
      </w:r>
    </w:p>
    <w:p w14:paraId="4A009609" w14:textId="77777777" w:rsidR="005F5674" w:rsidRDefault="00680ADE">
      <w:pPr>
        <w:pStyle w:val="Heading4"/>
        <w:rPr>
          <w:color w:val="auto"/>
        </w:rPr>
      </w:pPr>
      <w:r>
        <w:rPr>
          <w:color w:val="auto"/>
        </w:rPr>
        <w:t>11.1</w:t>
      </w:r>
      <w:r>
        <w:rPr>
          <w:color w:val="auto"/>
        </w:rPr>
        <w:tab/>
        <w:t>Force majeure</w:t>
      </w:r>
    </w:p>
    <w:p w14:paraId="1388B60F" w14:textId="77777777" w:rsidR="005F5674" w:rsidRDefault="00680ADE">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7EBD16B1" w14:textId="77777777" w:rsidR="005F5674" w:rsidRDefault="005F5674">
      <w:pPr>
        <w:ind w:left="1440"/>
      </w:pPr>
    </w:p>
    <w:p w14:paraId="371C7BD0" w14:textId="77777777" w:rsidR="005F5674" w:rsidRDefault="00680ADE">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5AC6A99C" w14:textId="77777777" w:rsidR="005F5674" w:rsidRDefault="005F5674">
      <w:pPr>
        <w:ind w:left="720" w:firstLine="720"/>
      </w:pPr>
    </w:p>
    <w:p w14:paraId="1265B7B7" w14:textId="77777777" w:rsidR="005F5674" w:rsidRDefault="00680ADE">
      <w:pPr>
        <w:ind w:left="1440" w:hanging="720"/>
      </w:pPr>
      <w:r>
        <w:t>11.1.3</w:t>
      </w:r>
      <w:r>
        <w:tab/>
        <w:t xml:space="preserve">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w:t>
      </w:r>
    </w:p>
    <w:p w14:paraId="6345AC7D" w14:textId="77777777" w:rsidR="005F5674" w:rsidRDefault="005F5674">
      <w:pPr>
        <w:ind w:left="1440"/>
      </w:pPr>
    </w:p>
    <w:p w14:paraId="02F71C6B" w14:textId="77777777" w:rsidR="005F5674" w:rsidRDefault="00680ADE">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5D09E2A7" w14:textId="77777777" w:rsidR="005F5674" w:rsidRDefault="005F5674"/>
    <w:p w14:paraId="5F48F9D5" w14:textId="77777777" w:rsidR="005F5674" w:rsidRDefault="00680ADE">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0DA55712" w14:textId="77777777" w:rsidR="005F5674" w:rsidRDefault="005F5674">
      <w:pPr>
        <w:ind w:left="720"/>
      </w:pPr>
    </w:p>
    <w:p w14:paraId="1B09F63A" w14:textId="77777777" w:rsidR="005F5674" w:rsidRDefault="00680ADE">
      <w:pPr>
        <w:pStyle w:val="Heading4"/>
        <w:rPr>
          <w:color w:val="auto"/>
        </w:rPr>
      </w:pPr>
      <w:r>
        <w:rPr>
          <w:color w:val="auto"/>
        </w:rPr>
        <w:t>11.2</w:t>
      </w:r>
      <w:r>
        <w:rPr>
          <w:color w:val="auto"/>
        </w:rPr>
        <w:tab/>
        <w:t>Assignment and subcontracting</w:t>
      </w:r>
    </w:p>
    <w:p w14:paraId="6837DABF" w14:textId="77777777" w:rsidR="005F5674" w:rsidRDefault="00680ADE">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41CFBCC2" w14:textId="77777777" w:rsidR="005F5674" w:rsidRDefault="005F5674">
      <w:pPr>
        <w:ind w:left="720"/>
      </w:pPr>
    </w:p>
    <w:p w14:paraId="5989437B" w14:textId="77777777" w:rsidR="005F5674" w:rsidRDefault="00680ADE">
      <w:pPr>
        <w:ind w:left="1440" w:hanging="720"/>
      </w:pPr>
      <w:r>
        <w:t>11.2.2</w:t>
      </w:r>
      <w:r>
        <w:tab/>
        <w:t>Any subcontractors identified in the Detailed Collaboration Plan can perform those elements identified in the Detailed Collaboration Plan to be performed by the Subcontractors.</w:t>
      </w:r>
    </w:p>
    <w:p w14:paraId="01EE99D5" w14:textId="77777777" w:rsidR="005F5674" w:rsidRDefault="005F5674">
      <w:pPr>
        <w:ind w:left="720"/>
      </w:pPr>
    </w:p>
    <w:p w14:paraId="3990332E" w14:textId="77777777" w:rsidR="005F5674" w:rsidRDefault="00680ADE">
      <w:pPr>
        <w:pStyle w:val="Heading4"/>
        <w:rPr>
          <w:color w:val="auto"/>
        </w:rPr>
      </w:pPr>
      <w:r>
        <w:rPr>
          <w:color w:val="auto"/>
        </w:rPr>
        <w:t>11.3</w:t>
      </w:r>
      <w:r>
        <w:rPr>
          <w:color w:val="auto"/>
        </w:rPr>
        <w:tab/>
        <w:t>Notices</w:t>
      </w:r>
    </w:p>
    <w:p w14:paraId="6C084B65" w14:textId="77777777" w:rsidR="005F5674" w:rsidRDefault="00680ADE">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154150D0" w14:textId="77777777" w:rsidR="005F5674" w:rsidRDefault="005F5674"/>
    <w:p w14:paraId="05C5FD6E" w14:textId="77777777" w:rsidR="005F5674" w:rsidRDefault="00680ADE">
      <w:pPr>
        <w:ind w:left="1440" w:hanging="720"/>
      </w:pPr>
      <w:r>
        <w:lastRenderedPageBreak/>
        <w:t>11.3.2</w:t>
      </w:r>
      <w:r>
        <w:tab/>
        <w:t>For the purposes of clause 11.3.1, the address of each of the parties are those in the Detailed Collaboration Plan.</w:t>
      </w:r>
    </w:p>
    <w:p w14:paraId="17980B7A" w14:textId="77777777" w:rsidR="005F5674" w:rsidRDefault="005F5674">
      <w:pPr>
        <w:ind w:left="720" w:firstLine="720"/>
      </w:pPr>
    </w:p>
    <w:p w14:paraId="3EFD08BC" w14:textId="77777777" w:rsidR="005F5674" w:rsidRDefault="00680ADE">
      <w:pPr>
        <w:pStyle w:val="Heading4"/>
        <w:rPr>
          <w:color w:val="auto"/>
        </w:rPr>
      </w:pPr>
      <w:r>
        <w:rPr>
          <w:color w:val="auto"/>
        </w:rPr>
        <w:t>11.4</w:t>
      </w:r>
      <w:r>
        <w:rPr>
          <w:color w:val="auto"/>
        </w:rPr>
        <w:tab/>
        <w:t>Entire agreement</w:t>
      </w:r>
    </w:p>
    <w:p w14:paraId="0C44DDBB" w14:textId="77777777" w:rsidR="005F5674" w:rsidRDefault="00680ADE">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48FB02B5" w14:textId="77777777" w:rsidR="005F5674" w:rsidRDefault="005F5674">
      <w:pPr>
        <w:ind w:firstLine="720"/>
      </w:pPr>
    </w:p>
    <w:p w14:paraId="60A3C74C" w14:textId="77777777" w:rsidR="005F5674" w:rsidRDefault="00680ADE">
      <w:pPr>
        <w:ind w:left="1440" w:hanging="720"/>
      </w:pPr>
      <w:r>
        <w:t>11.4.2</w:t>
      </w:r>
      <w:r>
        <w:tab/>
        <w:t xml:space="preserve">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w:t>
      </w:r>
    </w:p>
    <w:p w14:paraId="06219DE2" w14:textId="77777777" w:rsidR="005F5674" w:rsidRDefault="005F5674">
      <w:pPr>
        <w:ind w:left="1440"/>
      </w:pPr>
    </w:p>
    <w:p w14:paraId="52B29076" w14:textId="77777777" w:rsidR="005F5674" w:rsidRDefault="00680ADE">
      <w:pPr>
        <w:ind w:firstLine="720"/>
      </w:pPr>
      <w:r>
        <w:t>11.4.3 Nothing in this clause 11.4 will exclude any liability for fraud.</w:t>
      </w:r>
    </w:p>
    <w:p w14:paraId="275CE2E6" w14:textId="77777777" w:rsidR="005F5674" w:rsidRDefault="005F5674"/>
    <w:p w14:paraId="317957D7" w14:textId="77777777" w:rsidR="005F5674" w:rsidRDefault="00680ADE">
      <w:pPr>
        <w:pStyle w:val="Heading4"/>
        <w:rPr>
          <w:color w:val="auto"/>
        </w:rPr>
      </w:pPr>
      <w:r>
        <w:rPr>
          <w:color w:val="auto"/>
        </w:rPr>
        <w:t>11.5</w:t>
      </w:r>
      <w:r>
        <w:rPr>
          <w:color w:val="auto"/>
        </w:rPr>
        <w:tab/>
        <w:t>Rights of third parties</w:t>
      </w:r>
    </w:p>
    <w:p w14:paraId="172B951F" w14:textId="77777777" w:rsidR="005F5674" w:rsidRDefault="00680ADE">
      <w:pPr>
        <w:ind w:left="720"/>
      </w:pPr>
      <w:r>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w:t>
      </w:r>
    </w:p>
    <w:p w14:paraId="7E047AB5" w14:textId="77777777" w:rsidR="005F5674" w:rsidRDefault="005F5674">
      <w:pPr>
        <w:ind w:left="720"/>
      </w:pPr>
    </w:p>
    <w:p w14:paraId="0CE477A7" w14:textId="77777777" w:rsidR="005F5674" w:rsidRDefault="00680ADE">
      <w:pPr>
        <w:pStyle w:val="Heading4"/>
        <w:rPr>
          <w:color w:val="auto"/>
        </w:rPr>
      </w:pPr>
      <w:r>
        <w:rPr>
          <w:color w:val="auto"/>
        </w:rPr>
        <w:t>11.6</w:t>
      </w:r>
      <w:r>
        <w:rPr>
          <w:color w:val="auto"/>
        </w:rPr>
        <w:tab/>
        <w:t>Severability</w:t>
      </w:r>
    </w:p>
    <w:p w14:paraId="33CF0BEC" w14:textId="77777777" w:rsidR="005F5674" w:rsidRDefault="00680ADE">
      <w:pPr>
        <w:ind w:left="720"/>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290936CD" w14:textId="77777777" w:rsidR="005F5674" w:rsidRDefault="005F5674"/>
    <w:p w14:paraId="618816AF" w14:textId="77777777" w:rsidR="005F5674" w:rsidRDefault="00680ADE">
      <w:pPr>
        <w:pStyle w:val="Heading4"/>
        <w:rPr>
          <w:color w:val="auto"/>
        </w:rPr>
      </w:pPr>
      <w:r>
        <w:rPr>
          <w:color w:val="auto"/>
        </w:rPr>
        <w:t>11.7</w:t>
      </w:r>
      <w:r>
        <w:rPr>
          <w:color w:val="auto"/>
        </w:rPr>
        <w:tab/>
        <w:t>Variations</w:t>
      </w:r>
    </w:p>
    <w:p w14:paraId="3CDB2AF7" w14:textId="77777777" w:rsidR="005F5674" w:rsidRDefault="00680ADE">
      <w:pPr>
        <w:ind w:left="720"/>
      </w:pPr>
      <w:r>
        <w:t>No purported amendment or variation of this Agreement or any provision of this Agreement will be effective unless it is made in writing by the parties.</w:t>
      </w:r>
    </w:p>
    <w:p w14:paraId="3F0C1514" w14:textId="77777777" w:rsidR="005F5674" w:rsidRDefault="005F5674"/>
    <w:p w14:paraId="4D9187D1" w14:textId="77777777" w:rsidR="005F5674" w:rsidRDefault="00680ADE">
      <w:pPr>
        <w:pStyle w:val="Heading4"/>
        <w:rPr>
          <w:color w:val="auto"/>
        </w:rPr>
      </w:pPr>
      <w:r>
        <w:rPr>
          <w:color w:val="auto"/>
        </w:rPr>
        <w:t>11.8</w:t>
      </w:r>
      <w:r>
        <w:rPr>
          <w:color w:val="auto"/>
        </w:rPr>
        <w:tab/>
        <w:t>No waiver</w:t>
      </w:r>
    </w:p>
    <w:p w14:paraId="631437D0" w14:textId="77777777" w:rsidR="005F5674" w:rsidRDefault="00680ADE">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19AE0D11" w14:textId="77777777" w:rsidR="005F5674" w:rsidRDefault="005F5674"/>
    <w:p w14:paraId="45380B3C" w14:textId="77777777" w:rsidR="005F5674" w:rsidRDefault="00680ADE">
      <w:pPr>
        <w:pStyle w:val="Heading4"/>
        <w:rPr>
          <w:color w:val="auto"/>
        </w:rPr>
      </w:pPr>
      <w:r>
        <w:rPr>
          <w:color w:val="auto"/>
        </w:rPr>
        <w:lastRenderedPageBreak/>
        <w:t>11.9</w:t>
      </w:r>
      <w:r>
        <w:rPr>
          <w:color w:val="auto"/>
        </w:rPr>
        <w:tab/>
        <w:t>Governing law and jurisdiction</w:t>
      </w:r>
    </w:p>
    <w:p w14:paraId="1213D045" w14:textId="77777777" w:rsidR="005F5674" w:rsidRDefault="00680ADE">
      <w:pPr>
        <w:ind w:left="720"/>
      </w:pPr>
      <w:r>
        <w:t>This Agreement will be governed by and construed in accordance with English law and without prejudice to the Dispute Resolution Process, each party agrees to submit to the exclusive jurisdiction of the courts of England and Wales.</w:t>
      </w:r>
    </w:p>
    <w:p w14:paraId="1D29A7E2" w14:textId="77777777" w:rsidR="005F5674" w:rsidRDefault="005F5674"/>
    <w:p w14:paraId="621A4125" w14:textId="77777777" w:rsidR="005F5674" w:rsidRDefault="00680ADE">
      <w:pPr>
        <w:ind w:left="720"/>
      </w:pPr>
      <w:r>
        <w:t>Executed and delivered as an agreement by the parties or their duly authorised attorneys the day and year first above written.</w:t>
      </w:r>
    </w:p>
    <w:p w14:paraId="2442238D" w14:textId="77777777" w:rsidR="005F5674" w:rsidRDefault="00680ADE">
      <w:pPr>
        <w:spacing w:before="240" w:after="240"/>
      </w:pPr>
      <w:r>
        <w:rPr>
          <w:b/>
          <w:sz w:val="20"/>
          <w:szCs w:val="20"/>
        </w:rPr>
        <w:t xml:space="preserve"> </w:t>
      </w:r>
    </w:p>
    <w:p w14:paraId="185A9C69" w14:textId="77777777" w:rsidR="005F5674" w:rsidRDefault="00680ADE">
      <w:pPr>
        <w:rPr>
          <w:b/>
        </w:rPr>
      </w:pPr>
      <w:r>
        <w:rPr>
          <w:b/>
        </w:rPr>
        <w:t>For and on behalf of the Buyer</w:t>
      </w:r>
    </w:p>
    <w:p w14:paraId="672F26DC" w14:textId="77777777" w:rsidR="005F5674" w:rsidRDefault="005F5674">
      <w:pPr>
        <w:rPr>
          <w:b/>
        </w:rPr>
      </w:pPr>
    </w:p>
    <w:p w14:paraId="16F2A10A" w14:textId="77777777" w:rsidR="005F5674" w:rsidRDefault="00680ADE">
      <w:pPr>
        <w:spacing w:line="480" w:lineRule="auto"/>
      </w:pPr>
      <w:r>
        <w:t>Signed by:</w:t>
      </w:r>
    </w:p>
    <w:p w14:paraId="7518AB4F" w14:textId="77777777" w:rsidR="005F5674" w:rsidRDefault="00680ADE">
      <w:r>
        <w:t>Full name (capitals):</w:t>
      </w:r>
    </w:p>
    <w:p w14:paraId="4E70FC1F" w14:textId="77777777" w:rsidR="005F5674" w:rsidRDefault="00680ADE">
      <w:r>
        <w:t>Position:</w:t>
      </w:r>
    </w:p>
    <w:p w14:paraId="5F850601" w14:textId="77777777" w:rsidR="005F5674" w:rsidRDefault="00680ADE">
      <w:r>
        <w:t>Date:</w:t>
      </w:r>
    </w:p>
    <w:p w14:paraId="0D443EEA" w14:textId="77777777" w:rsidR="005F5674" w:rsidRDefault="00680ADE">
      <w:r>
        <w:t xml:space="preserve"> </w:t>
      </w:r>
    </w:p>
    <w:p w14:paraId="0E2E55BA" w14:textId="77777777" w:rsidR="005F5674" w:rsidRDefault="00680ADE">
      <w:pPr>
        <w:spacing w:line="480" w:lineRule="auto"/>
        <w:rPr>
          <w:b/>
        </w:rPr>
      </w:pPr>
      <w:r>
        <w:rPr>
          <w:b/>
        </w:rPr>
        <w:t>For and on behalf of the [Company name]</w:t>
      </w:r>
    </w:p>
    <w:p w14:paraId="229B7552" w14:textId="77777777" w:rsidR="005F5674" w:rsidRDefault="00680ADE">
      <w:pPr>
        <w:spacing w:line="480" w:lineRule="auto"/>
      </w:pPr>
      <w:r>
        <w:t>Signed by:</w:t>
      </w:r>
    </w:p>
    <w:p w14:paraId="40F09FD5" w14:textId="77777777" w:rsidR="005F5674" w:rsidRDefault="00680ADE">
      <w:r>
        <w:t>Full name (capitals):</w:t>
      </w:r>
    </w:p>
    <w:p w14:paraId="6A308E6F" w14:textId="77777777" w:rsidR="005F5674" w:rsidRDefault="00680ADE">
      <w:r>
        <w:t>Position:</w:t>
      </w:r>
    </w:p>
    <w:p w14:paraId="63D53348" w14:textId="77777777" w:rsidR="005F5674" w:rsidRDefault="00680ADE">
      <w:r>
        <w:t>Date:</w:t>
      </w:r>
    </w:p>
    <w:p w14:paraId="051D2DC6" w14:textId="77777777" w:rsidR="005F5674" w:rsidRDefault="00680ADE">
      <w:r>
        <w:t xml:space="preserve"> </w:t>
      </w:r>
    </w:p>
    <w:p w14:paraId="4B71A586" w14:textId="77777777" w:rsidR="005F5674" w:rsidRDefault="00680ADE">
      <w:pPr>
        <w:spacing w:line="480" w:lineRule="auto"/>
        <w:rPr>
          <w:b/>
        </w:rPr>
      </w:pPr>
      <w:r>
        <w:rPr>
          <w:b/>
        </w:rPr>
        <w:t>For and on behalf of the [Company name]</w:t>
      </w:r>
    </w:p>
    <w:p w14:paraId="61E7E00B" w14:textId="77777777" w:rsidR="005F5674" w:rsidRDefault="00680ADE">
      <w:pPr>
        <w:spacing w:line="480" w:lineRule="auto"/>
      </w:pPr>
      <w:r>
        <w:t>Signed by:</w:t>
      </w:r>
    </w:p>
    <w:p w14:paraId="178AE216" w14:textId="77777777" w:rsidR="005F5674" w:rsidRDefault="00680ADE">
      <w:r>
        <w:t>Full name (capitals):</w:t>
      </w:r>
    </w:p>
    <w:p w14:paraId="46102289" w14:textId="77777777" w:rsidR="005F5674" w:rsidRDefault="00680ADE">
      <w:r>
        <w:t>Position:</w:t>
      </w:r>
    </w:p>
    <w:p w14:paraId="7409B29D" w14:textId="77777777" w:rsidR="005F5674" w:rsidRDefault="00680ADE">
      <w:r>
        <w:t>Date:</w:t>
      </w:r>
    </w:p>
    <w:p w14:paraId="331630DD" w14:textId="77777777" w:rsidR="005F5674" w:rsidRDefault="00680ADE">
      <w:r>
        <w:t xml:space="preserve"> </w:t>
      </w:r>
    </w:p>
    <w:p w14:paraId="755D63A0" w14:textId="77777777" w:rsidR="005F5674" w:rsidRDefault="00680ADE">
      <w:pPr>
        <w:spacing w:line="480" w:lineRule="auto"/>
        <w:rPr>
          <w:b/>
        </w:rPr>
      </w:pPr>
      <w:r>
        <w:rPr>
          <w:b/>
        </w:rPr>
        <w:t>For and on behalf of the [Company name]</w:t>
      </w:r>
    </w:p>
    <w:p w14:paraId="1AC3ED0F" w14:textId="77777777" w:rsidR="005F5674" w:rsidRDefault="00680ADE">
      <w:pPr>
        <w:spacing w:line="480" w:lineRule="auto"/>
      </w:pPr>
      <w:r>
        <w:t>Signed by:</w:t>
      </w:r>
    </w:p>
    <w:p w14:paraId="696A1CB5" w14:textId="77777777" w:rsidR="005F5674" w:rsidRDefault="00680ADE">
      <w:r>
        <w:t>Full name (capitals):</w:t>
      </w:r>
    </w:p>
    <w:p w14:paraId="26DC37CD" w14:textId="77777777" w:rsidR="005F5674" w:rsidRDefault="00680ADE">
      <w:r>
        <w:t>Position:</w:t>
      </w:r>
    </w:p>
    <w:p w14:paraId="69558A76" w14:textId="77777777" w:rsidR="005F5674" w:rsidRDefault="00680ADE">
      <w:r>
        <w:t>Date:</w:t>
      </w:r>
    </w:p>
    <w:p w14:paraId="11ADCCA7" w14:textId="77777777" w:rsidR="005F5674" w:rsidRDefault="00680ADE">
      <w:r>
        <w:t xml:space="preserve"> </w:t>
      </w:r>
    </w:p>
    <w:p w14:paraId="5390D8D7" w14:textId="77777777" w:rsidR="005F5674" w:rsidRDefault="005F5674">
      <w:pPr>
        <w:spacing w:line="480" w:lineRule="auto"/>
        <w:rPr>
          <w:b/>
        </w:rPr>
      </w:pPr>
    </w:p>
    <w:p w14:paraId="76DB9674" w14:textId="77777777" w:rsidR="005F5674" w:rsidRDefault="00680ADE">
      <w:pPr>
        <w:spacing w:line="480" w:lineRule="auto"/>
        <w:rPr>
          <w:b/>
        </w:rPr>
      </w:pPr>
      <w:r>
        <w:rPr>
          <w:b/>
        </w:rPr>
        <w:t>For and on behalf of the [Company name]</w:t>
      </w:r>
    </w:p>
    <w:p w14:paraId="6127E4FD" w14:textId="77777777" w:rsidR="005F5674" w:rsidRDefault="00680ADE">
      <w:pPr>
        <w:spacing w:line="480" w:lineRule="auto"/>
      </w:pPr>
      <w:r>
        <w:t>Signed by:</w:t>
      </w:r>
    </w:p>
    <w:p w14:paraId="528899B2" w14:textId="77777777" w:rsidR="005F5674" w:rsidRDefault="00680ADE">
      <w:r>
        <w:t>Full name (capitals):</w:t>
      </w:r>
    </w:p>
    <w:p w14:paraId="5D7D2F0F" w14:textId="77777777" w:rsidR="005F5674" w:rsidRDefault="00680ADE">
      <w:r>
        <w:t>Position:</w:t>
      </w:r>
    </w:p>
    <w:p w14:paraId="268333C8" w14:textId="77777777" w:rsidR="005F5674" w:rsidRDefault="00680ADE">
      <w:r>
        <w:t>Date:</w:t>
      </w:r>
    </w:p>
    <w:p w14:paraId="126657A0" w14:textId="77777777" w:rsidR="005F5674" w:rsidRDefault="00680ADE">
      <w:r>
        <w:t xml:space="preserve"> </w:t>
      </w:r>
    </w:p>
    <w:p w14:paraId="7B3C520A" w14:textId="77777777" w:rsidR="005F5674" w:rsidRDefault="00680ADE">
      <w:pPr>
        <w:spacing w:line="480" w:lineRule="auto"/>
        <w:rPr>
          <w:b/>
        </w:rPr>
      </w:pPr>
      <w:r>
        <w:rPr>
          <w:b/>
        </w:rPr>
        <w:t>For and on behalf of the [Company name]</w:t>
      </w:r>
    </w:p>
    <w:p w14:paraId="54243D52" w14:textId="77777777" w:rsidR="005F5674" w:rsidRDefault="00680ADE">
      <w:pPr>
        <w:spacing w:line="480" w:lineRule="auto"/>
      </w:pPr>
      <w:r>
        <w:lastRenderedPageBreak/>
        <w:t>Signed by:</w:t>
      </w:r>
    </w:p>
    <w:p w14:paraId="0D515E04" w14:textId="77777777" w:rsidR="005F5674" w:rsidRDefault="00680ADE">
      <w:r>
        <w:t>Full name (capitals):</w:t>
      </w:r>
    </w:p>
    <w:p w14:paraId="05907029" w14:textId="77777777" w:rsidR="005F5674" w:rsidRDefault="00680ADE">
      <w:r>
        <w:t>Position:</w:t>
      </w:r>
    </w:p>
    <w:p w14:paraId="112B8AEC" w14:textId="77777777" w:rsidR="005F5674" w:rsidRDefault="00680ADE">
      <w:r>
        <w:t>Date:</w:t>
      </w:r>
    </w:p>
    <w:p w14:paraId="4E7D31C9" w14:textId="77777777" w:rsidR="005F5674" w:rsidRDefault="00680ADE">
      <w:r>
        <w:t xml:space="preserve"> </w:t>
      </w:r>
    </w:p>
    <w:p w14:paraId="33EBD2BF" w14:textId="77777777" w:rsidR="005F5674" w:rsidRDefault="00680ADE">
      <w:pPr>
        <w:spacing w:line="480" w:lineRule="auto"/>
        <w:rPr>
          <w:b/>
        </w:rPr>
      </w:pPr>
      <w:r>
        <w:rPr>
          <w:b/>
        </w:rPr>
        <w:t>For and on behalf of the [Company name]</w:t>
      </w:r>
    </w:p>
    <w:p w14:paraId="7900C459" w14:textId="77777777" w:rsidR="005F5674" w:rsidRDefault="00680ADE">
      <w:pPr>
        <w:spacing w:line="480" w:lineRule="auto"/>
      </w:pPr>
      <w:r>
        <w:t>Signed by:</w:t>
      </w:r>
    </w:p>
    <w:p w14:paraId="2D7977CE" w14:textId="77777777" w:rsidR="005F5674" w:rsidRDefault="00680ADE">
      <w:r>
        <w:t>Full name (capitals):</w:t>
      </w:r>
    </w:p>
    <w:p w14:paraId="27F5DBD9" w14:textId="77777777" w:rsidR="005F5674" w:rsidRDefault="00680ADE">
      <w:r>
        <w:t>Position:</w:t>
      </w:r>
    </w:p>
    <w:p w14:paraId="1DFFEEA6" w14:textId="77777777" w:rsidR="005F5674" w:rsidRDefault="00680ADE">
      <w:r>
        <w:t>Date:</w:t>
      </w:r>
    </w:p>
    <w:p w14:paraId="7E730F79" w14:textId="77777777" w:rsidR="005F5674" w:rsidRDefault="00680ADE">
      <w:pPr>
        <w:pStyle w:val="Heading3"/>
        <w:rPr>
          <w:color w:val="auto"/>
        </w:rPr>
      </w:pPr>
      <w:r>
        <w:rPr>
          <w:color w:val="auto"/>
        </w:rPr>
        <w:t>Collaboration Agreement Schedule 1: List of contracts</w:t>
      </w:r>
    </w:p>
    <w:tbl>
      <w:tblPr>
        <w:tblW w:w="8895" w:type="dxa"/>
        <w:tblInd w:w="2" w:type="dxa"/>
        <w:tblLayout w:type="fixed"/>
        <w:tblCellMar>
          <w:left w:w="10" w:type="dxa"/>
          <w:right w:w="10" w:type="dxa"/>
        </w:tblCellMar>
        <w:tblLook w:val="04A0" w:firstRow="1" w:lastRow="0" w:firstColumn="1" w:lastColumn="0" w:noHBand="0" w:noVBand="1"/>
      </w:tblPr>
      <w:tblGrid>
        <w:gridCol w:w="2970"/>
        <w:gridCol w:w="3075"/>
        <w:gridCol w:w="2850"/>
      </w:tblGrid>
      <w:tr w:rsidR="005F5674" w14:paraId="567B86F4" w14:textId="77777777">
        <w:trPr>
          <w:trHeight w:val="420"/>
        </w:trPr>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258580" w14:textId="77777777" w:rsidR="005F5674" w:rsidRDefault="00680ADE">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D7F52BE" w14:textId="77777777" w:rsidR="005F5674" w:rsidRDefault="00680ADE">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8963BA9" w14:textId="77777777" w:rsidR="005F5674" w:rsidRDefault="00680ADE">
            <w:pPr>
              <w:spacing w:before="240" w:after="240"/>
              <w:rPr>
                <w:b/>
                <w:sz w:val="20"/>
                <w:szCs w:val="20"/>
              </w:rPr>
            </w:pPr>
            <w:r>
              <w:rPr>
                <w:b/>
                <w:sz w:val="20"/>
                <w:szCs w:val="20"/>
              </w:rPr>
              <w:t>Effective date of contract</w:t>
            </w:r>
          </w:p>
        </w:tc>
      </w:tr>
      <w:tr w:rsidR="005F5674" w14:paraId="622C12E3" w14:textId="77777777">
        <w:trPr>
          <w:trHeight w:val="420"/>
        </w:trPr>
        <w:tc>
          <w:tcPr>
            <w:tcW w:w="2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F52032" w14:textId="77777777" w:rsidR="005F5674" w:rsidRDefault="00680ADE">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tcMar>
              <w:top w:w="100" w:type="dxa"/>
              <w:left w:w="100" w:type="dxa"/>
              <w:bottom w:w="100" w:type="dxa"/>
              <w:right w:w="100" w:type="dxa"/>
            </w:tcMar>
          </w:tcPr>
          <w:p w14:paraId="65E10B08" w14:textId="77777777" w:rsidR="005F5674" w:rsidRDefault="00680ADE">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tcMar>
              <w:top w:w="100" w:type="dxa"/>
              <w:left w:w="100" w:type="dxa"/>
              <w:bottom w:w="100" w:type="dxa"/>
              <w:right w:w="100" w:type="dxa"/>
            </w:tcMar>
          </w:tcPr>
          <w:p w14:paraId="05712F31" w14:textId="77777777" w:rsidR="005F5674" w:rsidRDefault="00680ADE">
            <w:pPr>
              <w:spacing w:before="240" w:after="240"/>
              <w:rPr>
                <w:sz w:val="20"/>
                <w:szCs w:val="20"/>
              </w:rPr>
            </w:pPr>
            <w:r>
              <w:rPr>
                <w:sz w:val="20"/>
                <w:szCs w:val="20"/>
              </w:rPr>
              <w:t xml:space="preserve"> </w:t>
            </w:r>
          </w:p>
        </w:tc>
      </w:tr>
      <w:tr w:rsidR="005F5674" w14:paraId="2B67B794" w14:textId="77777777">
        <w:trPr>
          <w:trHeight w:val="420"/>
        </w:trPr>
        <w:tc>
          <w:tcPr>
            <w:tcW w:w="2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FDD6F1F" w14:textId="77777777" w:rsidR="005F5674" w:rsidRDefault="00680ADE">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tcMar>
              <w:top w:w="100" w:type="dxa"/>
              <w:left w:w="100" w:type="dxa"/>
              <w:bottom w:w="100" w:type="dxa"/>
              <w:right w:w="100" w:type="dxa"/>
            </w:tcMar>
          </w:tcPr>
          <w:p w14:paraId="7CFCDE3C" w14:textId="77777777" w:rsidR="005F5674" w:rsidRDefault="00680ADE">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tcMar>
              <w:top w:w="100" w:type="dxa"/>
              <w:left w:w="100" w:type="dxa"/>
              <w:bottom w:w="100" w:type="dxa"/>
              <w:right w:w="100" w:type="dxa"/>
            </w:tcMar>
          </w:tcPr>
          <w:p w14:paraId="0BE6AC2B" w14:textId="77777777" w:rsidR="005F5674" w:rsidRDefault="00680ADE">
            <w:pPr>
              <w:spacing w:before="240" w:after="240"/>
              <w:rPr>
                <w:sz w:val="20"/>
                <w:szCs w:val="20"/>
              </w:rPr>
            </w:pPr>
            <w:r>
              <w:rPr>
                <w:sz w:val="20"/>
                <w:szCs w:val="20"/>
              </w:rPr>
              <w:t xml:space="preserve"> </w:t>
            </w:r>
          </w:p>
        </w:tc>
      </w:tr>
      <w:tr w:rsidR="005F5674" w14:paraId="0DDC45CF" w14:textId="77777777">
        <w:trPr>
          <w:trHeight w:val="420"/>
        </w:trPr>
        <w:tc>
          <w:tcPr>
            <w:tcW w:w="2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FA66F5" w14:textId="77777777" w:rsidR="005F5674" w:rsidRDefault="00680ADE">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tcMar>
              <w:top w:w="100" w:type="dxa"/>
              <w:left w:w="100" w:type="dxa"/>
              <w:bottom w:w="100" w:type="dxa"/>
              <w:right w:w="100" w:type="dxa"/>
            </w:tcMar>
          </w:tcPr>
          <w:p w14:paraId="554C95B3" w14:textId="77777777" w:rsidR="005F5674" w:rsidRDefault="00680ADE">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tcMar>
              <w:top w:w="100" w:type="dxa"/>
              <w:left w:w="100" w:type="dxa"/>
              <w:bottom w:w="100" w:type="dxa"/>
              <w:right w:w="100" w:type="dxa"/>
            </w:tcMar>
          </w:tcPr>
          <w:p w14:paraId="7617E5EA" w14:textId="77777777" w:rsidR="005F5674" w:rsidRDefault="00680ADE">
            <w:pPr>
              <w:spacing w:before="240" w:after="240"/>
              <w:rPr>
                <w:sz w:val="20"/>
                <w:szCs w:val="20"/>
              </w:rPr>
            </w:pPr>
            <w:r>
              <w:rPr>
                <w:sz w:val="20"/>
                <w:szCs w:val="20"/>
              </w:rPr>
              <w:t xml:space="preserve"> </w:t>
            </w:r>
          </w:p>
        </w:tc>
      </w:tr>
      <w:tr w:rsidR="005F5674" w14:paraId="42FEC8C6" w14:textId="77777777">
        <w:trPr>
          <w:trHeight w:val="420"/>
        </w:trPr>
        <w:tc>
          <w:tcPr>
            <w:tcW w:w="2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66EDD28" w14:textId="77777777" w:rsidR="005F5674" w:rsidRDefault="00680ADE">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tcMar>
              <w:top w:w="100" w:type="dxa"/>
              <w:left w:w="100" w:type="dxa"/>
              <w:bottom w:w="100" w:type="dxa"/>
              <w:right w:w="100" w:type="dxa"/>
            </w:tcMar>
          </w:tcPr>
          <w:p w14:paraId="762721E4" w14:textId="77777777" w:rsidR="005F5674" w:rsidRDefault="00680ADE">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tcMar>
              <w:top w:w="100" w:type="dxa"/>
              <w:left w:w="100" w:type="dxa"/>
              <w:bottom w:w="100" w:type="dxa"/>
              <w:right w:w="100" w:type="dxa"/>
            </w:tcMar>
          </w:tcPr>
          <w:p w14:paraId="564C2A47" w14:textId="77777777" w:rsidR="005F5674" w:rsidRDefault="00680ADE">
            <w:pPr>
              <w:spacing w:before="240" w:after="240"/>
              <w:rPr>
                <w:sz w:val="20"/>
                <w:szCs w:val="20"/>
              </w:rPr>
            </w:pPr>
            <w:r>
              <w:rPr>
                <w:sz w:val="20"/>
                <w:szCs w:val="20"/>
              </w:rPr>
              <w:t xml:space="preserve"> </w:t>
            </w:r>
          </w:p>
        </w:tc>
      </w:tr>
    </w:tbl>
    <w:p w14:paraId="43692BBF" w14:textId="77777777" w:rsidR="005F5674" w:rsidRDefault="00680ADE">
      <w:pPr>
        <w:spacing w:before="240" w:after="240"/>
        <w:rPr>
          <w:sz w:val="20"/>
          <w:szCs w:val="20"/>
        </w:rPr>
      </w:pPr>
      <w:r>
        <w:rPr>
          <w:sz w:val="20"/>
          <w:szCs w:val="20"/>
        </w:rPr>
        <w:t xml:space="preserve"> </w:t>
      </w:r>
    </w:p>
    <w:p w14:paraId="34C013BB" w14:textId="77777777" w:rsidR="005F5674" w:rsidRDefault="005F5674">
      <w:pPr>
        <w:spacing w:before="240" w:after="240"/>
        <w:rPr>
          <w:sz w:val="20"/>
          <w:szCs w:val="20"/>
        </w:rPr>
      </w:pPr>
    </w:p>
    <w:p w14:paraId="47C1C280" w14:textId="77777777" w:rsidR="005F5674" w:rsidRDefault="005F5674">
      <w:pPr>
        <w:spacing w:before="240" w:after="240"/>
        <w:rPr>
          <w:sz w:val="20"/>
          <w:szCs w:val="20"/>
        </w:rPr>
      </w:pPr>
    </w:p>
    <w:p w14:paraId="6F4F92F8" w14:textId="77777777" w:rsidR="005F5674" w:rsidRDefault="005F5674">
      <w:pPr>
        <w:pageBreakBefore/>
      </w:pPr>
    </w:p>
    <w:p w14:paraId="5AC63891" w14:textId="77777777" w:rsidR="005F5674" w:rsidRDefault="00680ADE">
      <w:pPr>
        <w:pStyle w:val="Heading3"/>
      </w:pPr>
      <w:r>
        <w:rPr>
          <w:color w:val="auto"/>
        </w:rPr>
        <w:t>Collaboration Agreement Schedule 2 [</w:t>
      </w:r>
      <w:r>
        <w:rPr>
          <w:b/>
          <w:color w:val="auto"/>
        </w:rPr>
        <w:t>Insert Outline Collaboration Plan</w:t>
      </w:r>
      <w:r>
        <w:rPr>
          <w:color w:val="auto"/>
        </w:rPr>
        <w:t>]</w:t>
      </w:r>
    </w:p>
    <w:p w14:paraId="0174F1EA" w14:textId="77777777" w:rsidR="005F5674" w:rsidRDefault="005F5674">
      <w:pPr>
        <w:spacing w:before="240" w:after="240"/>
        <w:rPr>
          <w:b/>
        </w:rPr>
      </w:pPr>
    </w:p>
    <w:p w14:paraId="7E714C4F" w14:textId="77777777" w:rsidR="005F5674" w:rsidRDefault="005F5674">
      <w:pPr>
        <w:spacing w:before="240" w:after="240"/>
        <w:rPr>
          <w:b/>
        </w:rPr>
      </w:pPr>
    </w:p>
    <w:p w14:paraId="5B897CA4" w14:textId="77777777" w:rsidR="005F5674" w:rsidRDefault="00680ADE">
      <w:pPr>
        <w:spacing w:before="240" w:after="240"/>
      </w:pPr>
      <w:r>
        <w:t xml:space="preserve"> </w:t>
      </w:r>
    </w:p>
    <w:p w14:paraId="447F9464" w14:textId="77777777" w:rsidR="005F5674" w:rsidRDefault="005F5674">
      <w:pPr>
        <w:pageBreakBefore/>
      </w:pPr>
    </w:p>
    <w:p w14:paraId="6D6CA0FC" w14:textId="77777777" w:rsidR="005F5674" w:rsidRDefault="00680ADE">
      <w:pPr>
        <w:pStyle w:val="Heading2"/>
      </w:pPr>
      <w:bookmarkStart w:id="22" w:name="_Toc33176237"/>
      <w:r>
        <w:t>Schedule 4: Alternative clauses</w:t>
      </w:r>
      <w:bookmarkEnd w:id="22"/>
    </w:p>
    <w:p w14:paraId="7B68C985" w14:textId="77777777" w:rsidR="005F5674" w:rsidRDefault="00680ADE">
      <w:pPr>
        <w:pStyle w:val="Heading3"/>
        <w:rPr>
          <w:color w:val="auto"/>
        </w:rPr>
      </w:pPr>
      <w:r>
        <w:rPr>
          <w:color w:val="auto"/>
        </w:rPr>
        <w:t>1.</w:t>
      </w:r>
      <w:r>
        <w:rPr>
          <w:color w:val="auto"/>
        </w:rPr>
        <w:tab/>
        <w:t>Introduction</w:t>
      </w:r>
    </w:p>
    <w:p w14:paraId="7E07FBC2" w14:textId="77777777" w:rsidR="005F5674" w:rsidRDefault="00680ADE">
      <w:pPr>
        <w:ind w:firstLine="720"/>
      </w:pPr>
      <w:r>
        <w:t>1.1</w:t>
      </w:r>
      <w:r>
        <w:tab/>
        <w:t>This Schedule specifies the alternative clauses that may be requested in the</w:t>
      </w:r>
    </w:p>
    <w:p w14:paraId="135238D7" w14:textId="77777777" w:rsidR="005F5674" w:rsidRDefault="00680ADE">
      <w:pPr>
        <w:ind w:firstLine="720"/>
      </w:pPr>
      <w:r>
        <w:t>Order Form and, if requested in the Order Form, will apply to this Call-Off Contract.</w:t>
      </w:r>
    </w:p>
    <w:p w14:paraId="545B5138" w14:textId="77777777" w:rsidR="005F5674" w:rsidRDefault="005F5674"/>
    <w:p w14:paraId="4E47A543" w14:textId="77777777" w:rsidR="005F5674" w:rsidRDefault="00680ADE">
      <w:pPr>
        <w:pStyle w:val="Heading3"/>
        <w:rPr>
          <w:color w:val="auto"/>
        </w:rPr>
      </w:pPr>
      <w:r>
        <w:rPr>
          <w:color w:val="auto"/>
        </w:rPr>
        <w:t>2.</w:t>
      </w:r>
      <w:r>
        <w:rPr>
          <w:color w:val="auto"/>
        </w:rPr>
        <w:tab/>
        <w:t>Clauses selected</w:t>
      </w:r>
    </w:p>
    <w:p w14:paraId="2D9BE5F7" w14:textId="77777777" w:rsidR="005F5674" w:rsidRDefault="00680ADE">
      <w:pPr>
        <w:ind w:firstLine="720"/>
      </w:pPr>
      <w:r>
        <w:t>2.1</w:t>
      </w:r>
      <w:r>
        <w:tab/>
        <w:t>The Customer may, in the Order Form, request the following alternative Clauses:</w:t>
      </w:r>
    </w:p>
    <w:p w14:paraId="50D1FA6A" w14:textId="77777777" w:rsidR="005F5674" w:rsidRDefault="005F5674">
      <w:pPr>
        <w:ind w:left="720" w:firstLine="720"/>
      </w:pPr>
    </w:p>
    <w:p w14:paraId="22808B80" w14:textId="77777777" w:rsidR="005F5674" w:rsidRDefault="00680ADE">
      <w:pPr>
        <w:ind w:left="720" w:firstLine="720"/>
      </w:pPr>
      <w:r>
        <w:t>2.1.1</w:t>
      </w:r>
      <w:r>
        <w:tab/>
        <w:t>Scots Law and Jurisdiction</w:t>
      </w:r>
    </w:p>
    <w:p w14:paraId="387482EB" w14:textId="77777777" w:rsidR="005F5674" w:rsidRDefault="005F5674">
      <w:pPr>
        <w:ind w:firstLine="720"/>
      </w:pPr>
    </w:p>
    <w:p w14:paraId="68CF4DE8" w14:textId="77777777" w:rsidR="005F5674" w:rsidRDefault="00680ADE">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3ECA3A1" w14:textId="77777777" w:rsidR="005F5674" w:rsidRDefault="005F5674"/>
    <w:p w14:paraId="584E5C56" w14:textId="77777777" w:rsidR="005F5674" w:rsidRDefault="00680ADE">
      <w:pPr>
        <w:ind w:left="2160" w:hanging="720"/>
      </w:pPr>
      <w:r>
        <w:t>2.1.3</w:t>
      </w:r>
      <w:r>
        <w:tab/>
        <w:t>Reference to England and Wales in Working Days definition within the Glossary and interpretations section will be replaced with Scotland.</w:t>
      </w:r>
    </w:p>
    <w:p w14:paraId="51392B07" w14:textId="77777777" w:rsidR="005F5674" w:rsidRDefault="005F5674"/>
    <w:p w14:paraId="193498F1" w14:textId="77777777" w:rsidR="005F5674" w:rsidRDefault="00680ADE">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11DC1086" w14:textId="77777777" w:rsidR="005F5674" w:rsidRDefault="005F5674"/>
    <w:p w14:paraId="42729648" w14:textId="77777777" w:rsidR="005F5674" w:rsidRDefault="00680ADE">
      <w:pPr>
        <w:ind w:left="2160" w:hanging="720"/>
      </w:pPr>
      <w:r>
        <w:t>2.1.5</w:t>
      </w:r>
      <w:r>
        <w:tab/>
        <w:t>Reference to the Supply of Goods and Services Act 1982 will be removed in incorporated Framework Agreement clause 4.2.</w:t>
      </w:r>
    </w:p>
    <w:p w14:paraId="40FC2B70" w14:textId="77777777" w:rsidR="005F5674" w:rsidRDefault="005F5674"/>
    <w:p w14:paraId="251B3504" w14:textId="77777777" w:rsidR="005F5674" w:rsidRDefault="00680ADE">
      <w:pPr>
        <w:ind w:left="720" w:firstLine="720"/>
      </w:pPr>
      <w:r>
        <w:t>2.1.6</w:t>
      </w:r>
      <w:r>
        <w:tab/>
        <w:t>References to “tort” will be replaced with “delict” throughout</w:t>
      </w:r>
    </w:p>
    <w:p w14:paraId="1FCD9F51" w14:textId="77777777" w:rsidR="005F5674" w:rsidRDefault="005F5674"/>
    <w:p w14:paraId="2E659721" w14:textId="77777777" w:rsidR="005F5674" w:rsidRDefault="00680ADE">
      <w:r>
        <w:t>2.2</w:t>
      </w:r>
      <w:r>
        <w:tab/>
        <w:t>The Customer may, in the Order Form, request the following Alternative Clauses:</w:t>
      </w:r>
    </w:p>
    <w:p w14:paraId="0A63A961" w14:textId="77777777" w:rsidR="005F5674" w:rsidRDefault="005F5674"/>
    <w:p w14:paraId="2C65A04B" w14:textId="77777777" w:rsidR="005F5674" w:rsidRDefault="00680ADE">
      <w:pPr>
        <w:ind w:left="1440"/>
      </w:pPr>
      <w:r>
        <w:t>2.2.1 Northern Ireland Law (see paragraph 2.3, 2.4, 2.5, 2.6 and 2.7 of this Schedule)</w:t>
      </w:r>
    </w:p>
    <w:p w14:paraId="51C31D9C" w14:textId="77777777" w:rsidR="005F5674" w:rsidRDefault="005F5674"/>
    <w:p w14:paraId="4553C4A3" w14:textId="77777777" w:rsidR="005F5674" w:rsidRDefault="00680ADE">
      <w:pPr>
        <w:pStyle w:val="Heading3"/>
        <w:rPr>
          <w:color w:val="auto"/>
        </w:rPr>
      </w:pPr>
      <w:r>
        <w:rPr>
          <w:color w:val="auto"/>
        </w:rPr>
        <w:t>2.3</w:t>
      </w:r>
      <w:r>
        <w:rPr>
          <w:color w:val="auto"/>
        </w:rPr>
        <w:tab/>
        <w:t>Discrimination</w:t>
      </w:r>
    </w:p>
    <w:p w14:paraId="39AB6853" w14:textId="77777777" w:rsidR="005F5674" w:rsidRDefault="00680ADE">
      <w:pPr>
        <w:ind w:left="1440" w:hanging="720"/>
      </w:pPr>
      <w:r>
        <w:t>2.3.1</w:t>
      </w:r>
      <w:r>
        <w:tab/>
        <w:t xml:space="preserve">The Supplier will comply with all applicable fair employment, equality of treatment and anti-discrimination legislation, including, </w:t>
      </w:r>
      <w:proofErr w:type="gramStart"/>
      <w:r>
        <w:t>in particular the</w:t>
      </w:r>
      <w:proofErr w:type="gramEnd"/>
      <w:r>
        <w:t>:</w:t>
      </w:r>
    </w:p>
    <w:p w14:paraId="7FCDFA16" w14:textId="77777777" w:rsidR="005F5674" w:rsidRDefault="005F5674">
      <w:pPr>
        <w:ind w:left="1440"/>
      </w:pPr>
    </w:p>
    <w:p w14:paraId="1C001834" w14:textId="77777777" w:rsidR="005F5674" w:rsidRDefault="00680ADE">
      <w:pPr>
        <w:pStyle w:val="ListParagraph"/>
        <w:numPr>
          <w:ilvl w:val="0"/>
          <w:numId w:val="13"/>
        </w:numPr>
      </w:pPr>
      <w:r>
        <w:t>Employment (Northern Ireland) Order 2002</w:t>
      </w:r>
    </w:p>
    <w:p w14:paraId="4AAD4042" w14:textId="77777777" w:rsidR="005F5674" w:rsidRDefault="00680ADE">
      <w:pPr>
        <w:pStyle w:val="ListParagraph"/>
        <w:numPr>
          <w:ilvl w:val="0"/>
          <w:numId w:val="13"/>
        </w:numPr>
      </w:pPr>
      <w:r>
        <w:t>Fair Employment and Treatment (Northern Ireland) Order 1998</w:t>
      </w:r>
    </w:p>
    <w:p w14:paraId="7386F4BF" w14:textId="77777777" w:rsidR="005F5674" w:rsidRDefault="00680ADE">
      <w:pPr>
        <w:pStyle w:val="ListParagraph"/>
        <w:numPr>
          <w:ilvl w:val="0"/>
          <w:numId w:val="13"/>
        </w:numPr>
      </w:pPr>
      <w:r>
        <w:t>Sex Discrimination (Northern Ireland) Order 1976 and 1988</w:t>
      </w:r>
    </w:p>
    <w:p w14:paraId="1B683C40" w14:textId="77777777" w:rsidR="005F5674" w:rsidRDefault="00680ADE">
      <w:pPr>
        <w:pStyle w:val="ListParagraph"/>
        <w:numPr>
          <w:ilvl w:val="0"/>
          <w:numId w:val="13"/>
        </w:numPr>
      </w:pPr>
      <w:r>
        <w:t>Employment Equality (Sexual   Orientation) Regulations (Northern Ireland) 2003</w:t>
      </w:r>
    </w:p>
    <w:p w14:paraId="08DC1648" w14:textId="77777777" w:rsidR="005F5674" w:rsidRDefault="00680ADE">
      <w:pPr>
        <w:pStyle w:val="ListParagraph"/>
        <w:numPr>
          <w:ilvl w:val="0"/>
          <w:numId w:val="13"/>
        </w:numPr>
      </w:pPr>
      <w:r>
        <w:t>Equal Pay Act (Northern Ireland) 1970</w:t>
      </w:r>
    </w:p>
    <w:p w14:paraId="7E4F7004" w14:textId="77777777" w:rsidR="005F5674" w:rsidRDefault="00680ADE">
      <w:pPr>
        <w:pStyle w:val="ListParagraph"/>
        <w:numPr>
          <w:ilvl w:val="0"/>
          <w:numId w:val="13"/>
        </w:numPr>
      </w:pPr>
      <w:r>
        <w:lastRenderedPageBreak/>
        <w:t>Disability Discrimination Act 1995</w:t>
      </w:r>
    </w:p>
    <w:p w14:paraId="48893B92" w14:textId="77777777" w:rsidR="005F5674" w:rsidRDefault="00680ADE">
      <w:pPr>
        <w:pStyle w:val="ListParagraph"/>
        <w:numPr>
          <w:ilvl w:val="0"/>
          <w:numId w:val="13"/>
        </w:numPr>
      </w:pPr>
      <w:r>
        <w:t>Race Relations (Northern Ireland) Order 1997</w:t>
      </w:r>
    </w:p>
    <w:p w14:paraId="53BF1C17" w14:textId="77777777" w:rsidR="005F5674" w:rsidRDefault="00680ADE">
      <w:pPr>
        <w:pStyle w:val="ListParagraph"/>
        <w:numPr>
          <w:ilvl w:val="0"/>
          <w:numId w:val="13"/>
        </w:numPr>
      </w:pPr>
      <w:r>
        <w:t>Employment Relations (Northern Ireland) Order 1999 and Employment Rights (Northern Ireland) Order 1996</w:t>
      </w:r>
    </w:p>
    <w:p w14:paraId="65A58634" w14:textId="77777777" w:rsidR="005F5674" w:rsidRDefault="00680ADE">
      <w:pPr>
        <w:pStyle w:val="ListParagraph"/>
        <w:numPr>
          <w:ilvl w:val="0"/>
          <w:numId w:val="13"/>
        </w:numPr>
      </w:pPr>
      <w:r>
        <w:t>Employment Equality (Age) Regulations (Northern Ireland) 2006</w:t>
      </w:r>
    </w:p>
    <w:p w14:paraId="1A1A6FA8" w14:textId="77777777" w:rsidR="005F5674" w:rsidRDefault="00680ADE">
      <w:pPr>
        <w:pStyle w:val="ListParagraph"/>
        <w:numPr>
          <w:ilvl w:val="0"/>
          <w:numId w:val="13"/>
        </w:numPr>
      </w:pPr>
      <w:r>
        <w:t>Part-time Workers (Prevention of less Favourable Treatment) Regulation 2000</w:t>
      </w:r>
    </w:p>
    <w:p w14:paraId="033A2FB1" w14:textId="77777777" w:rsidR="005F5674" w:rsidRDefault="00680ADE">
      <w:pPr>
        <w:pStyle w:val="ListParagraph"/>
        <w:numPr>
          <w:ilvl w:val="0"/>
          <w:numId w:val="13"/>
        </w:numPr>
      </w:pPr>
      <w:r>
        <w:t>Fixed-term Employees (Prevention of Less Favourable Treatment) Regulations 2002</w:t>
      </w:r>
    </w:p>
    <w:p w14:paraId="6A443A7E" w14:textId="77777777" w:rsidR="005F5674" w:rsidRDefault="00680ADE">
      <w:pPr>
        <w:pStyle w:val="ListParagraph"/>
        <w:numPr>
          <w:ilvl w:val="0"/>
          <w:numId w:val="13"/>
        </w:numPr>
      </w:pPr>
      <w:r>
        <w:t>The Disability Discrimination (Northern Ireland) Order 2006</w:t>
      </w:r>
    </w:p>
    <w:p w14:paraId="5684DF86" w14:textId="77777777" w:rsidR="005F5674" w:rsidRDefault="00680ADE">
      <w:pPr>
        <w:pStyle w:val="ListParagraph"/>
        <w:numPr>
          <w:ilvl w:val="0"/>
          <w:numId w:val="13"/>
        </w:numPr>
      </w:pPr>
      <w:r>
        <w:t>The Employment Relations (Northern Ireland) Order 2004</w:t>
      </w:r>
    </w:p>
    <w:p w14:paraId="427FE9CD" w14:textId="77777777" w:rsidR="005F5674" w:rsidRDefault="00680ADE">
      <w:pPr>
        <w:pStyle w:val="ListParagraph"/>
        <w:numPr>
          <w:ilvl w:val="0"/>
          <w:numId w:val="13"/>
        </w:numPr>
      </w:pPr>
      <w:r>
        <w:t>Equality Act (Sexual Orientation) Regulations (Northern Ireland) 2006</w:t>
      </w:r>
    </w:p>
    <w:p w14:paraId="40393A4F" w14:textId="77777777" w:rsidR="005F5674" w:rsidRDefault="00680ADE">
      <w:pPr>
        <w:pStyle w:val="ListParagraph"/>
        <w:numPr>
          <w:ilvl w:val="0"/>
          <w:numId w:val="13"/>
        </w:numPr>
      </w:pPr>
      <w:r>
        <w:t>Employment Relations (Northern Ireland) Order 2004</w:t>
      </w:r>
    </w:p>
    <w:p w14:paraId="6E7EC48F" w14:textId="77777777" w:rsidR="005F5674" w:rsidRDefault="00680ADE">
      <w:pPr>
        <w:pStyle w:val="ListParagraph"/>
        <w:numPr>
          <w:ilvl w:val="0"/>
          <w:numId w:val="13"/>
        </w:numPr>
      </w:pPr>
      <w:r>
        <w:t>Work and Families (Northern Ireland) Order 2006</w:t>
      </w:r>
    </w:p>
    <w:p w14:paraId="10479651" w14:textId="77777777" w:rsidR="005F5674" w:rsidRDefault="005F5674">
      <w:pPr>
        <w:ind w:left="360"/>
      </w:pPr>
    </w:p>
    <w:p w14:paraId="255E585A" w14:textId="77777777" w:rsidR="005F5674" w:rsidRDefault="00680ADE">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2F702DA4" w14:textId="77777777" w:rsidR="005F5674" w:rsidRDefault="005F5674"/>
    <w:p w14:paraId="7D93C836" w14:textId="77777777" w:rsidR="005F5674" w:rsidRDefault="00680ADE">
      <w:pPr>
        <w:ind w:left="720" w:firstLine="720"/>
      </w:pPr>
      <w:r>
        <w:t>a.</w:t>
      </w:r>
      <w:r>
        <w:tab/>
        <w:t>persons of different religious beliefs or political opinions</w:t>
      </w:r>
    </w:p>
    <w:p w14:paraId="2974C571" w14:textId="77777777" w:rsidR="005F5674" w:rsidRDefault="00680ADE">
      <w:pPr>
        <w:ind w:left="720" w:firstLine="720"/>
      </w:pPr>
      <w:r>
        <w:t>b.</w:t>
      </w:r>
      <w:r>
        <w:tab/>
        <w:t>men and women or married and unmarried persons</w:t>
      </w:r>
    </w:p>
    <w:p w14:paraId="7FC74368" w14:textId="77777777" w:rsidR="005F5674" w:rsidRDefault="00680ADE">
      <w:pPr>
        <w:ind w:left="720" w:firstLine="720"/>
      </w:pPr>
      <w:r>
        <w:t>c.</w:t>
      </w:r>
      <w:r>
        <w:tab/>
        <w:t>persons with and without dependants (including women who are</w:t>
      </w:r>
    </w:p>
    <w:p w14:paraId="1A71F84D" w14:textId="77777777" w:rsidR="005F5674" w:rsidRDefault="00680ADE">
      <w:pPr>
        <w:ind w:left="1440" w:firstLine="720"/>
      </w:pPr>
      <w:r>
        <w:t>pregnant or on maternity leave and men on paternity leave)</w:t>
      </w:r>
    </w:p>
    <w:p w14:paraId="214F5DD8" w14:textId="77777777" w:rsidR="005F5674" w:rsidRDefault="00680ADE">
      <w:pPr>
        <w:ind w:left="720" w:firstLine="720"/>
      </w:pPr>
      <w:r>
        <w:t>d.</w:t>
      </w:r>
      <w:r>
        <w:tab/>
        <w:t>persons of different racial groups (within the meaning of the Race</w:t>
      </w:r>
    </w:p>
    <w:p w14:paraId="7CCFDFF6" w14:textId="77777777" w:rsidR="005F5674" w:rsidRDefault="00680ADE">
      <w:pPr>
        <w:ind w:left="1440" w:firstLine="720"/>
      </w:pPr>
      <w:r>
        <w:t>Relations (Northern Ireland) Order 1997)</w:t>
      </w:r>
    </w:p>
    <w:p w14:paraId="4DCFDEEC" w14:textId="77777777" w:rsidR="005F5674" w:rsidRDefault="00680ADE">
      <w:pPr>
        <w:ind w:left="720" w:firstLine="720"/>
      </w:pPr>
      <w:r>
        <w:t>e.</w:t>
      </w:r>
      <w:r>
        <w:tab/>
        <w:t>persons with and without a disability (within the meaning of the</w:t>
      </w:r>
    </w:p>
    <w:p w14:paraId="3AA7D5A2" w14:textId="77777777" w:rsidR="005F5674" w:rsidRDefault="00680ADE">
      <w:pPr>
        <w:ind w:left="1440" w:firstLine="720"/>
      </w:pPr>
      <w:r>
        <w:t>Disability Discrimination Act 1995)</w:t>
      </w:r>
    </w:p>
    <w:p w14:paraId="53BB6FC8" w14:textId="77777777" w:rsidR="005F5674" w:rsidRDefault="00680ADE">
      <w:pPr>
        <w:ind w:left="720" w:firstLine="720"/>
      </w:pPr>
      <w:r>
        <w:t>f.</w:t>
      </w:r>
      <w:r>
        <w:tab/>
        <w:t>persons of different ages</w:t>
      </w:r>
    </w:p>
    <w:p w14:paraId="58BC33E1" w14:textId="77777777" w:rsidR="005F5674" w:rsidRDefault="00680ADE">
      <w:pPr>
        <w:ind w:left="720" w:firstLine="720"/>
      </w:pPr>
      <w:r>
        <w:t>g.</w:t>
      </w:r>
      <w:r>
        <w:tab/>
        <w:t>persons of differing sexual orientation</w:t>
      </w:r>
    </w:p>
    <w:p w14:paraId="471F31FA" w14:textId="77777777" w:rsidR="005F5674" w:rsidRDefault="00680ADE">
      <w:r>
        <w:t xml:space="preserve"> </w:t>
      </w:r>
    </w:p>
    <w:p w14:paraId="12CD2B99" w14:textId="77777777" w:rsidR="005F5674" w:rsidRDefault="00680ADE">
      <w:pPr>
        <w:ind w:firstLine="720"/>
      </w:pPr>
      <w:r>
        <w:t>2.3.2</w:t>
      </w:r>
      <w:r>
        <w:tab/>
        <w:t>The Supplier will take all reasonable steps to secure the observance of clause</w:t>
      </w:r>
    </w:p>
    <w:p w14:paraId="640E5603" w14:textId="77777777" w:rsidR="005F5674" w:rsidRDefault="00680ADE">
      <w:pPr>
        <w:ind w:left="720" w:firstLine="720"/>
      </w:pPr>
      <w:r>
        <w:t>2.3.1 of this Schedule by all Supplier Staff.</w:t>
      </w:r>
    </w:p>
    <w:p w14:paraId="15068B3B" w14:textId="77777777" w:rsidR="005F5674" w:rsidRDefault="00680ADE">
      <w:pPr>
        <w:spacing w:before="240" w:after="240"/>
        <w:ind w:left="1440"/>
      </w:pPr>
      <w:r>
        <w:rPr>
          <w:sz w:val="20"/>
          <w:szCs w:val="20"/>
        </w:rPr>
        <w:t xml:space="preserve"> </w:t>
      </w:r>
    </w:p>
    <w:p w14:paraId="37181D9E" w14:textId="77777777" w:rsidR="005F5674" w:rsidRDefault="00680ADE">
      <w:pPr>
        <w:pStyle w:val="Heading3"/>
        <w:rPr>
          <w:color w:val="auto"/>
        </w:rPr>
      </w:pPr>
      <w:r>
        <w:rPr>
          <w:color w:val="auto"/>
        </w:rPr>
        <w:t>2.4</w:t>
      </w:r>
      <w:r>
        <w:rPr>
          <w:color w:val="auto"/>
        </w:rPr>
        <w:tab/>
        <w:t>Equality policies and practices</w:t>
      </w:r>
    </w:p>
    <w:p w14:paraId="3334FF4E" w14:textId="77777777" w:rsidR="005F5674" w:rsidRDefault="00680ADE">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13332310" w14:textId="77777777" w:rsidR="005F5674" w:rsidRDefault="005F5674">
      <w:pPr>
        <w:ind w:left="1440" w:hanging="720"/>
      </w:pPr>
    </w:p>
    <w:p w14:paraId="2BD4DA7B" w14:textId="77777777" w:rsidR="005F5674" w:rsidRDefault="00680ADE">
      <w:pPr>
        <w:ind w:left="1440" w:hanging="720"/>
      </w:pPr>
      <w:r>
        <w:t>2.4.2</w:t>
      </w:r>
      <w:r>
        <w:tab/>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1FCE66F8" w14:textId="77777777" w:rsidR="005F5674" w:rsidRDefault="005F5674">
      <w:pPr>
        <w:ind w:left="1440"/>
      </w:pPr>
    </w:p>
    <w:p w14:paraId="4C50FA1B" w14:textId="77777777" w:rsidR="005F5674" w:rsidRDefault="00680ADE">
      <w:pPr>
        <w:ind w:left="720" w:firstLine="720"/>
      </w:pPr>
      <w:r>
        <w:t>a.</w:t>
      </w:r>
      <w:r>
        <w:tab/>
        <w:t>the issue of written instructions to staff and other relevant persons</w:t>
      </w:r>
    </w:p>
    <w:p w14:paraId="5997B89F" w14:textId="77777777" w:rsidR="005F5674" w:rsidRDefault="00680ADE">
      <w:pPr>
        <w:ind w:left="2160" w:hanging="720"/>
      </w:pPr>
      <w:r>
        <w:t>b.</w:t>
      </w:r>
      <w:r>
        <w:tab/>
        <w:t>the appointment or designation of a senior manager with responsibility for equal opportunities</w:t>
      </w:r>
    </w:p>
    <w:p w14:paraId="2C928B4C" w14:textId="77777777" w:rsidR="005F5674" w:rsidRDefault="00680ADE">
      <w:pPr>
        <w:ind w:left="2160" w:hanging="720"/>
      </w:pPr>
      <w:r>
        <w:t>c.</w:t>
      </w:r>
      <w:r>
        <w:tab/>
        <w:t>training of all staff and other relevant persons in equal opportunities and harassment matters</w:t>
      </w:r>
    </w:p>
    <w:p w14:paraId="0CF6ACCB" w14:textId="77777777" w:rsidR="005F5674" w:rsidRDefault="00680ADE">
      <w:pPr>
        <w:ind w:left="2160" w:hanging="720"/>
      </w:pPr>
      <w:r>
        <w:lastRenderedPageBreak/>
        <w:t>d.</w:t>
      </w:r>
      <w:r>
        <w:tab/>
        <w:t xml:space="preserve">the inclusion of the topic of equality as an agenda item at team, </w:t>
      </w:r>
      <w:proofErr w:type="gramStart"/>
      <w:r>
        <w:t>management</w:t>
      </w:r>
      <w:proofErr w:type="gramEnd"/>
      <w:r>
        <w:t xml:space="preserve"> and staff meetings</w:t>
      </w:r>
    </w:p>
    <w:p w14:paraId="6E4F947A" w14:textId="77777777" w:rsidR="005F5674" w:rsidRDefault="005F5674"/>
    <w:p w14:paraId="7DFFF704" w14:textId="77777777" w:rsidR="005F5674" w:rsidRDefault="00680ADE">
      <w:pPr>
        <w:ind w:left="720"/>
      </w:pPr>
      <w:r>
        <w:t>The Supplier will procure that its Subcontractors do likewise with their equal opportunities policies.</w:t>
      </w:r>
    </w:p>
    <w:p w14:paraId="5FB44777" w14:textId="77777777" w:rsidR="005F5674" w:rsidRDefault="005F5674">
      <w:pPr>
        <w:ind w:left="720"/>
      </w:pPr>
    </w:p>
    <w:p w14:paraId="2226998B" w14:textId="77777777" w:rsidR="005F5674" w:rsidRDefault="00680ADE">
      <w:pPr>
        <w:ind w:firstLine="720"/>
      </w:pPr>
      <w:r>
        <w:t>2.4.3</w:t>
      </w:r>
      <w:r>
        <w:tab/>
        <w:t>The Supplier will inform the Customer as soon as possible in the event of:</w:t>
      </w:r>
    </w:p>
    <w:p w14:paraId="3DDD1FE5" w14:textId="77777777" w:rsidR="005F5674" w:rsidRDefault="005F5674"/>
    <w:p w14:paraId="671D6915" w14:textId="77777777" w:rsidR="005F5674" w:rsidRDefault="00680ADE">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6E55431C" w14:textId="77777777" w:rsidR="005F5674" w:rsidRDefault="00680ADE">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57FC8C5F" w14:textId="77777777" w:rsidR="005F5674" w:rsidRDefault="005F5674">
      <w:pPr>
        <w:ind w:left="2160"/>
      </w:pPr>
    </w:p>
    <w:p w14:paraId="0EA1F474" w14:textId="77777777" w:rsidR="005F5674" w:rsidRDefault="00680ADE">
      <w:pPr>
        <w:ind w:left="72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w:t>
      </w:r>
    </w:p>
    <w:p w14:paraId="762BB4BE" w14:textId="77777777" w:rsidR="005F5674" w:rsidRDefault="005F5674"/>
    <w:p w14:paraId="05C1DC7B" w14:textId="77777777" w:rsidR="005F5674" w:rsidRDefault="00680ADE">
      <w:pPr>
        <w:ind w:left="1440" w:hanging="720"/>
      </w:pPr>
      <w:r>
        <w:t>2.4.4</w:t>
      </w:r>
      <w: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79340D1B" w14:textId="77777777" w:rsidR="005F5674" w:rsidRDefault="005F5674">
      <w:pPr>
        <w:ind w:left="1440"/>
      </w:pPr>
    </w:p>
    <w:p w14:paraId="5CE7CE60" w14:textId="77777777" w:rsidR="005F5674" w:rsidRDefault="00680ADE">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43E52599" w14:textId="77777777" w:rsidR="005F5674" w:rsidRDefault="005F5674">
      <w:pPr>
        <w:ind w:left="1440" w:hanging="720"/>
      </w:pPr>
    </w:p>
    <w:p w14:paraId="48E02790" w14:textId="77777777" w:rsidR="005F5674" w:rsidRDefault="00680ADE">
      <w:pPr>
        <w:pStyle w:val="Heading3"/>
        <w:rPr>
          <w:color w:val="auto"/>
        </w:rPr>
      </w:pPr>
      <w:r>
        <w:rPr>
          <w:color w:val="auto"/>
        </w:rPr>
        <w:t>2.5</w:t>
      </w:r>
      <w:r>
        <w:rPr>
          <w:color w:val="auto"/>
        </w:rPr>
        <w:tab/>
        <w:t>Equality</w:t>
      </w:r>
    </w:p>
    <w:p w14:paraId="5A5A9601" w14:textId="77777777" w:rsidR="005F5674" w:rsidRDefault="00680ADE">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60398445" w14:textId="77777777" w:rsidR="005F5674" w:rsidRDefault="005F5674">
      <w:pPr>
        <w:ind w:left="1440"/>
      </w:pPr>
    </w:p>
    <w:p w14:paraId="19943817" w14:textId="77777777" w:rsidR="005F5674" w:rsidRDefault="00680ADE">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663888D8" w14:textId="77777777" w:rsidR="005F5674" w:rsidRDefault="005F5674"/>
    <w:p w14:paraId="21E6B30B" w14:textId="77777777" w:rsidR="005F5674" w:rsidRDefault="00680ADE">
      <w:pPr>
        <w:pStyle w:val="Heading3"/>
        <w:rPr>
          <w:color w:val="auto"/>
        </w:rPr>
      </w:pPr>
      <w:r>
        <w:rPr>
          <w:color w:val="auto"/>
        </w:rPr>
        <w:lastRenderedPageBreak/>
        <w:t>2.6</w:t>
      </w:r>
      <w:r>
        <w:rPr>
          <w:color w:val="auto"/>
        </w:rPr>
        <w:tab/>
        <w:t>Health and safety</w:t>
      </w:r>
    </w:p>
    <w:p w14:paraId="2A6F680B" w14:textId="77777777" w:rsidR="005F5674" w:rsidRDefault="00680ADE">
      <w:pPr>
        <w:ind w:left="1440" w:hanging="720"/>
      </w:pPr>
      <w:r>
        <w:t>2.6.1</w:t>
      </w:r>
      <w:r>
        <w:tab/>
        <w:t xml:space="preserve">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w:t>
      </w:r>
    </w:p>
    <w:p w14:paraId="0EF72692" w14:textId="77777777" w:rsidR="005F5674" w:rsidRDefault="005F5674">
      <w:pPr>
        <w:ind w:left="1440"/>
      </w:pPr>
    </w:p>
    <w:p w14:paraId="3A8F67D6" w14:textId="77777777" w:rsidR="005F5674" w:rsidRDefault="00680ADE">
      <w:pPr>
        <w:ind w:left="1440" w:hanging="720"/>
      </w:pPr>
      <w:r>
        <w:t>2.6.2</w:t>
      </w:r>
      <w:r>
        <w:tab/>
        <w:t>While on the Customer premises, the Supplier will comply with any health and safety measures implemented by the Customer in respect of Supplier Staff and other persons working there.</w:t>
      </w:r>
    </w:p>
    <w:p w14:paraId="2A8F4A72" w14:textId="77777777" w:rsidR="005F5674" w:rsidRDefault="005F5674"/>
    <w:p w14:paraId="5627B8C0" w14:textId="77777777" w:rsidR="005F5674" w:rsidRDefault="00680ADE">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4CE78693" w14:textId="77777777" w:rsidR="005F5674" w:rsidRDefault="005F5674"/>
    <w:p w14:paraId="692293A9" w14:textId="77777777" w:rsidR="005F5674" w:rsidRDefault="00680ADE">
      <w:pPr>
        <w:ind w:left="1440" w:hanging="720"/>
      </w:pPr>
      <w:r>
        <w:t>2.6.4</w:t>
      </w:r>
      <w:r>
        <w:tab/>
        <w:t xml:space="preserve">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w:t>
      </w:r>
    </w:p>
    <w:p w14:paraId="6E87A790" w14:textId="77777777" w:rsidR="005F5674" w:rsidRDefault="005F5674"/>
    <w:p w14:paraId="6534321A" w14:textId="77777777" w:rsidR="005F5674" w:rsidRDefault="00680ADE">
      <w:pPr>
        <w:ind w:left="1440" w:hanging="720"/>
      </w:pPr>
      <w:r>
        <w:t>2.6.5</w:t>
      </w:r>
      <w:r>
        <w:tab/>
        <w:t>The Supplier will ensure that its health and safety policy statement (as required by the Health and Safety at Work (Northern Ireland) Order 1978) is made available to the Customer on request.</w:t>
      </w:r>
    </w:p>
    <w:p w14:paraId="1E72F3C7" w14:textId="77777777" w:rsidR="005F5674" w:rsidRDefault="005F5674"/>
    <w:p w14:paraId="3AFED516" w14:textId="77777777" w:rsidR="005F5674" w:rsidRDefault="00680ADE">
      <w:pPr>
        <w:pStyle w:val="Heading3"/>
        <w:rPr>
          <w:color w:val="auto"/>
        </w:rPr>
      </w:pPr>
      <w:r>
        <w:rPr>
          <w:color w:val="auto"/>
        </w:rPr>
        <w:t>2.7</w:t>
      </w:r>
      <w:r>
        <w:rPr>
          <w:color w:val="auto"/>
        </w:rPr>
        <w:tab/>
        <w:t>Criminal damage</w:t>
      </w:r>
    </w:p>
    <w:p w14:paraId="5D4184E2" w14:textId="77777777" w:rsidR="005F5674" w:rsidRDefault="00680ADE">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3593AE6A" w14:textId="77777777" w:rsidR="005F5674" w:rsidRDefault="005F5674"/>
    <w:p w14:paraId="7D96E9F4" w14:textId="77777777" w:rsidR="005F5674" w:rsidRDefault="00680ADE">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219A207E" w14:textId="77777777" w:rsidR="005F5674" w:rsidRDefault="005F5674"/>
    <w:p w14:paraId="30DD3626" w14:textId="77777777" w:rsidR="005F5674" w:rsidRDefault="00680ADE">
      <w:pPr>
        <w:ind w:left="1440" w:hanging="720"/>
      </w:pPr>
      <w:r>
        <w:t>2.7.3</w:t>
      </w:r>
      <w:r>
        <w:tab/>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3173285F" w14:textId="77777777" w:rsidR="005F5674" w:rsidRDefault="005F5674"/>
    <w:p w14:paraId="29E092D0" w14:textId="77777777" w:rsidR="005F5674" w:rsidRDefault="00680ADE">
      <w:pPr>
        <w:ind w:left="1440" w:hanging="720"/>
      </w:pPr>
      <w:r>
        <w:lastRenderedPageBreak/>
        <w:t>2.7.4</w:t>
      </w:r>
      <w:r>
        <w:tab/>
        <w:t>The Supplier will apply any compensation paid under the Compensation Order in respect of damage to the relevant assets towards the repair, reinstatement or replacement of the assets affected.</w:t>
      </w:r>
    </w:p>
    <w:p w14:paraId="276D0849" w14:textId="77777777" w:rsidR="005F5674" w:rsidRDefault="005F5674"/>
    <w:p w14:paraId="1CE3A061" w14:textId="77777777" w:rsidR="005F5674" w:rsidRDefault="005F5674">
      <w:pPr>
        <w:rPr>
          <w:b/>
        </w:rPr>
      </w:pPr>
    </w:p>
    <w:p w14:paraId="638C6421" w14:textId="77777777" w:rsidR="005F5674" w:rsidRDefault="005F5674">
      <w:bookmarkStart w:id="23" w:name="_Toc33176238"/>
    </w:p>
    <w:p w14:paraId="1BEA3D5A" w14:textId="77777777" w:rsidR="005F5674" w:rsidRDefault="00680ADE">
      <w:pPr>
        <w:pStyle w:val="Heading2"/>
        <w:pageBreakBefore/>
      </w:pPr>
      <w:r>
        <w:lastRenderedPageBreak/>
        <w:t>Schedule 5: Guarantee</w:t>
      </w:r>
      <w:bookmarkEnd w:id="23"/>
    </w:p>
    <w:p w14:paraId="044066BD" w14:textId="77777777" w:rsidR="005F5674" w:rsidRDefault="00680ADE">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35B20740" w14:textId="77777777" w:rsidR="005F5674" w:rsidRDefault="005F5674"/>
    <w:p w14:paraId="09CCEAA2" w14:textId="77777777" w:rsidR="005F5674" w:rsidRDefault="00680ADE">
      <w:r>
        <w:t>This deed of guarantee is made on [</w:t>
      </w:r>
      <w:r>
        <w:rPr>
          <w:b/>
        </w:rPr>
        <w:t>insert date, month, year]</w:t>
      </w:r>
      <w:r>
        <w:t xml:space="preserve"> between:</w:t>
      </w:r>
    </w:p>
    <w:p w14:paraId="15520E2A" w14:textId="77777777" w:rsidR="005F5674" w:rsidRDefault="005F5674"/>
    <w:p w14:paraId="07F61569" w14:textId="77777777" w:rsidR="005F5674" w:rsidRDefault="00680ADE">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06A020CF" w14:textId="77777777" w:rsidR="005F5674" w:rsidRDefault="00680ADE">
      <w:r>
        <w:t>and</w:t>
      </w:r>
    </w:p>
    <w:p w14:paraId="48175980" w14:textId="77777777" w:rsidR="005F5674" w:rsidRDefault="005F5674"/>
    <w:p w14:paraId="42D15519" w14:textId="77777777" w:rsidR="005F5674" w:rsidRDefault="00680ADE">
      <w:pPr>
        <w:ind w:firstLine="720"/>
      </w:pPr>
      <w:r>
        <w:t xml:space="preserve"> (2)</w:t>
      </w:r>
      <w:r>
        <w:tab/>
        <w:t>The Buyer whose offices are [</w:t>
      </w:r>
      <w:r>
        <w:rPr>
          <w:b/>
        </w:rPr>
        <w:t>insert Buyer’s official address</w:t>
      </w:r>
      <w:r>
        <w:t>] (‘Beneficiary’)</w:t>
      </w:r>
    </w:p>
    <w:p w14:paraId="73BA7280" w14:textId="77777777" w:rsidR="005F5674" w:rsidRDefault="00680ADE">
      <w:pPr>
        <w:spacing w:before="240" w:after="240"/>
        <w:rPr>
          <w:b/>
          <w:sz w:val="20"/>
          <w:szCs w:val="20"/>
        </w:rPr>
      </w:pPr>
      <w:r>
        <w:rPr>
          <w:b/>
          <w:sz w:val="20"/>
          <w:szCs w:val="20"/>
        </w:rPr>
        <w:t>Whereas:</w:t>
      </w:r>
    </w:p>
    <w:p w14:paraId="52C79135" w14:textId="77777777" w:rsidR="005F5674" w:rsidRDefault="00680ADE">
      <w:pPr>
        <w:ind w:left="2160" w:hanging="720"/>
      </w:pPr>
      <w:r>
        <w:t>(A)</w:t>
      </w:r>
      <w:r>
        <w:tab/>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w:t>
      </w:r>
    </w:p>
    <w:p w14:paraId="4D1A9012" w14:textId="77777777" w:rsidR="005F5674" w:rsidRDefault="005F5674">
      <w:pPr>
        <w:ind w:left="2160"/>
      </w:pPr>
    </w:p>
    <w:p w14:paraId="0F15D902" w14:textId="77777777" w:rsidR="005F5674" w:rsidRDefault="00680ADE">
      <w:pPr>
        <w:ind w:left="2160" w:hanging="720"/>
      </w:pPr>
      <w:r>
        <w:t>(B)</w:t>
      </w:r>
      <w:r>
        <w:tab/>
        <w:t>It is the intention of the Parties that this document be executed and take effect as a deed.</w:t>
      </w:r>
    </w:p>
    <w:p w14:paraId="5432ECBB" w14:textId="77777777" w:rsidR="005F5674" w:rsidRDefault="005F5674"/>
    <w:p w14:paraId="40B094F4" w14:textId="77777777" w:rsidR="005F5674" w:rsidRDefault="00680ADE">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w:t>
      </w:r>
    </w:p>
    <w:p w14:paraId="514F385F" w14:textId="77777777" w:rsidR="005F5674" w:rsidRDefault="005F5674"/>
    <w:p w14:paraId="67326548" w14:textId="77777777" w:rsidR="005F5674" w:rsidRDefault="00680ADE">
      <w:r>
        <w:t>Suggested headings are as follows:</w:t>
      </w:r>
    </w:p>
    <w:p w14:paraId="13647405" w14:textId="77777777" w:rsidR="005F5674" w:rsidRDefault="005F5674"/>
    <w:p w14:paraId="0FC396C5" w14:textId="77777777" w:rsidR="005F5674" w:rsidRDefault="00680ADE">
      <w:pPr>
        <w:numPr>
          <w:ilvl w:val="0"/>
          <w:numId w:val="14"/>
        </w:numPr>
      </w:pPr>
      <w:r>
        <w:t>Demands and notices</w:t>
      </w:r>
    </w:p>
    <w:p w14:paraId="5D7BCAD2" w14:textId="77777777" w:rsidR="005F5674" w:rsidRDefault="00680ADE">
      <w:pPr>
        <w:numPr>
          <w:ilvl w:val="0"/>
          <w:numId w:val="14"/>
        </w:numPr>
      </w:pPr>
      <w:r>
        <w:t>Representations and Warranties</w:t>
      </w:r>
    </w:p>
    <w:p w14:paraId="7120D086" w14:textId="77777777" w:rsidR="005F5674" w:rsidRDefault="00680ADE">
      <w:pPr>
        <w:numPr>
          <w:ilvl w:val="0"/>
          <w:numId w:val="14"/>
        </w:numPr>
      </w:pPr>
      <w:r>
        <w:t xml:space="preserve">Obligation to </w:t>
      </w:r>
      <w:proofErr w:type="gramStart"/>
      <w:r>
        <w:t>enter into</w:t>
      </w:r>
      <w:proofErr w:type="gramEnd"/>
      <w:r>
        <w:t xml:space="preserve"> a new Contract</w:t>
      </w:r>
    </w:p>
    <w:p w14:paraId="12EC96A6" w14:textId="77777777" w:rsidR="005F5674" w:rsidRDefault="00680ADE">
      <w:pPr>
        <w:numPr>
          <w:ilvl w:val="0"/>
          <w:numId w:val="14"/>
        </w:numPr>
      </w:pPr>
      <w:r>
        <w:t>Assignment</w:t>
      </w:r>
    </w:p>
    <w:p w14:paraId="195C1C6C" w14:textId="77777777" w:rsidR="005F5674" w:rsidRDefault="00680ADE">
      <w:pPr>
        <w:numPr>
          <w:ilvl w:val="0"/>
          <w:numId w:val="14"/>
        </w:numPr>
      </w:pPr>
      <w:r>
        <w:t>Third Party Rights</w:t>
      </w:r>
    </w:p>
    <w:p w14:paraId="7DBB24F6" w14:textId="77777777" w:rsidR="005F5674" w:rsidRDefault="00680ADE">
      <w:pPr>
        <w:numPr>
          <w:ilvl w:val="0"/>
          <w:numId w:val="14"/>
        </w:numPr>
      </w:pPr>
      <w:r>
        <w:t>Governing Law</w:t>
      </w:r>
    </w:p>
    <w:p w14:paraId="0F85E762" w14:textId="77777777" w:rsidR="005F5674" w:rsidRDefault="00680ADE">
      <w:pPr>
        <w:numPr>
          <w:ilvl w:val="0"/>
          <w:numId w:val="14"/>
        </w:numPr>
      </w:pPr>
      <w:r>
        <w:t>This Call-Off Contract is conditional upon the provision of a Guarantee to the Buyer from the guarantor in respect of the Supplier.]</w:t>
      </w:r>
    </w:p>
    <w:p w14:paraId="1F0A5160" w14:textId="77777777" w:rsidR="005F5674" w:rsidRDefault="00680ADE">
      <w:pPr>
        <w:spacing w:before="240" w:after="240"/>
        <w:rPr>
          <w:sz w:val="20"/>
          <w:szCs w:val="20"/>
        </w:rPr>
      </w:pPr>
      <w:r>
        <w:rPr>
          <w:sz w:val="20"/>
          <w:szCs w:val="20"/>
        </w:rPr>
        <w:t xml:space="preserve"> </w:t>
      </w:r>
    </w:p>
    <w:p w14:paraId="69E0A13F" w14:textId="77777777" w:rsidR="005F5674" w:rsidRDefault="005F5674">
      <w:pPr>
        <w:pageBreakBefore/>
        <w:rPr>
          <w:sz w:val="20"/>
          <w:szCs w:val="20"/>
        </w:rPr>
      </w:pPr>
    </w:p>
    <w:p w14:paraId="6996D1C4" w14:textId="77777777" w:rsidR="005F5674" w:rsidRDefault="005F5674">
      <w:pPr>
        <w:spacing w:before="240" w:after="240"/>
        <w:rPr>
          <w:sz w:val="20"/>
          <w:szCs w:val="20"/>
        </w:rPr>
      </w:pPr>
    </w:p>
    <w:tbl>
      <w:tblPr>
        <w:tblW w:w="8880" w:type="dxa"/>
        <w:tblInd w:w="2" w:type="dxa"/>
        <w:tblLayout w:type="fixed"/>
        <w:tblCellMar>
          <w:left w:w="10" w:type="dxa"/>
          <w:right w:w="10" w:type="dxa"/>
        </w:tblCellMar>
        <w:tblLook w:val="04A0" w:firstRow="1" w:lastRow="0" w:firstColumn="1" w:lastColumn="0" w:noHBand="0" w:noVBand="1"/>
      </w:tblPr>
      <w:tblGrid>
        <w:gridCol w:w="2040"/>
        <w:gridCol w:w="6840"/>
      </w:tblGrid>
      <w:tr w:rsidR="005F5674" w14:paraId="42686D67" w14:textId="77777777">
        <w:trPr>
          <w:trHeight w:val="640"/>
        </w:trPr>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FA2AE9" w14:textId="77777777" w:rsidR="005F5674" w:rsidRDefault="00680ADE">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4D1D42" w14:textId="77777777" w:rsidR="005F5674" w:rsidRDefault="00680ADE">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5F5674" w14:paraId="42DF11E3" w14:textId="77777777">
        <w:trPr>
          <w:trHeight w:val="640"/>
        </w:trPr>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39EF25" w14:textId="77777777" w:rsidR="005F5674" w:rsidRDefault="00680ADE">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983968" w14:textId="77777777" w:rsidR="005F5674" w:rsidRDefault="00680ADE">
            <w:pPr>
              <w:spacing w:before="240" w:after="240"/>
            </w:pPr>
            <w:r>
              <w:rPr>
                <w:sz w:val="20"/>
                <w:szCs w:val="20"/>
              </w:rPr>
              <w:t>[</w:t>
            </w:r>
            <w:r>
              <w:rPr>
                <w:b/>
                <w:sz w:val="20"/>
                <w:szCs w:val="20"/>
              </w:rPr>
              <w:t>Enter Company address</w:t>
            </w:r>
            <w:r>
              <w:rPr>
                <w:sz w:val="20"/>
                <w:szCs w:val="20"/>
              </w:rPr>
              <w:t>]</w:t>
            </w:r>
          </w:p>
        </w:tc>
      </w:tr>
      <w:tr w:rsidR="005F5674" w14:paraId="63ABD804"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BE19C5" w14:textId="77777777" w:rsidR="005F5674" w:rsidRDefault="00680ADE">
            <w:pPr>
              <w:spacing w:before="240" w:after="240"/>
            </w:pPr>
            <w:r>
              <w:rPr>
                <w:b/>
                <w:sz w:val="20"/>
                <w:szCs w:val="20"/>
              </w:rPr>
              <w:t>Account manager</w:t>
            </w: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EF480C" w14:textId="77777777" w:rsidR="005F5674" w:rsidRDefault="00680ADE">
            <w:pPr>
              <w:spacing w:before="240" w:after="240"/>
            </w:pPr>
            <w:r>
              <w:rPr>
                <w:sz w:val="20"/>
                <w:szCs w:val="20"/>
              </w:rPr>
              <w:t>[</w:t>
            </w:r>
            <w:r>
              <w:rPr>
                <w:b/>
                <w:sz w:val="20"/>
                <w:szCs w:val="20"/>
              </w:rPr>
              <w:t>Enter Account Manager name]</w:t>
            </w:r>
          </w:p>
        </w:tc>
      </w:tr>
      <w:tr w:rsidR="005F5674" w14:paraId="48272198"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8AF242" w14:textId="77777777" w:rsidR="001A74A1" w:rsidRDefault="001A74A1">
            <w:pPr>
              <w:suppressAutoHyphens w:val="0"/>
            </w:pP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7CC1E4" w14:textId="77777777" w:rsidR="005F5674" w:rsidRDefault="00680ADE">
            <w:pPr>
              <w:spacing w:before="240" w:after="240"/>
            </w:pPr>
            <w:r>
              <w:rPr>
                <w:sz w:val="20"/>
                <w:szCs w:val="20"/>
              </w:rPr>
              <w:t>Address: [</w:t>
            </w:r>
            <w:r>
              <w:rPr>
                <w:b/>
                <w:sz w:val="20"/>
                <w:szCs w:val="20"/>
              </w:rPr>
              <w:t>Enter Account Manager address]</w:t>
            </w:r>
          </w:p>
        </w:tc>
      </w:tr>
      <w:tr w:rsidR="005F5674" w14:paraId="11E32BBE"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408EED" w14:textId="77777777" w:rsidR="001A74A1" w:rsidRDefault="001A74A1">
            <w:pPr>
              <w:suppressAutoHyphens w:val="0"/>
            </w:pP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B7D13E" w14:textId="77777777" w:rsidR="005F5674" w:rsidRDefault="00680ADE">
            <w:pPr>
              <w:spacing w:before="240" w:after="240"/>
            </w:pPr>
            <w:r>
              <w:rPr>
                <w:sz w:val="20"/>
                <w:szCs w:val="20"/>
              </w:rPr>
              <w:t>Phone: [</w:t>
            </w:r>
            <w:r>
              <w:rPr>
                <w:b/>
                <w:sz w:val="20"/>
                <w:szCs w:val="20"/>
              </w:rPr>
              <w:t>Enter Account Manager phone number]</w:t>
            </w:r>
          </w:p>
        </w:tc>
      </w:tr>
      <w:tr w:rsidR="005F5674" w14:paraId="49C281CA"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11C0EF" w14:textId="77777777" w:rsidR="001A74A1" w:rsidRDefault="001A74A1">
            <w:pPr>
              <w:suppressAutoHyphens w:val="0"/>
            </w:pP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237168" w14:textId="77777777" w:rsidR="005F5674" w:rsidRDefault="00680ADE">
            <w:pPr>
              <w:spacing w:before="240" w:after="240"/>
            </w:pPr>
            <w:r>
              <w:rPr>
                <w:sz w:val="20"/>
                <w:szCs w:val="20"/>
              </w:rPr>
              <w:t>Email: [</w:t>
            </w:r>
            <w:r>
              <w:rPr>
                <w:b/>
                <w:sz w:val="20"/>
                <w:szCs w:val="20"/>
              </w:rPr>
              <w:t>Enter Account Manager email</w:t>
            </w:r>
            <w:r>
              <w:rPr>
                <w:sz w:val="20"/>
                <w:szCs w:val="20"/>
              </w:rPr>
              <w:t>]</w:t>
            </w:r>
          </w:p>
        </w:tc>
      </w:tr>
      <w:tr w:rsidR="005F5674" w14:paraId="46F480B2"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FA0883" w14:textId="77777777" w:rsidR="001A74A1" w:rsidRDefault="001A74A1">
            <w:pPr>
              <w:suppressAutoHyphens w:val="0"/>
            </w:pP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25532C" w14:textId="77777777" w:rsidR="005F5674" w:rsidRDefault="00680ADE">
            <w:pPr>
              <w:spacing w:before="240" w:after="240"/>
            </w:pPr>
            <w:r>
              <w:rPr>
                <w:sz w:val="20"/>
                <w:szCs w:val="20"/>
              </w:rPr>
              <w:t>Fax: [</w:t>
            </w:r>
            <w:r>
              <w:rPr>
                <w:b/>
                <w:sz w:val="20"/>
                <w:szCs w:val="20"/>
              </w:rPr>
              <w:t xml:space="preserve">Enter Account Manager fax </w:t>
            </w:r>
            <w:r>
              <w:rPr>
                <w:sz w:val="20"/>
                <w:szCs w:val="20"/>
              </w:rPr>
              <w:t>if applicable]</w:t>
            </w:r>
          </w:p>
        </w:tc>
      </w:tr>
    </w:tbl>
    <w:p w14:paraId="2CFA11F8" w14:textId="77777777" w:rsidR="005F5674" w:rsidRDefault="00680ADE">
      <w:pPr>
        <w:spacing w:before="60" w:after="240"/>
        <w:rPr>
          <w:sz w:val="20"/>
          <w:szCs w:val="20"/>
        </w:rPr>
      </w:pPr>
      <w:r>
        <w:rPr>
          <w:sz w:val="20"/>
          <w:szCs w:val="20"/>
        </w:rPr>
        <w:t xml:space="preserve"> </w:t>
      </w:r>
    </w:p>
    <w:p w14:paraId="109020C0" w14:textId="77777777" w:rsidR="005F5674" w:rsidRDefault="00680ADE">
      <w:r>
        <w:t xml:space="preserve">In consideration of the Buyer </w:t>
      </w:r>
      <w:proofErr w:type="gramStart"/>
      <w:r>
        <w:t>entering into</w:t>
      </w:r>
      <w:proofErr w:type="gramEnd"/>
      <w:r>
        <w:t xml:space="preserve"> the Call-Off Contract, the Guarantor agrees with the Buyer as follows:</w:t>
      </w:r>
    </w:p>
    <w:p w14:paraId="04452E6F" w14:textId="77777777" w:rsidR="005F5674" w:rsidRDefault="005F5674"/>
    <w:p w14:paraId="6D131324" w14:textId="77777777" w:rsidR="005F5674" w:rsidRDefault="00680ADE">
      <w:pPr>
        <w:pStyle w:val="Heading3"/>
        <w:rPr>
          <w:color w:val="auto"/>
        </w:rPr>
      </w:pPr>
      <w:r>
        <w:rPr>
          <w:color w:val="auto"/>
        </w:rPr>
        <w:t>Definitions and interpretation</w:t>
      </w:r>
    </w:p>
    <w:p w14:paraId="0FD23C79" w14:textId="77777777" w:rsidR="005F5674" w:rsidRDefault="00680ADE">
      <w:r>
        <w:t>In this Deed of Guarantee, unless defined elsewhere in this Deed of Guarantee or the context requires otherwise, defined terms will have the same meaning as they have for the purposes of the Call-Off Contract.</w:t>
      </w:r>
    </w:p>
    <w:p w14:paraId="0F66B31E" w14:textId="77777777" w:rsidR="005F5674" w:rsidRDefault="005F5674"/>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5F5674" w14:paraId="1E240AB3"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F25279" w14:textId="77777777" w:rsidR="005F5674" w:rsidRDefault="00680ADE">
            <w:pPr>
              <w:spacing w:before="240" w:after="240"/>
              <w:jc w:val="center"/>
              <w:rPr>
                <w:b/>
                <w:sz w:val="20"/>
                <w:szCs w:val="20"/>
              </w:rPr>
            </w:pPr>
            <w:r>
              <w:rPr>
                <w:b/>
                <w:sz w:val="20"/>
                <w:szCs w:val="20"/>
              </w:rPr>
              <w:lastRenderedPageBreak/>
              <w:t>Term</w:t>
            </w:r>
          </w:p>
        </w:tc>
        <w:tc>
          <w:tcPr>
            <w:tcW w:w="63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2DE38" w14:textId="77777777" w:rsidR="005F5674" w:rsidRDefault="00680ADE">
            <w:pPr>
              <w:spacing w:before="240" w:after="240"/>
              <w:jc w:val="center"/>
              <w:rPr>
                <w:b/>
                <w:sz w:val="20"/>
                <w:szCs w:val="20"/>
              </w:rPr>
            </w:pPr>
            <w:r>
              <w:rPr>
                <w:b/>
                <w:sz w:val="20"/>
                <w:szCs w:val="20"/>
              </w:rPr>
              <w:t>Meaning</w:t>
            </w:r>
          </w:p>
        </w:tc>
      </w:tr>
      <w:tr w:rsidR="005F5674" w14:paraId="4B61DAA1" w14:textId="77777777">
        <w:trPr>
          <w:trHeight w:val="6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BB2E58" w14:textId="77777777" w:rsidR="005F5674" w:rsidRDefault="00680ADE">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12EDE473" w14:textId="77777777" w:rsidR="005F5674" w:rsidRDefault="00680ADE">
            <w:pPr>
              <w:spacing w:before="240" w:after="240"/>
              <w:rPr>
                <w:sz w:val="20"/>
                <w:szCs w:val="20"/>
              </w:rPr>
            </w:pPr>
            <w:r>
              <w:rPr>
                <w:sz w:val="20"/>
                <w:szCs w:val="20"/>
              </w:rPr>
              <w:t>Means [the Guaranteed Agreement] made between the Buyer and the Supplier on [insert date].</w:t>
            </w:r>
          </w:p>
        </w:tc>
      </w:tr>
      <w:tr w:rsidR="005F5674" w14:paraId="2F359322" w14:textId="77777777">
        <w:trPr>
          <w:trHeight w:val="22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0D3DF0" w14:textId="77777777" w:rsidR="005F5674" w:rsidRDefault="00680ADE">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0B0DE5CD" w14:textId="77777777" w:rsidR="005F5674" w:rsidRDefault="00680ADE">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5F5674" w14:paraId="351319C9" w14:textId="77777777">
        <w:trPr>
          <w:trHeight w:val="88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5A58E4" w14:textId="77777777" w:rsidR="005F5674" w:rsidRDefault="00680ADE">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6610FEFD" w14:textId="77777777" w:rsidR="005F5674" w:rsidRDefault="00680ADE">
            <w:pPr>
              <w:spacing w:before="240" w:after="240"/>
              <w:rPr>
                <w:sz w:val="20"/>
                <w:szCs w:val="20"/>
              </w:rPr>
            </w:pPr>
            <w:r>
              <w:rPr>
                <w:sz w:val="20"/>
                <w:szCs w:val="20"/>
              </w:rPr>
              <w:t>Means the deed of guarantee described in the Order Form (Parent Company Guarantee).</w:t>
            </w:r>
          </w:p>
        </w:tc>
      </w:tr>
    </w:tbl>
    <w:p w14:paraId="38D100BF" w14:textId="77777777" w:rsidR="005F5674" w:rsidRDefault="00680ADE">
      <w:pPr>
        <w:spacing w:before="240" w:after="240"/>
        <w:rPr>
          <w:sz w:val="20"/>
          <w:szCs w:val="20"/>
        </w:rPr>
      </w:pPr>
      <w:r>
        <w:rPr>
          <w:sz w:val="20"/>
          <w:szCs w:val="20"/>
        </w:rPr>
        <w:t xml:space="preserve"> </w:t>
      </w:r>
    </w:p>
    <w:p w14:paraId="4516793A" w14:textId="77777777" w:rsidR="005F5674" w:rsidRDefault="00680ADE">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w:t>
      </w:r>
    </w:p>
    <w:p w14:paraId="0A3577BF" w14:textId="77777777" w:rsidR="005F5674" w:rsidRDefault="005F5674"/>
    <w:p w14:paraId="403F8D6A" w14:textId="77777777" w:rsidR="005F5674" w:rsidRDefault="00680ADE">
      <w:r>
        <w:t>Unless the context otherwise requires, words importing the singular are to include the plural and vice versa.</w:t>
      </w:r>
    </w:p>
    <w:p w14:paraId="6120E9BB" w14:textId="77777777" w:rsidR="005F5674" w:rsidRDefault="005F5674"/>
    <w:p w14:paraId="46B39D0D" w14:textId="77777777" w:rsidR="005F5674" w:rsidRDefault="00680ADE">
      <w:r>
        <w:t>References to a person are to be construed to include that person's assignees or transferees or successors in title, whether direct or indirect.</w:t>
      </w:r>
    </w:p>
    <w:p w14:paraId="739CC7B2" w14:textId="77777777" w:rsidR="005F5674" w:rsidRDefault="005F5674"/>
    <w:p w14:paraId="60A5FEE8" w14:textId="77777777" w:rsidR="005F5674" w:rsidRDefault="00680ADE">
      <w:r>
        <w:t>The words ‘other’ and ‘otherwise’ are not to be construed as confining the meaning of any following words to the class of thing previously stated if a wider construction is possible.</w:t>
      </w:r>
    </w:p>
    <w:p w14:paraId="5B31053D" w14:textId="77777777" w:rsidR="005F5674" w:rsidRDefault="005F5674"/>
    <w:p w14:paraId="02A2D1C7" w14:textId="77777777" w:rsidR="005F5674" w:rsidRDefault="00680ADE">
      <w:r>
        <w:t>Unless the context otherwise requires:</w:t>
      </w:r>
    </w:p>
    <w:p w14:paraId="3B565FE3" w14:textId="77777777" w:rsidR="005F5674" w:rsidRDefault="005F5674"/>
    <w:p w14:paraId="7BA961D4" w14:textId="77777777" w:rsidR="005F5674" w:rsidRDefault="00680ADE">
      <w:pPr>
        <w:numPr>
          <w:ilvl w:val="0"/>
          <w:numId w:val="15"/>
        </w:numPr>
      </w:pPr>
      <w:r>
        <w:t>reference to a gender includes the other gender and the neuter</w:t>
      </w:r>
    </w:p>
    <w:p w14:paraId="2C1AF51B" w14:textId="77777777" w:rsidR="005F5674" w:rsidRDefault="00680ADE">
      <w:pPr>
        <w:numPr>
          <w:ilvl w:val="0"/>
          <w:numId w:val="15"/>
        </w:numPr>
      </w:pPr>
      <w:r>
        <w:t xml:space="preserve">references to an Act of Parliament, statutory provision or statutory instrument also apply if amended, </w:t>
      </w:r>
      <w:proofErr w:type="gramStart"/>
      <w:r>
        <w:t>extended</w:t>
      </w:r>
      <w:proofErr w:type="gramEnd"/>
      <w:r>
        <w:t xml:space="preserve"> or re-enacted from time to time</w:t>
      </w:r>
    </w:p>
    <w:p w14:paraId="2139E6A6" w14:textId="77777777" w:rsidR="005F5674" w:rsidRDefault="00680ADE">
      <w:pPr>
        <w:numPr>
          <w:ilvl w:val="0"/>
          <w:numId w:val="15"/>
        </w:numPr>
      </w:pPr>
      <w:r>
        <w:t>any phrase introduced by the words ‘including’, ‘includes’, ‘in particular’, ‘for example’ or similar, will be construed as illustrative and without limitation to the generality of the related general words</w:t>
      </w:r>
    </w:p>
    <w:p w14:paraId="45523FFA" w14:textId="77777777" w:rsidR="005F5674" w:rsidRDefault="005F5674">
      <w:pPr>
        <w:ind w:left="720"/>
      </w:pPr>
    </w:p>
    <w:p w14:paraId="7F6D3335" w14:textId="77777777" w:rsidR="005F5674" w:rsidRDefault="00680ADE">
      <w:r>
        <w:t>References to Clauses and Schedules are, unless otherwise provided, references to Clauses of and Schedules to this Deed of Guarantee.</w:t>
      </w:r>
    </w:p>
    <w:p w14:paraId="1B526CD8" w14:textId="77777777" w:rsidR="005F5674" w:rsidRDefault="005F5674"/>
    <w:p w14:paraId="44266639" w14:textId="77777777" w:rsidR="005F5674" w:rsidRDefault="00680ADE">
      <w:r>
        <w:t xml:space="preserve">References to liability are to include any liability whether actual, contingent, </w:t>
      </w:r>
      <w:proofErr w:type="gramStart"/>
      <w:r>
        <w:t>present</w:t>
      </w:r>
      <w:proofErr w:type="gramEnd"/>
      <w:r>
        <w:t xml:space="preserve"> or future.</w:t>
      </w:r>
    </w:p>
    <w:p w14:paraId="102C64B0" w14:textId="77777777" w:rsidR="005F5674" w:rsidRDefault="005F5674"/>
    <w:p w14:paraId="121F6E76" w14:textId="77777777" w:rsidR="005F5674" w:rsidRDefault="00680ADE">
      <w:pPr>
        <w:pStyle w:val="Heading3"/>
        <w:rPr>
          <w:color w:val="auto"/>
        </w:rPr>
      </w:pPr>
      <w:r>
        <w:rPr>
          <w:color w:val="auto"/>
        </w:rPr>
        <w:lastRenderedPageBreak/>
        <w:t>Guarantee and indemnity</w:t>
      </w:r>
    </w:p>
    <w:p w14:paraId="5ADD5306" w14:textId="77777777" w:rsidR="005F5674" w:rsidRDefault="00680ADE">
      <w:r>
        <w:t xml:space="preserve">The Guarantor irrevocably and unconditionally guarantees that the Supplier duly performs </w:t>
      </w:r>
      <w:proofErr w:type="gramStart"/>
      <w:r>
        <w:t>all of</w:t>
      </w:r>
      <w:proofErr w:type="gramEnd"/>
      <w:r>
        <w:t xml:space="preserve"> the guaranteed obligations due by the Supplier to the Buyer.</w:t>
      </w:r>
    </w:p>
    <w:p w14:paraId="77C6E2D2" w14:textId="77777777" w:rsidR="005F5674" w:rsidRDefault="005F5674"/>
    <w:p w14:paraId="23F883BC" w14:textId="77777777" w:rsidR="005F5674" w:rsidRDefault="00680ADE">
      <w:r>
        <w:t>If at any time the Supplier will fail to perform any of the guaranteed obligations, the Guarantor irrevocably and unconditionally undertakes to the Buyer it will, at the cost of the Guarantor:</w:t>
      </w:r>
    </w:p>
    <w:p w14:paraId="0FE27713" w14:textId="77777777" w:rsidR="005F5674" w:rsidRDefault="005F5674"/>
    <w:p w14:paraId="7DFEDB15" w14:textId="77777777" w:rsidR="005F5674" w:rsidRDefault="00680ADE">
      <w:pPr>
        <w:numPr>
          <w:ilvl w:val="0"/>
          <w:numId w:val="16"/>
        </w:numPr>
      </w:pPr>
      <w:r>
        <w:t>fully perform or buy performance of the guaranteed obligations to the Buyer</w:t>
      </w:r>
    </w:p>
    <w:p w14:paraId="3527A3E6" w14:textId="77777777" w:rsidR="005F5674" w:rsidRDefault="005F5674">
      <w:pPr>
        <w:ind w:left="720"/>
      </w:pPr>
    </w:p>
    <w:p w14:paraId="4CC77E5A" w14:textId="77777777" w:rsidR="005F5674" w:rsidRDefault="00680ADE">
      <w:pPr>
        <w:numPr>
          <w:ilvl w:val="0"/>
          <w:numId w:val="16"/>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1C472DB2" w14:textId="77777777" w:rsidR="005F5674" w:rsidRDefault="005F5674"/>
    <w:p w14:paraId="71B0C7D3" w14:textId="77777777" w:rsidR="005F5674" w:rsidRDefault="00680ADE">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25EED267" w14:textId="77777777" w:rsidR="005F5674" w:rsidRDefault="005F5674"/>
    <w:p w14:paraId="560A90DC" w14:textId="77777777" w:rsidR="005F5674" w:rsidRDefault="00680ADE">
      <w:pPr>
        <w:pStyle w:val="Heading3"/>
        <w:rPr>
          <w:color w:val="auto"/>
        </w:rPr>
      </w:pPr>
      <w:r>
        <w:rPr>
          <w:color w:val="auto"/>
        </w:rPr>
        <w:t xml:space="preserve">Obligation to </w:t>
      </w:r>
      <w:proofErr w:type="gramStart"/>
      <w:r>
        <w:rPr>
          <w:color w:val="auto"/>
        </w:rPr>
        <w:t>enter into</w:t>
      </w:r>
      <w:proofErr w:type="gramEnd"/>
      <w:r>
        <w:rPr>
          <w:color w:val="auto"/>
        </w:rPr>
        <w:t xml:space="preserve"> a new contract</w:t>
      </w:r>
    </w:p>
    <w:p w14:paraId="6E6420C9" w14:textId="77777777" w:rsidR="005F5674" w:rsidRDefault="00680ADE">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124AA932" w14:textId="77777777" w:rsidR="005F5674" w:rsidRDefault="005F5674"/>
    <w:p w14:paraId="5549A57A" w14:textId="77777777" w:rsidR="005F5674" w:rsidRDefault="00680ADE">
      <w:pPr>
        <w:pStyle w:val="Heading3"/>
        <w:rPr>
          <w:color w:val="auto"/>
        </w:rPr>
      </w:pPr>
      <w:r>
        <w:rPr>
          <w:color w:val="auto"/>
        </w:rPr>
        <w:t>Demands and notices</w:t>
      </w:r>
    </w:p>
    <w:p w14:paraId="055E09A6" w14:textId="77777777" w:rsidR="005F5674" w:rsidRDefault="00680ADE">
      <w:r>
        <w:t>Any demand or notice served by the Buyer on the Guarantor under this Deed of Guarantee will be in writing, addressed to:</w:t>
      </w:r>
    </w:p>
    <w:p w14:paraId="03A4CDFF" w14:textId="77777777" w:rsidR="005F5674" w:rsidRDefault="005F5674"/>
    <w:p w14:paraId="647F54F3" w14:textId="77777777" w:rsidR="005F5674" w:rsidRDefault="00680ADE">
      <w:r>
        <w:t>[</w:t>
      </w:r>
      <w:r>
        <w:rPr>
          <w:b/>
        </w:rPr>
        <w:t>Enter Address of the Guarantor in England and Wales</w:t>
      </w:r>
      <w:r>
        <w:t>]</w:t>
      </w:r>
    </w:p>
    <w:p w14:paraId="03EAD9A7" w14:textId="77777777" w:rsidR="005F5674" w:rsidRDefault="005F5674"/>
    <w:p w14:paraId="63AC9A4E" w14:textId="77777777" w:rsidR="005F5674" w:rsidRDefault="00680ADE">
      <w:r>
        <w:t>[</w:t>
      </w:r>
      <w:r>
        <w:rPr>
          <w:b/>
        </w:rPr>
        <w:t>Enter Email address of the Guarantor representative</w:t>
      </w:r>
      <w:r>
        <w:t>]</w:t>
      </w:r>
    </w:p>
    <w:p w14:paraId="6FA89CD7" w14:textId="77777777" w:rsidR="005F5674" w:rsidRDefault="005F5674"/>
    <w:p w14:paraId="3295E3A2" w14:textId="77777777" w:rsidR="005F5674" w:rsidRDefault="00680ADE">
      <w:r>
        <w:t>For the Attention of [</w:t>
      </w:r>
      <w:r>
        <w:rPr>
          <w:b/>
        </w:rPr>
        <w:t>insert details</w:t>
      </w:r>
      <w:r>
        <w:t>]</w:t>
      </w:r>
    </w:p>
    <w:p w14:paraId="3B4A9DAF" w14:textId="77777777" w:rsidR="005F5674" w:rsidRDefault="005F5674"/>
    <w:p w14:paraId="389028A1" w14:textId="77777777" w:rsidR="005F5674" w:rsidRDefault="00680ADE">
      <w:r>
        <w:t>or such other address in England and Wales as the Guarantor has notified the Buyer in writing as being an address for the receipt of such demands or notices.</w:t>
      </w:r>
    </w:p>
    <w:p w14:paraId="0D736B1A" w14:textId="77777777" w:rsidR="005F5674" w:rsidRDefault="005F5674"/>
    <w:p w14:paraId="1FE08A48" w14:textId="77777777" w:rsidR="005F5674" w:rsidRDefault="00680ADE">
      <w:r>
        <w:t xml:space="preserve">Any notice or demand served on the </w:t>
      </w:r>
      <w:proofErr w:type="gramStart"/>
      <w:r>
        <w:t>Guarantor</w:t>
      </w:r>
      <w:proofErr w:type="gramEnd"/>
      <w:r>
        <w:t xml:space="preserve"> or the Buyer under this Deed of Guarantee will be deemed to have been served if:</w:t>
      </w:r>
    </w:p>
    <w:p w14:paraId="0425AABA" w14:textId="77777777" w:rsidR="005F5674" w:rsidRDefault="005F5674"/>
    <w:p w14:paraId="34134862" w14:textId="77777777" w:rsidR="005F5674" w:rsidRDefault="005F5674"/>
    <w:p w14:paraId="62CCB4E3" w14:textId="77777777" w:rsidR="005F5674" w:rsidRDefault="00680ADE">
      <w:pPr>
        <w:numPr>
          <w:ilvl w:val="0"/>
          <w:numId w:val="17"/>
        </w:numPr>
      </w:pPr>
      <w:r>
        <w:t>delivered by hand, at the time of delivery</w:t>
      </w:r>
    </w:p>
    <w:p w14:paraId="624447C6" w14:textId="77777777" w:rsidR="005F5674" w:rsidRDefault="00680ADE">
      <w:pPr>
        <w:numPr>
          <w:ilvl w:val="0"/>
          <w:numId w:val="17"/>
        </w:numPr>
      </w:pPr>
      <w:r>
        <w:lastRenderedPageBreak/>
        <w:t>posted, at 10am on the second Working Day after it was put into the post</w:t>
      </w:r>
    </w:p>
    <w:p w14:paraId="70825290" w14:textId="77777777" w:rsidR="005F5674" w:rsidRDefault="00680ADE">
      <w:pPr>
        <w:numPr>
          <w:ilvl w:val="0"/>
          <w:numId w:val="17"/>
        </w:numPr>
      </w:pPr>
      <w:r>
        <w:t>sent by email, at the time of despatch, if despatched before 5pm on any Working Day, and in any other case at 10am on the next Working Day</w:t>
      </w:r>
    </w:p>
    <w:p w14:paraId="52A66422" w14:textId="77777777" w:rsidR="005F5674" w:rsidRDefault="005F5674"/>
    <w:p w14:paraId="545C5613" w14:textId="77777777" w:rsidR="005F5674" w:rsidRDefault="00680ADE">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755EFC0D" w14:textId="77777777" w:rsidR="005F5674" w:rsidRDefault="005F5674"/>
    <w:p w14:paraId="57F8872A" w14:textId="77777777" w:rsidR="005F5674" w:rsidRDefault="00680ADE">
      <w:r>
        <w:t>Any notice purported to be served on the Buyer under this Deed of Guarantee will only be valid when received in writing by the Buyer.</w:t>
      </w:r>
    </w:p>
    <w:p w14:paraId="74664D9E" w14:textId="77777777" w:rsidR="005F5674" w:rsidRDefault="005F5674"/>
    <w:p w14:paraId="13BC8DCD" w14:textId="77777777" w:rsidR="005F5674" w:rsidRDefault="00680ADE">
      <w:pPr>
        <w:spacing w:after="200"/>
      </w:pPr>
      <w:r>
        <w:t>Beneficiary’s protections</w:t>
      </w:r>
    </w:p>
    <w:p w14:paraId="4398BE6D" w14:textId="77777777" w:rsidR="005F5674" w:rsidRDefault="00680ADE">
      <w:r>
        <w:t>The Guarantor will not be discharged or released from this Deed of Guarantee by:</w:t>
      </w:r>
    </w:p>
    <w:p w14:paraId="55CE23FA" w14:textId="77777777" w:rsidR="005F5674" w:rsidRDefault="005F5674"/>
    <w:p w14:paraId="6047197E" w14:textId="77777777" w:rsidR="005F5674" w:rsidRDefault="00680ADE">
      <w:pPr>
        <w:numPr>
          <w:ilvl w:val="0"/>
          <w:numId w:val="18"/>
        </w:numPr>
      </w:pPr>
      <w:r>
        <w:t>any arrangement made between the Supplier and the Buyer (</w:t>
      </w:r>
      <w:proofErr w:type="gramStart"/>
      <w:r>
        <w:t>whether or not</w:t>
      </w:r>
      <w:proofErr w:type="gramEnd"/>
      <w:r>
        <w:t xml:space="preserve"> such arrangement is made with the assent of the Guarantor)</w:t>
      </w:r>
    </w:p>
    <w:p w14:paraId="22A9D14A" w14:textId="77777777" w:rsidR="005F5674" w:rsidRDefault="00680ADE">
      <w:pPr>
        <w:numPr>
          <w:ilvl w:val="0"/>
          <w:numId w:val="18"/>
        </w:numPr>
      </w:pPr>
      <w:r>
        <w:t>any amendment to or termination of the Call-Off Contract</w:t>
      </w:r>
    </w:p>
    <w:p w14:paraId="67CEC78A" w14:textId="77777777" w:rsidR="005F5674" w:rsidRDefault="00680ADE">
      <w:pPr>
        <w:numPr>
          <w:ilvl w:val="0"/>
          <w:numId w:val="18"/>
        </w:numPr>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w:t>
      </w:r>
    </w:p>
    <w:p w14:paraId="02C9FA2A" w14:textId="77777777" w:rsidR="005F5674" w:rsidRDefault="00680ADE">
      <w:pPr>
        <w:numPr>
          <w:ilvl w:val="0"/>
          <w:numId w:val="18"/>
        </w:numPr>
      </w:pPr>
      <w:r>
        <w:t>the Buyer doing (or omitting to do) anything which, but for this provision, might exonerate the Guarantor</w:t>
      </w:r>
    </w:p>
    <w:p w14:paraId="198EC87E" w14:textId="77777777" w:rsidR="005F5674" w:rsidRDefault="005F5674"/>
    <w:p w14:paraId="15AE5C33" w14:textId="77777777" w:rsidR="005F5674" w:rsidRDefault="00680ADE">
      <w:r>
        <w:t>This Deed of Guarantee will be a continuing security for the Guaranteed Obligations and accordingly:</w:t>
      </w:r>
    </w:p>
    <w:p w14:paraId="5D13D383" w14:textId="77777777" w:rsidR="005F5674" w:rsidRDefault="005F5674"/>
    <w:p w14:paraId="5CA63143" w14:textId="77777777" w:rsidR="005F5674" w:rsidRDefault="00680ADE">
      <w:pPr>
        <w:numPr>
          <w:ilvl w:val="0"/>
          <w:numId w:val="19"/>
        </w:numPr>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w:t>
      </w:r>
    </w:p>
    <w:p w14:paraId="6EBCCE06" w14:textId="77777777" w:rsidR="005F5674" w:rsidRDefault="00680ADE">
      <w:pPr>
        <w:numPr>
          <w:ilvl w:val="0"/>
          <w:numId w:val="19"/>
        </w:numPr>
      </w:pPr>
      <w:r>
        <w:t xml:space="preserve">it will not be affected by any dissolution, amalgamation, reconstruction, reorganisation, change in status, function, control or ownership, insolvency, liquidation, administration, appointment of a receiver, voluntary arrangement, any legal </w:t>
      </w:r>
      <w:proofErr w:type="gramStart"/>
      <w:r>
        <w:t>limitation</w:t>
      </w:r>
      <w:proofErr w:type="gramEnd"/>
      <w:r>
        <w:t xml:space="preserve"> or other incapacity, of the Supplier, the Buyer, the Guarantor or any other person</w:t>
      </w:r>
    </w:p>
    <w:p w14:paraId="5C38B197" w14:textId="77777777" w:rsidR="005F5674" w:rsidRDefault="00680ADE">
      <w:pPr>
        <w:numPr>
          <w:ilvl w:val="0"/>
          <w:numId w:val="19"/>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0601DFFA" w14:textId="77777777" w:rsidR="005F5674" w:rsidRDefault="00680ADE">
      <w:pPr>
        <w:numPr>
          <w:ilvl w:val="0"/>
          <w:numId w:val="19"/>
        </w:numPr>
      </w:pPr>
      <w:r>
        <w:t>the rights of the Buyer against the Guarantor under this Deed of Guarantee are in addition to, will not be affected by and will not prejudice, any other security, guarantee, indemnity or other rights or remedies available to the Buyer</w:t>
      </w:r>
    </w:p>
    <w:p w14:paraId="10FA1F70" w14:textId="77777777" w:rsidR="005F5674" w:rsidRDefault="005F5674"/>
    <w:p w14:paraId="6694C634" w14:textId="77777777" w:rsidR="005F5674" w:rsidRDefault="00680ADE">
      <w:r>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defective) relating to the breach or non-performance by the Supplier of any Guaranteed Obligation will not preclude the Buyer from making a further demand relating to the same or some other Default regarding the same Guaranteed Obligation.</w:t>
      </w:r>
    </w:p>
    <w:p w14:paraId="7484B3C5" w14:textId="77777777" w:rsidR="005F5674" w:rsidRDefault="005F5674"/>
    <w:p w14:paraId="21F18893" w14:textId="77777777" w:rsidR="005F5674" w:rsidRDefault="00680ADE">
      <w:r>
        <w:t>The Buyer will not be obliged before taking steps to enforce this Deed of Guarantee against the Guarantor to:</w:t>
      </w:r>
    </w:p>
    <w:p w14:paraId="4A113A8E" w14:textId="77777777" w:rsidR="005F5674" w:rsidRDefault="005F5674"/>
    <w:p w14:paraId="12003A8C" w14:textId="77777777" w:rsidR="005F5674" w:rsidRDefault="00680ADE">
      <w:pPr>
        <w:numPr>
          <w:ilvl w:val="0"/>
          <w:numId w:val="20"/>
        </w:numPr>
      </w:pPr>
      <w:r>
        <w:t>obtain judgment against the Supplier or the Guarantor or any third party in any court</w:t>
      </w:r>
    </w:p>
    <w:p w14:paraId="2DD2C1FC" w14:textId="77777777" w:rsidR="005F5674" w:rsidRDefault="00680ADE">
      <w:pPr>
        <w:numPr>
          <w:ilvl w:val="0"/>
          <w:numId w:val="20"/>
        </w:numPr>
      </w:pPr>
      <w:r>
        <w:t>make or file any claim in a bankruptcy or liquidation of the Supplier or any third party</w:t>
      </w:r>
    </w:p>
    <w:p w14:paraId="0968B213" w14:textId="77777777" w:rsidR="005F5674" w:rsidRDefault="00680ADE">
      <w:pPr>
        <w:numPr>
          <w:ilvl w:val="0"/>
          <w:numId w:val="20"/>
        </w:numPr>
      </w:pPr>
      <w:r>
        <w:t>take any action against the Supplier or the Guarantor or any third party</w:t>
      </w:r>
    </w:p>
    <w:p w14:paraId="108427FF" w14:textId="77777777" w:rsidR="005F5674" w:rsidRDefault="00680ADE">
      <w:pPr>
        <w:numPr>
          <w:ilvl w:val="0"/>
          <w:numId w:val="20"/>
        </w:numPr>
      </w:pPr>
      <w:r>
        <w:t>resort to any other security or guarantee or other means of payment</w:t>
      </w:r>
    </w:p>
    <w:p w14:paraId="38FF11BE" w14:textId="77777777" w:rsidR="005F5674" w:rsidRDefault="005F5674"/>
    <w:p w14:paraId="2C587107" w14:textId="77777777" w:rsidR="005F5674" w:rsidRDefault="00680ADE">
      <w:r>
        <w:t>No action (or inaction) by the Buyer relating to any such security, guarantee or other means of payment will prejudice or affect the liability of the Guarantor.</w:t>
      </w:r>
    </w:p>
    <w:p w14:paraId="57F4EC90" w14:textId="77777777" w:rsidR="005F5674" w:rsidRDefault="005F5674"/>
    <w:p w14:paraId="6A24340A" w14:textId="77777777" w:rsidR="005F5674" w:rsidRDefault="00680ADE">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09ED5AC6" w14:textId="77777777" w:rsidR="005F5674" w:rsidRDefault="005F5674"/>
    <w:p w14:paraId="71C00A0F" w14:textId="77777777" w:rsidR="005F5674" w:rsidRDefault="00680ADE">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6F4EE120" w14:textId="77777777" w:rsidR="005F5674" w:rsidRDefault="005F5674"/>
    <w:p w14:paraId="401F763F" w14:textId="77777777" w:rsidR="005F5674" w:rsidRDefault="00680ADE">
      <w:pPr>
        <w:pStyle w:val="Heading3"/>
        <w:rPr>
          <w:color w:val="auto"/>
        </w:rPr>
      </w:pPr>
      <w:r>
        <w:rPr>
          <w:color w:val="auto"/>
        </w:rPr>
        <w:t>Representations and warranties</w:t>
      </w:r>
    </w:p>
    <w:p w14:paraId="12081ED7" w14:textId="77777777" w:rsidR="005F5674" w:rsidRDefault="00680ADE">
      <w:r>
        <w:t>The Guarantor hereby represents and warrants to the Buyer that:</w:t>
      </w:r>
    </w:p>
    <w:p w14:paraId="5C93CA50" w14:textId="77777777" w:rsidR="005F5674" w:rsidRDefault="005F5674">
      <w:pPr>
        <w:ind w:left="720"/>
      </w:pPr>
    </w:p>
    <w:p w14:paraId="2CC53F59" w14:textId="77777777" w:rsidR="005F5674" w:rsidRDefault="00680ADE">
      <w:pPr>
        <w:numPr>
          <w:ilvl w:val="0"/>
          <w:numId w:val="21"/>
        </w:numPr>
      </w:pPr>
      <w:r>
        <w:t>the Guarantor is duly incorporated and is a validly existing company under the Laws of its place of incorporation</w:t>
      </w:r>
    </w:p>
    <w:p w14:paraId="261BFC78" w14:textId="77777777" w:rsidR="005F5674" w:rsidRDefault="00680ADE">
      <w:pPr>
        <w:numPr>
          <w:ilvl w:val="0"/>
          <w:numId w:val="21"/>
        </w:numPr>
      </w:pPr>
      <w:r>
        <w:t>has the capacity to sue or be sued in its own name</w:t>
      </w:r>
    </w:p>
    <w:p w14:paraId="1AB157D8" w14:textId="77777777" w:rsidR="005F5674" w:rsidRDefault="00680ADE">
      <w:pPr>
        <w:numPr>
          <w:ilvl w:val="0"/>
          <w:numId w:val="21"/>
        </w:numPr>
      </w:pPr>
      <w:r>
        <w:t xml:space="preserve">the Guarantor has power to carry on its business as now being conducted and to own its </w:t>
      </w:r>
      <w:proofErr w:type="gramStart"/>
      <w:r>
        <w:t>Property</w:t>
      </w:r>
      <w:proofErr w:type="gramEnd"/>
      <w:r>
        <w:t xml:space="preserve"> and other assets</w:t>
      </w:r>
    </w:p>
    <w:p w14:paraId="2083C18D" w14:textId="77777777" w:rsidR="005F5674" w:rsidRDefault="00680ADE">
      <w:pPr>
        <w:numPr>
          <w:ilvl w:val="0"/>
          <w:numId w:val="21"/>
        </w:numPr>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w:t>
      </w:r>
    </w:p>
    <w:p w14:paraId="79A50E05" w14:textId="77777777" w:rsidR="005F5674" w:rsidRDefault="00680ADE">
      <w:pPr>
        <w:numPr>
          <w:ilvl w:val="0"/>
          <w:numId w:val="21"/>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4C17C0D0" w14:textId="77777777" w:rsidR="005F5674" w:rsidRDefault="00680ADE">
      <w:pPr>
        <w:numPr>
          <w:ilvl w:val="1"/>
          <w:numId w:val="21"/>
        </w:numPr>
      </w:pPr>
      <w:r>
        <w:t>the Guarantor's memorandum and articles of association or other equivalent constitutional documents, any existing Law, statute, rule or Regulation or any judgment, decree or permit to which the Guarantor is subject</w:t>
      </w:r>
    </w:p>
    <w:p w14:paraId="464CD416" w14:textId="77777777" w:rsidR="005F5674" w:rsidRDefault="00680ADE">
      <w:pPr>
        <w:numPr>
          <w:ilvl w:val="1"/>
          <w:numId w:val="21"/>
        </w:numPr>
      </w:pPr>
      <w:r>
        <w:t>the terms of any agreement or other document to which the Guarantor is a party or which is binding upon it or any of its assets</w:t>
      </w:r>
    </w:p>
    <w:p w14:paraId="0C7138BF" w14:textId="77777777" w:rsidR="005F5674" w:rsidRDefault="00680ADE">
      <w:pPr>
        <w:numPr>
          <w:ilvl w:val="1"/>
          <w:numId w:val="21"/>
        </w:numPr>
      </w:pPr>
      <w:r>
        <w:t xml:space="preserve">all governmental and other authorisations, approvals, </w:t>
      </w:r>
      <w:proofErr w:type="gramStart"/>
      <w:r>
        <w:t>licences</w:t>
      </w:r>
      <w:proofErr w:type="gramEnd"/>
      <w:r>
        <w:t xml:space="preserve"> and consents, required or desirable</w:t>
      </w:r>
    </w:p>
    <w:p w14:paraId="6E9AA850" w14:textId="77777777" w:rsidR="005F5674" w:rsidRDefault="005F5674">
      <w:pPr>
        <w:ind w:left="1440"/>
      </w:pPr>
    </w:p>
    <w:p w14:paraId="3E37F65B" w14:textId="77777777" w:rsidR="005F5674" w:rsidRDefault="00680ADE">
      <w:r>
        <w:lastRenderedPageBreak/>
        <w:t>This Deed of Guarantee is the legal valid and binding obligation of the Guarantor and is enforceable against the Guarantor in accordance with its terms.</w:t>
      </w:r>
    </w:p>
    <w:p w14:paraId="03F2CD1D" w14:textId="77777777" w:rsidR="005F5674" w:rsidRDefault="005F5674">
      <w:pPr>
        <w:spacing w:after="200"/>
        <w:rPr>
          <w:b/>
        </w:rPr>
      </w:pPr>
    </w:p>
    <w:p w14:paraId="14B39307" w14:textId="77777777" w:rsidR="005F5674" w:rsidRDefault="00680ADE">
      <w:pPr>
        <w:pStyle w:val="Heading3"/>
        <w:rPr>
          <w:color w:val="auto"/>
        </w:rPr>
      </w:pPr>
      <w:r>
        <w:rPr>
          <w:color w:val="auto"/>
        </w:rPr>
        <w:t>Payments and set-off</w:t>
      </w:r>
    </w:p>
    <w:p w14:paraId="481C1D94" w14:textId="77777777" w:rsidR="005F5674" w:rsidRDefault="00680ADE">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79A78CC8" w14:textId="77777777" w:rsidR="005F5674" w:rsidRDefault="005F5674"/>
    <w:p w14:paraId="2BD0C294" w14:textId="77777777" w:rsidR="005F5674" w:rsidRDefault="00680ADE">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w:t>
      </w:r>
    </w:p>
    <w:p w14:paraId="02C56D3A" w14:textId="77777777" w:rsidR="005F5674" w:rsidRDefault="005F5674"/>
    <w:p w14:paraId="6AFC0C28" w14:textId="77777777" w:rsidR="005F5674" w:rsidRDefault="00680ADE">
      <w:r>
        <w:t>The Guarantor will reimburse the Buyer for all legal and other costs (including VAT) incurred by the Buyer in connection with the enforcement of this Deed of Guarantee.</w:t>
      </w:r>
    </w:p>
    <w:p w14:paraId="626B3C50" w14:textId="77777777" w:rsidR="005F5674" w:rsidRDefault="005F5674"/>
    <w:p w14:paraId="46F5BB7A" w14:textId="77777777" w:rsidR="005F5674" w:rsidRDefault="00680ADE">
      <w:pPr>
        <w:pStyle w:val="Heading3"/>
        <w:rPr>
          <w:color w:val="auto"/>
        </w:rPr>
      </w:pPr>
      <w:r>
        <w:rPr>
          <w:color w:val="auto"/>
        </w:rPr>
        <w:t>Guarantor’s acknowledgement</w:t>
      </w:r>
    </w:p>
    <w:p w14:paraId="5C261F2B" w14:textId="77777777" w:rsidR="005F5674" w:rsidRDefault="00680ADE">
      <w:r>
        <w:t xml:space="preserve">The Guarantor warrants, acknowledges and confirms to the Buyer that it has not </w:t>
      </w:r>
      <w:proofErr w:type="gramStart"/>
      <w:r>
        <w:t>entered into</w:t>
      </w:r>
      <w:proofErr w:type="gramEnd"/>
      <w:r>
        <w:t xml:space="preserve">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3D86AB62" w14:textId="77777777" w:rsidR="005F5674" w:rsidRDefault="005F5674"/>
    <w:p w14:paraId="7269A49E" w14:textId="77777777" w:rsidR="005F5674" w:rsidRDefault="00680ADE">
      <w:pPr>
        <w:pStyle w:val="Heading3"/>
        <w:rPr>
          <w:color w:val="auto"/>
        </w:rPr>
      </w:pPr>
      <w:r>
        <w:rPr>
          <w:color w:val="auto"/>
        </w:rPr>
        <w:t>Assignment</w:t>
      </w:r>
    </w:p>
    <w:p w14:paraId="59DD2F51" w14:textId="77777777" w:rsidR="005F5674" w:rsidRDefault="00680ADE">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156D2240" w14:textId="77777777" w:rsidR="005F5674" w:rsidRDefault="005F5674"/>
    <w:p w14:paraId="16C7B357" w14:textId="77777777" w:rsidR="005F5674" w:rsidRDefault="00680ADE">
      <w:r>
        <w:t>The Guarantor may not assign or transfer any of its rights or obligations under this Deed of Guarantee.</w:t>
      </w:r>
    </w:p>
    <w:p w14:paraId="0637CC07" w14:textId="77777777" w:rsidR="005F5674" w:rsidRDefault="005F5674">
      <w:pPr>
        <w:spacing w:after="200"/>
      </w:pPr>
    </w:p>
    <w:p w14:paraId="259ADD98" w14:textId="77777777" w:rsidR="005F5674" w:rsidRDefault="00680ADE">
      <w:pPr>
        <w:pStyle w:val="Heading3"/>
        <w:rPr>
          <w:color w:val="auto"/>
        </w:rPr>
      </w:pPr>
      <w:r>
        <w:rPr>
          <w:color w:val="auto"/>
        </w:rPr>
        <w:t>Severance</w:t>
      </w:r>
    </w:p>
    <w:p w14:paraId="4133DAC6" w14:textId="77777777" w:rsidR="005F5674" w:rsidRDefault="00680ADE">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7D5CAD80" w14:textId="77777777" w:rsidR="005F5674" w:rsidRDefault="005F5674">
      <w:pPr>
        <w:spacing w:after="200"/>
      </w:pPr>
    </w:p>
    <w:p w14:paraId="677903F4" w14:textId="77777777" w:rsidR="005F5674" w:rsidRDefault="00680ADE">
      <w:pPr>
        <w:pStyle w:val="Heading3"/>
        <w:rPr>
          <w:color w:val="auto"/>
        </w:rPr>
      </w:pPr>
      <w:r>
        <w:rPr>
          <w:color w:val="auto"/>
        </w:rPr>
        <w:t>Third-party rights</w:t>
      </w:r>
    </w:p>
    <w:p w14:paraId="28999C9B" w14:textId="77777777" w:rsidR="005F5674" w:rsidRDefault="00680ADE">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2819AE8B" w14:textId="77777777" w:rsidR="005F5674" w:rsidRDefault="005F5674"/>
    <w:p w14:paraId="7C49C1DD" w14:textId="77777777" w:rsidR="005F5674" w:rsidRDefault="00680ADE">
      <w:pPr>
        <w:pStyle w:val="Heading3"/>
        <w:rPr>
          <w:color w:val="auto"/>
        </w:rPr>
      </w:pPr>
      <w:r>
        <w:rPr>
          <w:color w:val="auto"/>
        </w:rPr>
        <w:t>Governing law</w:t>
      </w:r>
    </w:p>
    <w:p w14:paraId="349F4468" w14:textId="77777777" w:rsidR="005F5674" w:rsidRDefault="00680ADE">
      <w:r>
        <w:t>This Deed of Guarantee, and any non-Contractual obligations arising out of or in connection with it, will be governed by and construed in accordance with English Law.</w:t>
      </w:r>
    </w:p>
    <w:p w14:paraId="5D100CD7" w14:textId="77777777" w:rsidR="005F5674" w:rsidRDefault="005F5674"/>
    <w:p w14:paraId="4BC983C0" w14:textId="77777777" w:rsidR="005F5674" w:rsidRDefault="00680ADE">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w:t>
      </w:r>
    </w:p>
    <w:p w14:paraId="0CD028F5" w14:textId="77777777" w:rsidR="005F5674" w:rsidRDefault="005F5674"/>
    <w:p w14:paraId="28BFE811" w14:textId="77777777" w:rsidR="005F5674" w:rsidRDefault="00680ADE">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65369C54" w14:textId="77777777" w:rsidR="005F5674" w:rsidRDefault="005F5674"/>
    <w:p w14:paraId="7B183FA5" w14:textId="77777777" w:rsidR="005F5674" w:rsidRDefault="00680ADE">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6C4E83D1" w14:textId="77777777" w:rsidR="005F5674" w:rsidRDefault="005F5674"/>
    <w:p w14:paraId="1B23D1E7" w14:textId="77777777" w:rsidR="005F5674" w:rsidRDefault="00680ADE">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483850D3" w14:textId="77777777" w:rsidR="005F5674" w:rsidRDefault="005F5674"/>
    <w:p w14:paraId="33819A8D" w14:textId="77777777" w:rsidR="005F5674" w:rsidRDefault="00680ADE">
      <w:r>
        <w:t>IN WITNESS whereof the Guarantor has caused this instrument to be executed and delivered as a Deed the day and year first before written.</w:t>
      </w:r>
    </w:p>
    <w:p w14:paraId="0E12DC48" w14:textId="77777777" w:rsidR="005F5674" w:rsidRDefault="005F5674"/>
    <w:p w14:paraId="04996D75" w14:textId="77777777" w:rsidR="005F5674" w:rsidRDefault="00680ADE">
      <w:r>
        <w:t>EXECUTED as a DEED by</w:t>
      </w:r>
    </w:p>
    <w:p w14:paraId="0D08D6EE" w14:textId="77777777" w:rsidR="005F5674" w:rsidRDefault="005F5674"/>
    <w:p w14:paraId="272A2F7F" w14:textId="77777777" w:rsidR="005F5674" w:rsidRDefault="005F5674"/>
    <w:p w14:paraId="186CD61C" w14:textId="77777777" w:rsidR="005F5674" w:rsidRDefault="00680ADE">
      <w:pPr>
        <w:spacing w:line="480" w:lineRule="auto"/>
      </w:pPr>
      <w:r>
        <w:t>[</w:t>
      </w:r>
      <w:r>
        <w:rPr>
          <w:b/>
        </w:rPr>
        <w:t>Insert name of the Guarantor</w:t>
      </w:r>
      <w:r>
        <w:t>] acting by [</w:t>
      </w:r>
      <w:r>
        <w:rPr>
          <w:b/>
        </w:rPr>
        <w:t>Insert names</w:t>
      </w:r>
      <w:r>
        <w:t>]</w:t>
      </w:r>
    </w:p>
    <w:p w14:paraId="225EA1C7" w14:textId="77777777" w:rsidR="005F5674" w:rsidRDefault="00680ADE">
      <w:r>
        <w:t>Director</w:t>
      </w:r>
    </w:p>
    <w:p w14:paraId="23710C36" w14:textId="77777777" w:rsidR="005F5674" w:rsidRDefault="005F5674"/>
    <w:p w14:paraId="42EE40F1" w14:textId="77777777" w:rsidR="005F5674" w:rsidRDefault="00680ADE">
      <w:r>
        <w:t>Director/Secretary</w:t>
      </w:r>
    </w:p>
    <w:p w14:paraId="493E48C6" w14:textId="77777777" w:rsidR="005F5674" w:rsidRDefault="005F5674">
      <w:pPr>
        <w:pageBreakBefore/>
        <w:rPr>
          <w:b/>
        </w:rPr>
      </w:pPr>
    </w:p>
    <w:p w14:paraId="757AAAFE" w14:textId="77777777" w:rsidR="005F5674" w:rsidRDefault="00680ADE">
      <w:pPr>
        <w:pStyle w:val="Heading2"/>
      </w:pPr>
      <w:bookmarkStart w:id="24" w:name="_Toc33176239"/>
      <w:r>
        <w:t>Schedule 6: Glossary and interpretations</w:t>
      </w:r>
      <w:bookmarkEnd w:id="24"/>
    </w:p>
    <w:p w14:paraId="7DFED505" w14:textId="77777777" w:rsidR="005F5674" w:rsidRDefault="00680ADE">
      <w:r>
        <w:t>In this Call-Off Contract the following expressions mean:</w:t>
      </w:r>
    </w:p>
    <w:p w14:paraId="343F1FAC" w14:textId="77777777" w:rsidR="005F5674" w:rsidRDefault="005F5674"/>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5F5674" w14:paraId="533C8EF0" w14:textId="77777777">
        <w:trPr>
          <w:trHeight w:val="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AED0E3" w14:textId="77777777" w:rsidR="005F5674" w:rsidRDefault="00680ADE">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9098A3" w14:textId="77777777" w:rsidR="005F5674" w:rsidRDefault="00680ADE">
            <w:pPr>
              <w:spacing w:before="240"/>
              <w:rPr>
                <w:sz w:val="20"/>
                <w:szCs w:val="20"/>
              </w:rPr>
            </w:pPr>
            <w:r>
              <w:rPr>
                <w:sz w:val="20"/>
                <w:szCs w:val="20"/>
              </w:rPr>
              <w:t>Meaning</w:t>
            </w:r>
          </w:p>
        </w:tc>
      </w:tr>
      <w:tr w:rsidR="005F5674" w14:paraId="43A17BC0"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44726A" w14:textId="77777777" w:rsidR="005F5674" w:rsidRDefault="00680ADE">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E6358F" w14:textId="77777777" w:rsidR="005F5674" w:rsidRDefault="00680ADE">
            <w:pPr>
              <w:spacing w:before="240"/>
              <w:rPr>
                <w:sz w:val="20"/>
                <w:szCs w:val="20"/>
              </w:rPr>
            </w:pPr>
            <w:r>
              <w:rPr>
                <w:sz w:val="20"/>
                <w:szCs w:val="20"/>
              </w:rPr>
              <w:t>Any services ancillary to the G-Cloud Services that are in the scope of Framework Agreement Section 2 (Services Offered) which a Buyer may request.</w:t>
            </w:r>
          </w:p>
        </w:tc>
      </w:tr>
      <w:tr w:rsidR="005F5674" w14:paraId="53D23443"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15558F" w14:textId="77777777" w:rsidR="005F5674" w:rsidRDefault="00680ADE">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801C80" w14:textId="77777777" w:rsidR="005F5674" w:rsidRDefault="00680ADE">
            <w:pPr>
              <w:spacing w:before="240"/>
              <w:rPr>
                <w:sz w:val="20"/>
                <w:szCs w:val="20"/>
              </w:rPr>
            </w:pPr>
            <w:r>
              <w:rPr>
                <w:sz w:val="20"/>
                <w:szCs w:val="20"/>
              </w:rPr>
              <w:t>The agreement to be entered into to enable the Supplier to participate in the relevant Civil Service pension scheme(s).</w:t>
            </w:r>
          </w:p>
        </w:tc>
      </w:tr>
      <w:tr w:rsidR="005F5674" w14:paraId="6694E91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2BDF68" w14:textId="77777777" w:rsidR="005F5674" w:rsidRDefault="00680ADE">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26764B" w14:textId="77777777" w:rsidR="005F5674" w:rsidRDefault="00680ADE">
            <w:pPr>
              <w:spacing w:before="240"/>
              <w:rPr>
                <w:sz w:val="20"/>
                <w:szCs w:val="20"/>
              </w:rPr>
            </w:pPr>
            <w:r>
              <w:rPr>
                <w:sz w:val="20"/>
                <w:szCs w:val="20"/>
              </w:rPr>
              <w:t>The response submitted by the Supplier to the Invitation to Tender (known as the Invitation to Apply on the Digital Marketplace).</w:t>
            </w:r>
          </w:p>
        </w:tc>
      </w:tr>
      <w:tr w:rsidR="005F5674" w14:paraId="2FFF14A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BF335A" w14:textId="77777777" w:rsidR="005F5674" w:rsidRDefault="00680ADE">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220AA4" w14:textId="77777777" w:rsidR="005F5674" w:rsidRDefault="00680ADE">
            <w:pPr>
              <w:spacing w:before="240"/>
              <w:rPr>
                <w:sz w:val="20"/>
                <w:szCs w:val="20"/>
              </w:rPr>
            </w:pPr>
            <w:r>
              <w:rPr>
                <w:sz w:val="20"/>
                <w:szCs w:val="20"/>
              </w:rPr>
              <w:t>An audit carried out under the incorporated Framework Agreement clauses specified by the Buyer in the Order (if any).</w:t>
            </w:r>
          </w:p>
        </w:tc>
      </w:tr>
      <w:tr w:rsidR="005F5674" w14:paraId="06860483" w14:textId="77777777">
        <w:trPr>
          <w:trHeight w:val="331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C8847D" w14:textId="77777777" w:rsidR="005F5674" w:rsidRDefault="00680ADE">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8F9B3C" w14:textId="77777777" w:rsidR="005F5674" w:rsidRDefault="00680ADE">
            <w:pPr>
              <w:spacing w:before="240"/>
              <w:rPr>
                <w:sz w:val="20"/>
                <w:szCs w:val="20"/>
              </w:rPr>
            </w:pPr>
            <w:r>
              <w:rPr>
                <w:sz w:val="20"/>
                <w:szCs w:val="20"/>
              </w:rPr>
              <w:t>For each Party, IPRs:</w:t>
            </w:r>
          </w:p>
          <w:p w14:paraId="2A430EE3" w14:textId="77777777" w:rsidR="005F5674" w:rsidRDefault="00680ADE">
            <w:pPr>
              <w:pStyle w:val="ListParagraph"/>
              <w:numPr>
                <w:ilvl w:val="0"/>
                <w:numId w:val="22"/>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699ED5E1" w14:textId="77777777" w:rsidR="005F5674" w:rsidRDefault="00680ADE">
            <w:pPr>
              <w:pStyle w:val="ListParagraph"/>
              <w:numPr>
                <w:ilvl w:val="0"/>
                <w:numId w:val="22"/>
              </w:numPr>
              <w:rPr>
                <w:sz w:val="20"/>
                <w:szCs w:val="20"/>
              </w:rPr>
            </w:pPr>
            <w:r>
              <w:rPr>
                <w:sz w:val="20"/>
                <w:szCs w:val="20"/>
              </w:rPr>
              <w:t>created by the Party independently of this Call-Off Contract, or</w:t>
            </w:r>
          </w:p>
          <w:p w14:paraId="0D801A84" w14:textId="77777777" w:rsidR="005F5674" w:rsidRDefault="00680ADE">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5F5674" w14:paraId="69C34D33"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67BECD" w14:textId="77777777" w:rsidR="005F5674" w:rsidRDefault="00680ADE">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0F9491" w14:textId="77777777" w:rsidR="005F5674" w:rsidRDefault="00680ADE">
            <w:pPr>
              <w:spacing w:before="240"/>
              <w:rPr>
                <w:sz w:val="20"/>
                <w:szCs w:val="20"/>
              </w:rPr>
            </w:pPr>
            <w:r>
              <w:rPr>
                <w:sz w:val="20"/>
                <w:szCs w:val="20"/>
              </w:rPr>
              <w:t>The contracting authority ordering services as set out in the Order Form.</w:t>
            </w:r>
          </w:p>
        </w:tc>
      </w:tr>
      <w:tr w:rsidR="005F5674" w14:paraId="36EDC79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758528" w14:textId="77777777" w:rsidR="005F5674" w:rsidRDefault="00680ADE">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20B07" w14:textId="77777777" w:rsidR="005F5674" w:rsidRDefault="00680ADE">
            <w:pPr>
              <w:spacing w:before="240"/>
              <w:rPr>
                <w:sz w:val="20"/>
                <w:szCs w:val="20"/>
              </w:rPr>
            </w:pPr>
            <w:r>
              <w:rPr>
                <w:sz w:val="20"/>
                <w:szCs w:val="20"/>
              </w:rPr>
              <w:t>All data supplied by the Buyer to the Supplier including Personal Data and Service Data that is owned and managed by the Buyer.</w:t>
            </w:r>
          </w:p>
        </w:tc>
      </w:tr>
      <w:tr w:rsidR="005F5674" w14:paraId="4B2895D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0DA5BE" w14:textId="77777777" w:rsidR="005F5674" w:rsidRDefault="00680ADE">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9C6056" w14:textId="77777777" w:rsidR="005F5674" w:rsidRDefault="00680ADE">
            <w:pPr>
              <w:spacing w:before="240"/>
              <w:rPr>
                <w:sz w:val="20"/>
                <w:szCs w:val="20"/>
              </w:rPr>
            </w:pPr>
            <w:r>
              <w:rPr>
                <w:sz w:val="20"/>
                <w:szCs w:val="20"/>
              </w:rPr>
              <w:t>The Personal Data supplied by the Buyer to the Supplier for purposes of, or in connection with, this Call-Off Contract.</w:t>
            </w:r>
          </w:p>
        </w:tc>
      </w:tr>
      <w:tr w:rsidR="005F5674" w14:paraId="3D15515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082CD8" w14:textId="77777777" w:rsidR="005F5674" w:rsidRDefault="00680ADE">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AD43F8" w14:textId="77777777" w:rsidR="005F5674" w:rsidRDefault="00680ADE">
            <w:pPr>
              <w:spacing w:before="240"/>
              <w:rPr>
                <w:sz w:val="20"/>
                <w:szCs w:val="20"/>
              </w:rPr>
            </w:pPr>
            <w:r>
              <w:rPr>
                <w:sz w:val="20"/>
                <w:szCs w:val="20"/>
              </w:rPr>
              <w:t>The representative appointed by the Buyer under this Call-Off Contract.</w:t>
            </w:r>
          </w:p>
        </w:tc>
      </w:tr>
      <w:tr w:rsidR="005F5674" w14:paraId="3777A064"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DE650C" w14:textId="77777777" w:rsidR="005F5674" w:rsidRDefault="00680ADE">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D77385" w14:textId="77777777" w:rsidR="005F5674" w:rsidRDefault="00680ADE">
            <w:pPr>
              <w:spacing w:before="240"/>
              <w:rPr>
                <w:sz w:val="20"/>
                <w:szCs w:val="20"/>
              </w:rPr>
            </w:pPr>
            <w:r>
              <w:rPr>
                <w:sz w:val="20"/>
                <w:szCs w:val="20"/>
              </w:rPr>
              <w:t>Software owned by or licensed to the Buyer (other than under this Agreement), which is or will be used by the Supplier to provide the Services.</w:t>
            </w:r>
          </w:p>
        </w:tc>
      </w:tr>
      <w:tr w:rsidR="005F5674" w14:paraId="1628BFEA"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50E589" w14:textId="77777777" w:rsidR="005F5674" w:rsidRDefault="00680ADE">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827E01" w14:textId="77777777" w:rsidR="005F5674" w:rsidRDefault="00680ADE">
            <w:pPr>
              <w:spacing w:before="240"/>
              <w:rPr>
                <w:sz w:val="20"/>
                <w:szCs w:val="20"/>
              </w:rPr>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 Framework Agreement for the provision of Services made between the Buyer and the Supplier comprising the Order Form, the Call-Off terms and conditions, the Call-Off schedules and the Collaboration Agreement.</w:t>
            </w:r>
          </w:p>
        </w:tc>
      </w:tr>
      <w:tr w:rsidR="005F5674" w14:paraId="1614660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572C6E" w14:textId="77777777" w:rsidR="005F5674" w:rsidRDefault="00680ADE">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504930" w14:textId="77777777" w:rsidR="005F5674" w:rsidRDefault="00680ADE">
            <w:pPr>
              <w:spacing w:before="240"/>
              <w:rPr>
                <w:sz w:val="20"/>
                <w:szCs w:val="20"/>
              </w:rPr>
            </w:pPr>
            <w:r>
              <w:rPr>
                <w:sz w:val="20"/>
                <w:szCs w:val="20"/>
              </w:rPr>
              <w:t>The prices (excluding any applicable VAT), payable to the Supplier by the Buyer under this Call-Off Contract.</w:t>
            </w:r>
          </w:p>
        </w:tc>
      </w:tr>
      <w:tr w:rsidR="005F5674" w14:paraId="4FAFD2A0"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9A8E68" w14:textId="77777777" w:rsidR="005F5674" w:rsidRDefault="00680ADE">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55F549" w14:textId="77777777" w:rsidR="005F5674" w:rsidRDefault="00680ADE">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F5674" w14:paraId="683A7810"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302D8D" w14:textId="77777777" w:rsidR="005F5674" w:rsidRDefault="00680ADE">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04380" w14:textId="77777777" w:rsidR="005F5674" w:rsidRDefault="00680ADE">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5F5674" w14:paraId="77FF330A" w14:textId="77777777">
        <w:trPr>
          <w:trHeight w:val="216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1CF3AD" w14:textId="77777777" w:rsidR="005F5674" w:rsidRDefault="00680ADE">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BD02F9" w14:textId="77777777" w:rsidR="005F5674" w:rsidRDefault="00680ADE">
            <w:pPr>
              <w:spacing w:before="240"/>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5127DD1A" w14:textId="77777777" w:rsidR="005F5674" w:rsidRDefault="00680ADE">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015A15B3" w14:textId="77777777" w:rsidR="005F5674" w:rsidRDefault="00680ADE">
            <w:pPr>
              <w:pStyle w:val="ListParagraph"/>
              <w:numPr>
                <w:ilvl w:val="0"/>
                <w:numId w:val="23"/>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5F5674" w14:paraId="5C45B800" w14:textId="77777777">
        <w:trPr>
          <w:trHeight w:val="8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55FDA0" w14:textId="77777777" w:rsidR="005F5674" w:rsidRDefault="00680ADE">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EF8CDC" w14:textId="77777777" w:rsidR="005F5674" w:rsidRDefault="00680ADE">
            <w:pPr>
              <w:spacing w:before="240"/>
              <w:rPr>
                <w:sz w:val="20"/>
                <w:szCs w:val="20"/>
              </w:rPr>
            </w:pPr>
            <w:r>
              <w:rPr>
                <w:sz w:val="20"/>
                <w:szCs w:val="20"/>
              </w:rPr>
              <w:t>‘Control’ as defined in section 1124 and 450 of the Corporation Tax</w:t>
            </w:r>
          </w:p>
          <w:p w14:paraId="1DFBB46F" w14:textId="77777777" w:rsidR="005F5674" w:rsidRDefault="00680ADE">
            <w:pPr>
              <w:spacing w:before="240"/>
              <w:rPr>
                <w:sz w:val="20"/>
                <w:szCs w:val="20"/>
              </w:rPr>
            </w:pPr>
            <w:r>
              <w:rPr>
                <w:sz w:val="20"/>
                <w:szCs w:val="20"/>
              </w:rPr>
              <w:t>Act 2010. 'Controls' and 'Controlled' will be interpreted accordingly.</w:t>
            </w:r>
          </w:p>
        </w:tc>
      </w:tr>
      <w:tr w:rsidR="005F5674" w14:paraId="0D817FD1"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B0C23F" w14:textId="77777777" w:rsidR="005F5674" w:rsidRDefault="00680ADE">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18DA75" w14:textId="77777777" w:rsidR="005F5674" w:rsidRDefault="00680ADE">
            <w:pPr>
              <w:spacing w:before="240"/>
              <w:rPr>
                <w:sz w:val="20"/>
                <w:szCs w:val="20"/>
              </w:rPr>
            </w:pPr>
            <w:r>
              <w:rPr>
                <w:sz w:val="20"/>
                <w:szCs w:val="20"/>
              </w:rPr>
              <w:t>Takes the meaning given in the GDPR.</w:t>
            </w:r>
          </w:p>
        </w:tc>
      </w:tr>
      <w:tr w:rsidR="005F5674" w14:paraId="28A74F97"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112914" w14:textId="77777777" w:rsidR="005F5674" w:rsidRDefault="00680ADE">
            <w:pPr>
              <w:spacing w:before="240"/>
              <w:rPr>
                <w:b/>
                <w:sz w:val="20"/>
                <w:szCs w:val="20"/>
              </w:rPr>
            </w:pPr>
            <w:r>
              <w:rPr>
                <w:b/>
                <w:sz w:val="20"/>
                <w:szCs w:val="20"/>
              </w:rPr>
              <w:t>Crown</w:t>
            </w:r>
          </w:p>
          <w:p w14:paraId="7961A7EC" w14:textId="77777777" w:rsidR="005F5674" w:rsidRDefault="00680ADE">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7409C3" w14:textId="77777777" w:rsidR="005F5674" w:rsidRDefault="00680ADE">
            <w:pPr>
              <w:spacing w:before="240"/>
              <w:rPr>
                <w:sz w:val="20"/>
                <w:szCs w:val="20"/>
              </w:rPr>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p>
        </w:tc>
      </w:tr>
      <w:tr w:rsidR="005F5674" w14:paraId="662A0C19"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A50DDA" w14:textId="77777777" w:rsidR="005F5674" w:rsidRDefault="00680ADE">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112E4D" w14:textId="77777777" w:rsidR="005F5674" w:rsidRDefault="00680ADE">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5F5674" w14:paraId="640CE7B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1F09E6" w14:textId="77777777" w:rsidR="005F5674" w:rsidRDefault="00680ADE">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CBAF33" w14:textId="77777777" w:rsidR="005F5674" w:rsidRDefault="00680ADE">
            <w:pPr>
              <w:spacing w:before="240"/>
              <w:rPr>
                <w:sz w:val="20"/>
                <w:szCs w:val="20"/>
              </w:rPr>
            </w:pPr>
            <w:r>
              <w:rPr>
                <w:sz w:val="20"/>
                <w:szCs w:val="20"/>
              </w:rPr>
              <w:t>An assessment by the Controller of the impact of the envisaged Processing on the protection of Personal Data.</w:t>
            </w:r>
          </w:p>
        </w:tc>
      </w:tr>
      <w:tr w:rsidR="005F5674" w14:paraId="2BFAC48C" w14:textId="77777777">
        <w:trPr>
          <w:trHeight w:val="233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21DCB9" w14:textId="77777777" w:rsidR="005F5674" w:rsidRDefault="00680ADE">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1D9A78" w14:textId="77777777" w:rsidR="005F5674" w:rsidRDefault="00680ADE">
            <w:pPr>
              <w:spacing w:before="240"/>
              <w:rPr>
                <w:sz w:val="20"/>
                <w:szCs w:val="20"/>
              </w:rPr>
            </w:pPr>
            <w:r>
              <w:rPr>
                <w:sz w:val="20"/>
                <w:szCs w:val="20"/>
              </w:rPr>
              <w:t>Data Protection Legislation means:</w:t>
            </w:r>
          </w:p>
          <w:p w14:paraId="0EBBD1B4" w14:textId="77777777" w:rsidR="005F5674" w:rsidRDefault="00680ADE">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56688D47" w14:textId="77777777" w:rsidR="005F5674" w:rsidRDefault="00680ADE">
            <w:pPr>
              <w:ind w:left="720" w:hanging="720"/>
              <w:rPr>
                <w:sz w:val="20"/>
                <w:szCs w:val="20"/>
              </w:rPr>
            </w:pPr>
            <w:r>
              <w:rPr>
                <w:sz w:val="20"/>
                <w:szCs w:val="20"/>
              </w:rPr>
              <w:t>(ii) the DPA 2018 to the extent that it relates to Processing of Personal Data and privacy</w:t>
            </w:r>
          </w:p>
          <w:p w14:paraId="0400C10D" w14:textId="77777777" w:rsidR="005F5674" w:rsidRDefault="00680ADE">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5F5674" w14:paraId="1CF98740"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530ADF" w14:textId="77777777" w:rsidR="005F5674" w:rsidRDefault="00680ADE">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D4E8F2" w14:textId="77777777" w:rsidR="005F5674" w:rsidRDefault="00680ADE">
            <w:pPr>
              <w:spacing w:before="240"/>
              <w:rPr>
                <w:sz w:val="20"/>
                <w:szCs w:val="20"/>
              </w:rPr>
            </w:pPr>
            <w:r>
              <w:rPr>
                <w:sz w:val="20"/>
                <w:szCs w:val="20"/>
              </w:rPr>
              <w:t>Takes the meaning given in the GDPR</w:t>
            </w:r>
          </w:p>
        </w:tc>
      </w:tr>
      <w:tr w:rsidR="005F5674" w14:paraId="23A496E6" w14:textId="77777777">
        <w:trPr>
          <w:trHeight w:val="33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C654FA" w14:textId="77777777" w:rsidR="005F5674" w:rsidRDefault="00680ADE">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B6D388" w14:textId="77777777" w:rsidR="005F5674" w:rsidRDefault="00680ADE">
            <w:pPr>
              <w:spacing w:before="240"/>
              <w:rPr>
                <w:sz w:val="20"/>
                <w:szCs w:val="20"/>
              </w:rPr>
            </w:pPr>
            <w:r>
              <w:rPr>
                <w:sz w:val="20"/>
                <w:szCs w:val="20"/>
              </w:rPr>
              <w:t>Default is any:</w:t>
            </w:r>
          </w:p>
          <w:p w14:paraId="6ADE0B01" w14:textId="77777777" w:rsidR="005F5674" w:rsidRDefault="00680ADE">
            <w:pPr>
              <w:pStyle w:val="ListParagraph"/>
              <w:numPr>
                <w:ilvl w:val="0"/>
                <w:numId w:val="24"/>
              </w:numPr>
              <w:rPr>
                <w:sz w:val="20"/>
                <w:szCs w:val="20"/>
              </w:rPr>
            </w:pPr>
            <w:r>
              <w:rPr>
                <w:sz w:val="20"/>
                <w:szCs w:val="20"/>
              </w:rPr>
              <w:t>breach of the obligations of the Supplier (including any fundamental breach or breach of a fundamental term)</w:t>
            </w:r>
          </w:p>
          <w:p w14:paraId="63591647" w14:textId="77777777" w:rsidR="005F5674" w:rsidRDefault="00680ADE">
            <w:pPr>
              <w:pStyle w:val="ListParagraph"/>
              <w:numPr>
                <w:ilvl w:val="0"/>
                <w:numId w:val="24"/>
              </w:numPr>
              <w:rPr>
                <w:sz w:val="20"/>
                <w:szCs w:val="20"/>
              </w:rPr>
            </w:pPr>
            <w:r>
              <w:rPr>
                <w:sz w:val="20"/>
                <w:szCs w:val="20"/>
              </w:rPr>
              <w:t xml:space="preserve">other Default, </w:t>
            </w:r>
            <w:proofErr w:type="gramStart"/>
            <w:r>
              <w:rPr>
                <w:sz w:val="20"/>
                <w:szCs w:val="20"/>
              </w:rPr>
              <w:t>negligence</w:t>
            </w:r>
            <w:proofErr w:type="gramEnd"/>
            <w:r>
              <w:rPr>
                <w:sz w:val="20"/>
                <w:szCs w:val="20"/>
              </w:rPr>
              <w:t xml:space="preserve"> or negligent statement of the Supplier, of its Subcontractors or any Supplier Staff (whether by act or omission), in connection with or in relation to this Call-Off Contract</w:t>
            </w:r>
          </w:p>
          <w:p w14:paraId="6BB897CD" w14:textId="77777777" w:rsidR="005F5674" w:rsidRDefault="00680ADE">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5F5674" w14:paraId="59B892A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3DC01B" w14:textId="77777777" w:rsidR="005F5674" w:rsidRDefault="00680ADE">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FFC1BE" w14:textId="77777777" w:rsidR="005F5674" w:rsidRDefault="00680ADE">
            <w:pPr>
              <w:spacing w:before="240"/>
              <w:rPr>
                <w:sz w:val="20"/>
                <w:szCs w:val="20"/>
              </w:rPr>
            </w:pPr>
            <w:r>
              <w:rPr>
                <w:sz w:val="20"/>
                <w:szCs w:val="20"/>
              </w:rPr>
              <w:t>The G-Cloud Services the Buyer contracts the Supplier to provide under this Call-Off Contract.</w:t>
            </w:r>
          </w:p>
        </w:tc>
      </w:tr>
      <w:tr w:rsidR="005F5674" w14:paraId="37A4710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DE06F4" w14:textId="77777777" w:rsidR="005F5674" w:rsidRDefault="00680ADE">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BD77AA" w14:textId="77777777" w:rsidR="005F5674" w:rsidRDefault="00680ADE">
            <w:pPr>
              <w:spacing w:before="240"/>
            </w:pPr>
            <w:r>
              <w:rPr>
                <w:sz w:val="20"/>
                <w:szCs w:val="20"/>
              </w:rPr>
              <w:t>The government marketplace where Services are available for Buyers to buy. (</w:t>
            </w:r>
            <w:hyperlink r:id="rId27" w:history="1">
              <w:r>
                <w:rPr>
                  <w:sz w:val="20"/>
                  <w:szCs w:val="20"/>
                  <w:u w:val="single"/>
                </w:rPr>
                <w:t>https://www.digitalmarketplace.service.gov.uk</w:t>
              </w:r>
            </w:hyperlink>
            <w:r>
              <w:rPr>
                <w:sz w:val="20"/>
                <w:szCs w:val="20"/>
              </w:rPr>
              <w:t>/)</w:t>
            </w:r>
          </w:p>
        </w:tc>
      </w:tr>
      <w:tr w:rsidR="005F5674" w14:paraId="1926CC80"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8FE857" w14:textId="77777777" w:rsidR="005F5674" w:rsidRDefault="00680ADE">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D11531" w14:textId="77777777" w:rsidR="005F5674" w:rsidRDefault="00680ADE">
            <w:pPr>
              <w:spacing w:before="240"/>
              <w:rPr>
                <w:sz w:val="20"/>
                <w:szCs w:val="20"/>
              </w:rPr>
            </w:pPr>
            <w:r>
              <w:rPr>
                <w:sz w:val="20"/>
                <w:szCs w:val="20"/>
              </w:rPr>
              <w:t>Data Protection Act 2018.</w:t>
            </w:r>
          </w:p>
        </w:tc>
      </w:tr>
      <w:tr w:rsidR="005F5674" w14:paraId="6739C82D"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7FF9DC" w14:textId="77777777" w:rsidR="005F5674" w:rsidRDefault="00680ADE">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A1189B" w14:textId="77777777" w:rsidR="005F5674" w:rsidRDefault="00680ADE">
            <w:pPr>
              <w:spacing w:before="240"/>
              <w:rPr>
                <w:sz w:val="20"/>
                <w:szCs w:val="20"/>
              </w:rPr>
            </w:pPr>
            <w:r>
              <w:rPr>
                <w:sz w:val="20"/>
                <w:szCs w:val="20"/>
              </w:rPr>
              <w:t>The Transfer of Undertakings (Protection of Employment) Regulations 2006 (SI 2006/246) (‘TUPE’) which implements the Acquired Rights Directive.</w:t>
            </w:r>
          </w:p>
        </w:tc>
      </w:tr>
      <w:tr w:rsidR="005F5674" w14:paraId="466696D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C151CC" w14:textId="77777777" w:rsidR="005F5674" w:rsidRDefault="00680ADE">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6BC4B8" w14:textId="77777777" w:rsidR="005F5674" w:rsidRDefault="00680ADE">
            <w:pPr>
              <w:spacing w:before="240"/>
              <w:rPr>
                <w:sz w:val="20"/>
                <w:szCs w:val="20"/>
              </w:rPr>
            </w:pPr>
            <w:r>
              <w:rPr>
                <w:sz w:val="20"/>
                <w:szCs w:val="20"/>
              </w:rPr>
              <w:t>Means to terminate; and Ended and Ending are construed accordingly.</w:t>
            </w:r>
          </w:p>
        </w:tc>
      </w:tr>
      <w:tr w:rsidR="005F5674" w14:paraId="57E70C74"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B69C30" w14:textId="77777777" w:rsidR="005F5674" w:rsidRDefault="00680ADE">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92B999" w14:textId="77777777" w:rsidR="005F5674" w:rsidRDefault="00680ADE">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5F5674" w14:paraId="61B3951A"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5B13B" w14:textId="77777777" w:rsidR="005F5674" w:rsidRDefault="00680ADE">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FCFE47" w14:textId="77777777" w:rsidR="005F5674" w:rsidRDefault="00680ADE">
            <w:pPr>
              <w:spacing w:before="240"/>
              <w:rPr>
                <w:sz w:val="20"/>
                <w:szCs w:val="20"/>
              </w:rPr>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p>
        </w:tc>
      </w:tr>
      <w:tr w:rsidR="005F5674" w14:paraId="0960882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6BDFD6" w14:textId="77777777" w:rsidR="005F5674" w:rsidRDefault="00680ADE">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76F9F8" w14:textId="77777777" w:rsidR="005F5674" w:rsidRDefault="00680ADE">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5F5674" w14:paraId="57A9FAB9" w14:textId="77777777">
        <w:trPr>
          <w:trHeight w:val="1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53C03E" w14:textId="77777777" w:rsidR="005F5674" w:rsidRDefault="00680ADE">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02EB55" w14:textId="77777777" w:rsidR="005F5674" w:rsidRDefault="00680ADE">
            <w:pPr>
              <w:spacing w:before="240"/>
              <w:rPr>
                <w:sz w:val="20"/>
                <w:szCs w:val="20"/>
              </w:rPr>
            </w:pPr>
            <w:r>
              <w:rPr>
                <w:sz w:val="20"/>
                <w:szCs w:val="20"/>
              </w:rPr>
              <w:t>The HMRC Employment Status Indicator test tool. The most up-to-date version must be used. At the time of drafting the tool may be found here:</w:t>
            </w:r>
          </w:p>
          <w:p w14:paraId="620AE96E" w14:textId="77777777" w:rsidR="005F5674" w:rsidRDefault="00820871">
            <w:hyperlink r:id="rId28" w:history="1">
              <w:r w:rsidR="00680ADE">
                <w:rPr>
                  <w:rStyle w:val="Hyperlink"/>
                  <w:color w:val="auto"/>
                </w:rPr>
                <w:t>https://www.gov.uk/guidance/check-employment-status-for-tax</w:t>
              </w:r>
            </w:hyperlink>
          </w:p>
        </w:tc>
      </w:tr>
      <w:tr w:rsidR="005F5674" w14:paraId="2819F967"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047C46" w14:textId="77777777" w:rsidR="005F5674" w:rsidRDefault="00680ADE">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2066F0" w14:textId="77777777" w:rsidR="005F5674" w:rsidRDefault="00680ADE">
            <w:pPr>
              <w:spacing w:before="240"/>
              <w:rPr>
                <w:sz w:val="20"/>
                <w:szCs w:val="20"/>
              </w:rPr>
            </w:pPr>
            <w:r>
              <w:rPr>
                <w:sz w:val="20"/>
                <w:szCs w:val="20"/>
              </w:rPr>
              <w:t>The expiry date of this Call-Off Contract in the Order Form.</w:t>
            </w:r>
          </w:p>
        </w:tc>
      </w:tr>
      <w:tr w:rsidR="005F5674" w14:paraId="7F7F6F52" w14:textId="77777777">
        <w:trPr>
          <w:trHeight w:val="654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81B3B2" w14:textId="77777777" w:rsidR="005F5674" w:rsidRDefault="00680ADE">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D76DE3" w14:textId="77777777" w:rsidR="005F5674" w:rsidRDefault="00680ADE">
            <w:pPr>
              <w:spacing w:before="240"/>
              <w:rPr>
                <w:sz w:val="20"/>
                <w:szCs w:val="20"/>
              </w:rPr>
            </w:pPr>
            <w:r>
              <w:rPr>
                <w:sz w:val="20"/>
                <w:szCs w:val="20"/>
              </w:rPr>
              <w:t>A force Majeure event means anything affecting either Party's performance of their obligations arising from any:</w:t>
            </w:r>
          </w:p>
          <w:p w14:paraId="049F561D" w14:textId="77777777" w:rsidR="005F5674" w:rsidRDefault="00680ADE">
            <w:pPr>
              <w:pStyle w:val="ListParagraph"/>
              <w:numPr>
                <w:ilvl w:val="0"/>
                <w:numId w:val="25"/>
              </w:numPr>
              <w:rPr>
                <w:sz w:val="20"/>
                <w:szCs w:val="20"/>
              </w:rPr>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p>
          <w:p w14:paraId="6FB7564C" w14:textId="77777777" w:rsidR="005F5674" w:rsidRDefault="00680ADE">
            <w:pPr>
              <w:pStyle w:val="ListParagraph"/>
              <w:numPr>
                <w:ilvl w:val="0"/>
                <w:numId w:val="26"/>
              </w:numPr>
              <w:rPr>
                <w:sz w:val="20"/>
                <w:szCs w:val="20"/>
              </w:rPr>
            </w:pPr>
            <w:r>
              <w:rPr>
                <w:sz w:val="20"/>
                <w:szCs w:val="20"/>
              </w:rPr>
              <w:t xml:space="preserve">riots, </w:t>
            </w:r>
            <w:proofErr w:type="gramStart"/>
            <w:r>
              <w:rPr>
                <w:sz w:val="20"/>
                <w:szCs w:val="20"/>
              </w:rPr>
              <w:t>war</w:t>
            </w:r>
            <w:proofErr w:type="gramEnd"/>
            <w:r>
              <w:rPr>
                <w:sz w:val="20"/>
                <w:szCs w:val="20"/>
              </w:rPr>
              <w:t xml:space="preserve"> or armed conflict, acts of terrorism, nuclear, biological or chemical warfare</w:t>
            </w:r>
          </w:p>
          <w:p w14:paraId="6776918D" w14:textId="77777777" w:rsidR="005F5674" w:rsidRDefault="00680ADE">
            <w:pPr>
              <w:pStyle w:val="ListParagraph"/>
              <w:numPr>
                <w:ilvl w:val="0"/>
                <w:numId w:val="27"/>
              </w:numPr>
            </w:pPr>
            <w:r>
              <w:t xml:space="preserve">acts of government, local </w:t>
            </w:r>
            <w:proofErr w:type="gramStart"/>
            <w:r>
              <w:t>government</w:t>
            </w:r>
            <w:proofErr w:type="gramEnd"/>
            <w:r>
              <w:t xml:space="preserve"> or Regulatory </w:t>
            </w:r>
            <w:r>
              <w:rPr>
                <w:sz w:val="20"/>
                <w:szCs w:val="20"/>
              </w:rPr>
              <w:t>Bodies</w:t>
            </w:r>
          </w:p>
          <w:p w14:paraId="4ABAB673" w14:textId="77777777" w:rsidR="005F5674" w:rsidRDefault="00680ADE">
            <w:pPr>
              <w:pStyle w:val="ListParagraph"/>
              <w:numPr>
                <w:ilvl w:val="0"/>
                <w:numId w:val="28"/>
              </w:numPr>
            </w:pPr>
            <w:r>
              <w:rPr>
                <w:sz w:val="14"/>
                <w:szCs w:val="14"/>
              </w:rPr>
              <w:t xml:space="preserve"> </w:t>
            </w:r>
            <w:r>
              <w:rPr>
                <w:sz w:val="20"/>
                <w:szCs w:val="20"/>
              </w:rPr>
              <w:t>fire, flood or disaster and any failure or shortage of power or fuel</w:t>
            </w:r>
          </w:p>
          <w:p w14:paraId="77F626A7" w14:textId="77777777" w:rsidR="005F5674" w:rsidRDefault="00680ADE">
            <w:pPr>
              <w:pStyle w:val="ListParagraph"/>
              <w:numPr>
                <w:ilvl w:val="0"/>
                <w:numId w:val="29"/>
              </w:numPr>
              <w:rPr>
                <w:sz w:val="20"/>
                <w:szCs w:val="20"/>
              </w:rPr>
            </w:pPr>
            <w:r>
              <w:rPr>
                <w:sz w:val="20"/>
                <w:szCs w:val="20"/>
              </w:rPr>
              <w:t>industrial dispute affecting a third party for which a substitute third party isn’t reasonably available</w:t>
            </w:r>
          </w:p>
          <w:p w14:paraId="3935BC72" w14:textId="77777777" w:rsidR="005F5674" w:rsidRDefault="00680ADE">
            <w:pPr>
              <w:spacing w:before="240"/>
              <w:rPr>
                <w:sz w:val="20"/>
                <w:szCs w:val="20"/>
              </w:rPr>
            </w:pPr>
            <w:r>
              <w:rPr>
                <w:sz w:val="20"/>
                <w:szCs w:val="20"/>
              </w:rPr>
              <w:t>The following do not constitute a Force Majeure event:</w:t>
            </w:r>
          </w:p>
          <w:p w14:paraId="5D8B2AEB" w14:textId="77777777" w:rsidR="005F5674" w:rsidRDefault="00680ADE">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3EFA5A7B" w14:textId="77777777" w:rsidR="005F5674" w:rsidRDefault="00680ADE">
            <w:pPr>
              <w:pStyle w:val="ListParagraph"/>
              <w:numPr>
                <w:ilvl w:val="0"/>
                <w:numId w:val="30"/>
              </w:numPr>
              <w:rPr>
                <w:sz w:val="20"/>
                <w:szCs w:val="20"/>
              </w:rPr>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p>
          <w:p w14:paraId="256DE3BF" w14:textId="77777777" w:rsidR="005F5674" w:rsidRDefault="00680ADE">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14:paraId="03C6DFAC" w14:textId="77777777" w:rsidR="005F5674" w:rsidRDefault="00680ADE">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5F5674" w14:paraId="1BCBD781"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DE9293" w14:textId="77777777" w:rsidR="005F5674" w:rsidRDefault="00680ADE">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A9FFEC" w14:textId="77777777" w:rsidR="005F5674" w:rsidRDefault="00680ADE">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p>
        </w:tc>
      </w:tr>
      <w:tr w:rsidR="005F5674" w14:paraId="27DB802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173060" w14:textId="77777777" w:rsidR="005F5674" w:rsidRDefault="00680ADE">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A7BBC6" w14:textId="77777777" w:rsidR="005F5674" w:rsidRDefault="00680ADE">
            <w:pPr>
              <w:spacing w:before="240"/>
              <w:rPr>
                <w:sz w:val="20"/>
                <w:szCs w:val="20"/>
              </w:rPr>
            </w:pPr>
            <w:r>
              <w:rPr>
                <w:sz w:val="20"/>
                <w:szCs w:val="20"/>
              </w:rPr>
              <w:t>The clauses of framework agreement RM1557.12 together with the Framework Schedules.</w:t>
            </w:r>
          </w:p>
        </w:tc>
      </w:tr>
      <w:tr w:rsidR="005F5674" w14:paraId="6EA57428"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D067A8" w14:textId="77777777" w:rsidR="005F5674" w:rsidRDefault="00680ADE">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256BCE" w14:textId="77777777" w:rsidR="005F5674" w:rsidRDefault="00680ADE">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F5674" w14:paraId="6232D9DE"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6616D2" w14:textId="77777777" w:rsidR="005F5674" w:rsidRDefault="00680ADE">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864C88" w14:textId="77777777" w:rsidR="005F5674" w:rsidRDefault="00680ADE">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5F5674" w14:paraId="49B09EED" w14:textId="77777777">
        <w:trPr>
          <w:trHeight w:val="58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DCF908" w14:textId="77777777" w:rsidR="005F5674" w:rsidRDefault="00680ADE">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4A8A83" w14:textId="77777777" w:rsidR="005F5674" w:rsidRDefault="00680ADE">
            <w:pPr>
              <w:spacing w:before="240"/>
              <w:rPr>
                <w:sz w:val="20"/>
                <w:szCs w:val="20"/>
              </w:rPr>
            </w:pPr>
            <w:r>
              <w:rPr>
                <w:sz w:val="20"/>
                <w:szCs w:val="20"/>
              </w:rPr>
              <w:t xml:space="preserve">The cloud services described in Framework Agreement Section 2 (Services Offered)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p>
        </w:tc>
      </w:tr>
      <w:tr w:rsidR="005F5674" w14:paraId="6D3E82C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CDD40D" w14:textId="77777777" w:rsidR="005F5674" w:rsidRDefault="00680ADE">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4CA40E" w14:textId="77777777" w:rsidR="005F5674" w:rsidRDefault="00680ADE">
            <w:pPr>
              <w:spacing w:before="240"/>
              <w:rPr>
                <w:sz w:val="20"/>
                <w:szCs w:val="20"/>
              </w:rPr>
            </w:pPr>
            <w:r>
              <w:rPr>
                <w:sz w:val="20"/>
                <w:szCs w:val="20"/>
              </w:rPr>
              <w:t>General Data Protection Regulation (Regulation (EU) 2016/679)</w:t>
            </w:r>
          </w:p>
        </w:tc>
      </w:tr>
      <w:tr w:rsidR="005F5674" w14:paraId="6DC3AAF2"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2CEAE3" w14:textId="77777777" w:rsidR="005F5674" w:rsidRDefault="00680ADE">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3BB60B" w14:textId="77777777" w:rsidR="005F5674" w:rsidRDefault="00680ADE">
            <w:pPr>
              <w:spacing w:before="240"/>
              <w:rPr>
                <w:sz w:val="20"/>
                <w:szCs w:val="20"/>
              </w:rPr>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F5674" w14:paraId="2EDE3423"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81F5C9" w14:textId="77777777" w:rsidR="005F5674" w:rsidRDefault="00680ADE">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BEDAD7" w14:textId="77777777" w:rsidR="005F5674" w:rsidRDefault="00680ADE">
            <w:pPr>
              <w:spacing w:before="240"/>
              <w:rPr>
                <w:sz w:val="20"/>
                <w:szCs w:val="20"/>
              </w:rPr>
            </w:pPr>
            <w:r>
              <w:rPr>
                <w:sz w:val="20"/>
                <w:szCs w:val="20"/>
              </w:rPr>
              <w:t>The government’s preferred method of purchasing and payment for low value goods or services.</w:t>
            </w:r>
          </w:p>
        </w:tc>
      </w:tr>
      <w:tr w:rsidR="005F5674" w14:paraId="0629848C"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82E7E0" w14:textId="77777777" w:rsidR="005F5674" w:rsidRDefault="00680ADE">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0648F4" w14:textId="77777777" w:rsidR="005F5674" w:rsidRDefault="00680ADE">
            <w:pPr>
              <w:spacing w:before="240"/>
              <w:rPr>
                <w:sz w:val="20"/>
                <w:szCs w:val="20"/>
              </w:rPr>
            </w:pPr>
            <w:r>
              <w:rPr>
                <w:sz w:val="20"/>
                <w:szCs w:val="20"/>
              </w:rPr>
              <w:t>The guarantee described in Schedule 5.</w:t>
            </w:r>
          </w:p>
        </w:tc>
      </w:tr>
      <w:tr w:rsidR="005F5674" w14:paraId="095BEA4B"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CEA26A" w14:textId="77777777" w:rsidR="005F5674" w:rsidRDefault="00680ADE">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396EC8" w14:textId="77777777" w:rsidR="005F5674" w:rsidRDefault="00680ADE">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5F5674" w14:paraId="6A710FDA"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7FE90" w14:textId="77777777" w:rsidR="005F5674" w:rsidRDefault="00680ADE">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2DA072" w14:textId="77777777" w:rsidR="005F5674" w:rsidRDefault="00680ADE">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5F5674" w14:paraId="7742D17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7A0141" w14:textId="77777777" w:rsidR="005F5674" w:rsidRDefault="00680ADE">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8ED308" w14:textId="77777777" w:rsidR="005F5674" w:rsidRDefault="00680ADE">
            <w:pPr>
              <w:spacing w:before="240"/>
              <w:rPr>
                <w:sz w:val="20"/>
                <w:szCs w:val="20"/>
              </w:rPr>
            </w:pPr>
            <w:r>
              <w:rPr>
                <w:sz w:val="20"/>
                <w:szCs w:val="20"/>
              </w:rPr>
              <w:t>ESI tool completed by contractors on their own behalf at the request of CCS or the Buyer (as applicable) under clause 4.6.</w:t>
            </w:r>
          </w:p>
        </w:tc>
      </w:tr>
      <w:tr w:rsidR="005F5674" w14:paraId="7EB036B2"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6BA4B7" w14:textId="77777777" w:rsidR="005F5674" w:rsidRDefault="00680ADE">
            <w:pPr>
              <w:spacing w:before="240"/>
              <w:rPr>
                <w:b/>
                <w:sz w:val="20"/>
                <w:szCs w:val="20"/>
              </w:rPr>
            </w:pPr>
            <w:r>
              <w:rPr>
                <w:b/>
                <w:sz w:val="20"/>
                <w:szCs w:val="20"/>
              </w:rPr>
              <w:lastRenderedPageBreak/>
              <w:t>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9AE783" w14:textId="77777777" w:rsidR="005F5674" w:rsidRDefault="00680ADE">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5F5674" w14:paraId="7F6E7A7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2F4E03" w14:textId="77777777" w:rsidR="005F5674" w:rsidRDefault="00680ADE">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D0B2F7" w14:textId="77777777" w:rsidR="005F5674" w:rsidRDefault="00680ADE">
            <w:pPr>
              <w:spacing w:before="240"/>
              <w:rPr>
                <w:sz w:val="20"/>
                <w:szCs w:val="20"/>
              </w:rPr>
            </w:pPr>
            <w:r>
              <w:rPr>
                <w:sz w:val="20"/>
                <w:szCs w:val="20"/>
              </w:rPr>
              <w:t>The information security management system and process developed by the Supplier in accordance with clause 16.1.</w:t>
            </w:r>
          </w:p>
        </w:tc>
      </w:tr>
      <w:tr w:rsidR="005F5674" w14:paraId="016DFDD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CB458" w14:textId="77777777" w:rsidR="005F5674" w:rsidRDefault="00680ADE">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7F65B8" w14:textId="77777777" w:rsidR="005F5674" w:rsidRDefault="00680ADE">
            <w:pPr>
              <w:spacing w:before="240"/>
              <w:rPr>
                <w:sz w:val="20"/>
                <w:szCs w:val="20"/>
              </w:rPr>
            </w:pPr>
            <w:r>
              <w:rPr>
                <w:sz w:val="20"/>
                <w:szCs w:val="20"/>
              </w:rPr>
              <w:t>Contractual engagements which would be determined to be within the scope of the IR35 Intermediaries legislation if assessed using the ESI tool.</w:t>
            </w:r>
          </w:p>
        </w:tc>
      </w:tr>
      <w:tr w:rsidR="005F5674" w14:paraId="5B78D6FF"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AFEB35" w14:textId="77777777" w:rsidR="005F5674" w:rsidRDefault="00680ADE">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DF42BF" w14:textId="77777777" w:rsidR="005F5674" w:rsidRDefault="00680ADE">
            <w:pPr>
              <w:spacing w:before="240"/>
              <w:rPr>
                <w:sz w:val="20"/>
                <w:szCs w:val="20"/>
              </w:rPr>
            </w:pPr>
            <w:r>
              <w:rPr>
                <w:sz w:val="20"/>
                <w:szCs w:val="20"/>
              </w:rPr>
              <w:t>Can be:</w:t>
            </w:r>
          </w:p>
          <w:p w14:paraId="16106D62" w14:textId="77777777" w:rsidR="005F5674" w:rsidRDefault="00680ADE">
            <w:pPr>
              <w:pStyle w:val="ListParagraph"/>
              <w:numPr>
                <w:ilvl w:val="0"/>
                <w:numId w:val="31"/>
              </w:numPr>
            </w:pPr>
            <w:r>
              <w:rPr>
                <w:sz w:val="14"/>
                <w:szCs w:val="14"/>
              </w:rPr>
              <w:t xml:space="preserve"> </w:t>
            </w:r>
            <w:r>
              <w:rPr>
                <w:sz w:val="20"/>
                <w:szCs w:val="20"/>
              </w:rPr>
              <w:t>a voluntary arrangement</w:t>
            </w:r>
          </w:p>
          <w:p w14:paraId="0F4113D5" w14:textId="77777777" w:rsidR="005F5674" w:rsidRDefault="00680ADE">
            <w:pPr>
              <w:pStyle w:val="ListParagraph"/>
              <w:numPr>
                <w:ilvl w:val="0"/>
                <w:numId w:val="31"/>
              </w:numPr>
              <w:rPr>
                <w:sz w:val="20"/>
                <w:szCs w:val="20"/>
              </w:rPr>
            </w:pPr>
            <w:r>
              <w:rPr>
                <w:sz w:val="20"/>
                <w:szCs w:val="20"/>
              </w:rPr>
              <w:t>a winding-up petition</w:t>
            </w:r>
          </w:p>
          <w:p w14:paraId="4EA293F1" w14:textId="77777777" w:rsidR="005F5674" w:rsidRDefault="00680ADE">
            <w:pPr>
              <w:pStyle w:val="ListParagraph"/>
              <w:numPr>
                <w:ilvl w:val="0"/>
                <w:numId w:val="31"/>
              </w:numPr>
              <w:rPr>
                <w:sz w:val="20"/>
                <w:szCs w:val="20"/>
              </w:rPr>
            </w:pPr>
            <w:r>
              <w:rPr>
                <w:sz w:val="20"/>
                <w:szCs w:val="20"/>
              </w:rPr>
              <w:t>the appointment of a receiver or administrator</w:t>
            </w:r>
          </w:p>
          <w:p w14:paraId="4E125BEB" w14:textId="77777777" w:rsidR="005F5674" w:rsidRDefault="00680ADE">
            <w:pPr>
              <w:pStyle w:val="ListParagraph"/>
              <w:numPr>
                <w:ilvl w:val="0"/>
                <w:numId w:val="31"/>
              </w:numPr>
              <w:rPr>
                <w:sz w:val="20"/>
                <w:szCs w:val="20"/>
              </w:rPr>
            </w:pPr>
            <w:r>
              <w:rPr>
                <w:sz w:val="20"/>
                <w:szCs w:val="20"/>
              </w:rPr>
              <w:t>an unresolved statutory demand</w:t>
            </w:r>
          </w:p>
          <w:p w14:paraId="315D1845" w14:textId="77777777" w:rsidR="005F5674" w:rsidRDefault="00680ADE">
            <w:pPr>
              <w:pStyle w:val="ListParagraph"/>
              <w:numPr>
                <w:ilvl w:val="0"/>
                <w:numId w:val="31"/>
              </w:numPr>
            </w:pPr>
            <w:r>
              <w:t>a S</w:t>
            </w:r>
            <w:r>
              <w:rPr>
                <w:sz w:val="20"/>
                <w:szCs w:val="20"/>
              </w:rPr>
              <w:t>chedule A1 moratorium</w:t>
            </w:r>
          </w:p>
        </w:tc>
      </w:tr>
      <w:tr w:rsidR="005F5674" w14:paraId="5006E1FC" w14:textId="77777777">
        <w:trPr>
          <w:trHeight w:val="28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DCDCDD" w14:textId="77777777" w:rsidR="005F5674" w:rsidRDefault="00680ADE">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11D729" w14:textId="77777777" w:rsidR="005F5674" w:rsidRDefault="00680ADE">
            <w:pPr>
              <w:spacing w:before="240"/>
              <w:rPr>
                <w:sz w:val="20"/>
                <w:szCs w:val="20"/>
              </w:rPr>
            </w:pPr>
            <w:r>
              <w:rPr>
                <w:sz w:val="20"/>
                <w:szCs w:val="20"/>
              </w:rPr>
              <w:t>Intellectual Property Rights are:</w:t>
            </w:r>
          </w:p>
          <w:p w14:paraId="587827AB" w14:textId="77777777" w:rsidR="005F5674" w:rsidRDefault="00680ADE">
            <w:pPr>
              <w:pStyle w:val="ListParagraph"/>
              <w:numPr>
                <w:ilvl w:val="0"/>
                <w:numId w:val="32"/>
              </w:numPr>
              <w:rPr>
                <w:sz w:val="20"/>
                <w:szCs w:val="20"/>
              </w:rPr>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p>
          <w:p w14:paraId="1496BAEB" w14:textId="77777777" w:rsidR="005F5674" w:rsidRDefault="00680ADE">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758D7D25" w14:textId="77777777" w:rsidR="005F5674" w:rsidRDefault="00680ADE">
            <w:pPr>
              <w:pStyle w:val="ListParagraph"/>
              <w:numPr>
                <w:ilvl w:val="0"/>
                <w:numId w:val="32"/>
              </w:numPr>
              <w:rPr>
                <w:sz w:val="20"/>
                <w:szCs w:val="20"/>
              </w:rPr>
            </w:pPr>
            <w:r>
              <w:rPr>
                <w:sz w:val="20"/>
                <w:szCs w:val="20"/>
              </w:rPr>
              <w:t>all other rights having equivalent or similar effect in any country or jurisdiction</w:t>
            </w:r>
          </w:p>
        </w:tc>
      </w:tr>
      <w:tr w:rsidR="005F5674" w14:paraId="436B7866" w14:textId="77777777">
        <w:trPr>
          <w:trHeight w:val="22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186FF7" w14:textId="77777777" w:rsidR="005F5674" w:rsidRDefault="00680ADE">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8C3464" w14:textId="77777777" w:rsidR="005F5674" w:rsidRDefault="00680ADE">
            <w:pPr>
              <w:spacing w:before="240"/>
              <w:rPr>
                <w:sz w:val="20"/>
                <w:szCs w:val="20"/>
              </w:rPr>
            </w:pPr>
            <w:r>
              <w:rPr>
                <w:sz w:val="20"/>
                <w:szCs w:val="20"/>
              </w:rPr>
              <w:t>For the purposes of the IR35 rules an intermediary can be:</w:t>
            </w:r>
          </w:p>
          <w:p w14:paraId="5CC2BC1D" w14:textId="77777777" w:rsidR="005F5674" w:rsidRDefault="00680ADE">
            <w:pPr>
              <w:pStyle w:val="ListParagraph"/>
              <w:numPr>
                <w:ilvl w:val="0"/>
                <w:numId w:val="33"/>
              </w:numPr>
              <w:rPr>
                <w:sz w:val="20"/>
                <w:szCs w:val="20"/>
              </w:rPr>
            </w:pPr>
            <w:r>
              <w:rPr>
                <w:sz w:val="20"/>
                <w:szCs w:val="20"/>
              </w:rPr>
              <w:t>the supplier's own limited company</w:t>
            </w:r>
          </w:p>
          <w:p w14:paraId="35B791EE" w14:textId="77777777" w:rsidR="005F5674" w:rsidRDefault="00680ADE">
            <w:pPr>
              <w:pStyle w:val="ListParagraph"/>
              <w:numPr>
                <w:ilvl w:val="0"/>
                <w:numId w:val="33"/>
              </w:numPr>
              <w:rPr>
                <w:sz w:val="20"/>
                <w:szCs w:val="20"/>
              </w:rPr>
            </w:pPr>
            <w:r>
              <w:rPr>
                <w:sz w:val="20"/>
                <w:szCs w:val="20"/>
              </w:rPr>
              <w:t>a service or a personal service company</w:t>
            </w:r>
          </w:p>
          <w:p w14:paraId="5E6638CB" w14:textId="77777777" w:rsidR="005F5674" w:rsidRDefault="00680ADE">
            <w:pPr>
              <w:pStyle w:val="ListParagraph"/>
              <w:numPr>
                <w:ilvl w:val="0"/>
                <w:numId w:val="33"/>
              </w:numPr>
              <w:rPr>
                <w:sz w:val="20"/>
                <w:szCs w:val="20"/>
              </w:rPr>
            </w:pPr>
            <w:r>
              <w:rPr>
                <w:sz w:val="20"/>
                <w:szCs w:val="20"/>
              </w:rPr>
              <w:t>a partnership</w:t>
            </w:r>
          </w:p>
          <w:p w14:paraId="129D9BB7" w14:textId="77777777" w:rsidR="005F5674" w:rsidRDefault="00680ADE">
            <w:pPr>
              <w:spacing w:before="240"/>
              <w:rPr>
                <w:sz w:val="20"/>
                <w:szCs w:val="20"/>
              </w:rPr>
            </w:pPr>
            <w:r>
              <w:rPr>
                <w:sz w:val="20"/>
                <w:szCs w:val="20"/>
              </w:rPr>
              <w:t>It does not apply if you work for a client through a Managed Service Company (MSC) or agency (for example, an employment agency).</w:t>
            </w:r>
          </w:p>
        </w:tc>
      </w:tr>
      <w:tr w:rsidR="005F5674" w14:paraId="257447F0"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F6AE62" w14:textId="77777777" w:rsidR="005F5674" w:rsidRDefault="00680ADE">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8CAA75" w14:textId="77777777" w:rsidR="005F5674" w:rsidRDefault="00680ADE">
            <w:pPr>
              <w:spacing w:before="240"/>
              <w:rPr>
                <w:sz w:val="20"/>
                <w:szCs w:val="20"/>
              </w:rPr>
            </w:pPr>
            <w:r>
              <w:rPr>
                <w:sz w:val="20"/>
                <w:szCs w:val="20"/>
              </w:rPr>
              <w:t>As set out in clause 11.5.</w:t>
            </w:r>
          </w:p>
        </w:tc>
      </w:tr>
      <w:tr w:rsidR="005F5674" w14:paraId="5D845590"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F8785C" w14:textId="77777777" w:rsidR="005F5674" w:rsidRDefault="00680ADE">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2E47C5" w14:textId="77777777" w:rsidR="005F5674" w:rsidRDefault="00680ADE">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5F5674" w14:paraId="18962E5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35F09" w14:textId="77777777" w:rsidR="005F5674" w:rsidRDefault="00680ADE">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F1C16D" w14:textId="77777777" w:rsidR="005F5674" w:rsidRDefault="00680ADE">
            <w:pPr>
              <w:spacing w:before="240"/>
              <w:rPr>
                <w:sz w:val="20"/>
                <w:szCs w:val="20"/>
              </w:rPr>
            </w:pPr>
            <w:r>
              <w:rPr>
                <w:sz w:val="20"/>
                <w:szCs w:val="20"/>
              </w:rPr>
              <w:t>Assessment of employment status using the ESI tool to determine if engagement is Inside or Outside IR35.</w:t>
            </w:r>
          </w:p>
        </w:tc>
      </w:tr>
      <w:tr w:rsidR="005F5674" w14:paraId="4F4E4846"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7BAA59" w14:textId="77777777" w:rsidR="005F5674" w:rsidRDefault="00680ADE">
            <w:pPr>
              <w:spacing w:before="240"/>
              <w:rPr>
                <w:b/>
                <w:sz w:val="20"/>
                <w:szCs w:val="20"/>
              </w:rPr>
            </w:pPr>
            <w:r>
              <w:rPr>
                <w:b/>
                <w:sz w:val="20"/>
                <w:szCs w:val="20"/>
              </w:rPr>
              <w:lastRenderedPageBreak/>
              <w:t>Know-How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42F8C4" w14:textId="77777777" w:rsidR="005F5674" w:rsidRDefault="00680ADE">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5F5674" w14:paraId="6035C117"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3793CD" w14:textId="77777777" w:rsidR="005F5674" w:rsidRDefault="00680ADE">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2DE84E" w14:textId="77777777" w:rsidR="005F5674" w:rsidRDefault="00680ADE">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5F5674" w14:paraId="2A8D1040"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3D7782" w14:textId="77777777" w:rsidR="005F5674" w:rsidRDefault="00680ADE">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1E7C23" w14:textId="77777777" w:rsidR="005F5674" w:rsidRDefault="00680ADE">
            <w:pPr>
              <w:spacing w:before="240"/>
              <w:rPr>
                <w:sz w:val="20"/>
                <w:szCs w:val="20"/>
              </w:rPr>
            </w:pPr>
            <w:r>
              <w:rPr>
                <w:sz w:val="20"/>
                <w:szCs w:val="20"/>
              </w:rPr>
              <w:t>Law Enforcement Directive (EU) 2016/680.</w:t>
            </w:r>
          </w:p>
        </w:tc>
      </w:tr>
      <w:tr w:rsidR="005F5674" w14:paraId="3ABEFB6D" w14:textId="77777777">
        <w:trPr>
          <w:trHeight w:val="172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B5304F" w14:textId="77777777" w:rsidR="005F5674" w:rsidRDefault="00680ADE">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0AFDFF" w14:textId="77777777" w:rsidR="005F5674" w:rsidRDefault="00680ADE">
            <w:pPr>
              <w:spacing w:before="24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5F5674" w14:paraId="4432D98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C05718" w14:textId="77777777" w:rsidR="005F5674" w:rsidRDefault="00680ADE">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DA0D09" w14:textId="77777777" w:rsidR="005F5674" w:rsidRDefault="00680ADE">
            <w:pPr>
              <w:spacing w:before="240"/>
              <w:rPr>
                <w:sz w:val="20"/>
                <w:szCs w:val="20"/>
              </w:rPr>
            </w:pPr>
            <w:r>
              <w:rPr>
                <w:sz w:val="20"/>
                <w:szCs w:val="20"/>
              </w:rPr>
              <w:t xml:space="preserve">Any of the 3 Lots specified in the </w:t>
            </w:r>
            <w:proofErr w:type="gramStart"/>
            <w:r>
              <w:rPr>
                <w:sz w:val="20"/>
                <w:szCs w:val="20"/>
              </w:rPr>
              <w:t>ITT</w:t>
            </w:r>
            <w:proofErr w:type="gramEnd"/>
            <w:r>
              <w:rPr>
                <w:sz w:val="20"/>
                <w:szCs w:val="20"/>
              </w:rPr>
              <w:t xml:space="preserve"> and Lots will be construed accordingly.</w:t>
            </w:r>
          </w:p>
        </w:tc>
      </w:tr>
      <w:tr w:rsidR="005F5674" w14:paraId="2CC805F0"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FDFEA" w14:textId="77777777" w:rsidR="005F5674" w:rsidRDefault="00680ADE">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CE05F9" w14:textId="77777777" w:rsidR="005F5674" w:rsidRDefault="00680ADE">
            <w:pPr>
              <w:spacing w:before="240"/>
              <w:rPr>
                <w:sz w:val="20"/>
                <w:szCs w:val="20"/>
              </w:rPr>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p>
        </w:tc>
      </w:tr>
      <w:tr w:rsidR="005F5674" w14:paraId="766100E0"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9891EC" w14:textId="77777777" w:rsidR="005F5674" w:rsidRDefault="00680ADE">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22B405" w14:textId="77777777" w:rsidR="005F5674" w:rsidRDefault="00680ADE">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F5674" w14:paraId="6B89C87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6B8225" w14:textId="77777777" w:rsidR="005F5674" w:rsidRDefault="00680ADE">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6C8727" w14:textId="77777777" w:rsidR="005F5674" w:rsidRDefault="00680ADE">
            <w:pPr>
              <w:spacing w:before="240"/>
              <w:rPr>
                <w:sz w:val="20"/>
                <w:szCs w:val="20"/>
              </w:rPr>
            </w:pPr>
            <w:r>
              <w:rPr>
                <w:sz w:val="20"/>
                <w:szCs w:val="20"/>
              </w:rPr>
              <w:t>The management information specified in Framework Agreement section 6 (What you report to CCS).</w:t>
            </w:r>
          </w:p>
        </w:tc>
      </w:tr>
      <w:tr w:rsidR="005F5674" w14:paraId="1183B1DC"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DCAAB1" w14:textId="77777777" w:rsidR="005F5674" w:rsidRDefault="00680ADE">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8D0EF5" w14:textId="77777777" w:rsidR="005F5674" w:rsidRDefault="00680ADE">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5F5674" w14:paraId="6D7F1F6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4B0B49" w14:textId="77777777" w:rsidR="005F5674" w:rsidRDefault="00680ADE">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FC9223" w14:textId="77777777" w:rsidR="005F5674" w:rsidRDefault="00680ADE">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5F5674" w14:paraId="652CAFDB"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E4B8B1" w14:textId="77777777" w:rsidR="005F5674" w:rsidRDefault="00680ADE">
            <w:pPr>
              <w:spacing w:before="240"/>
              <w:rPr>
                <w:b/>
                <w:sz w:val="20"/>
                <w:szCs w:val="20"/>
              </w:rPr>
            </w:pPr>
            <w:r>
              <w:rPr>
                <w:b/>
                <w:sz w:val="20"/>
                <w:szCs w:val="20"/>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8E24F6" w14:textId="77777777" w:rsidR="005F5674" w:rsidRDefault="00680ADE">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5F5674" w14:paraId="13AF41A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635120" w14:textId="77777777" w:rsidR="005F5674" w:rsidRDefault="00680ADE">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2C4065" w14:textId="77777777" w:rsidR="005F5674" w:rsidRDefault="00680ADE">
            <w:pPr>
              <w:spacing w:before="240"/>
              <w:rPr>
                <w:sz w:val="20"/>
                <w:szCs w:val="20"/>
              </w:rPr>
            </w:pPr>
            <w:r>
              <w:rPr>
                <w:sz w:val="20"/>
                <w:szCs w:val="20"/>
              </w:rPr>
              <w:t>An order for G-Cloud Services placed by a contracting body with the Supplier in accordance with the ordering processes.</w:t>
            </w:r>
          </w:p>
        </w:tc>
      </w:tr>
      <w:tr w:rsidR="005F5674" w14:paraId="4440F80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757649" w14:textId="77777777" w:rsidR="005F5674" w:rsidRDefault="00680ADE">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479C38" w14:textId="77777777" w:rsidR="005F5674" w:rsidRDefault="00680ADE">
            <w:pPr>
              <w:spacing w:before="240"/>
              <w:rPr>
                <w:sz w:val="20"/>
                <w:szCs w:val="20"/>
              </w:rPr>
            </w:pPr>
            <w:r>
              <w:rPr>
                <w:sz w:val="20"/>
                <w:szCs w:val="20"/>
              </w:rPr>
              <w:t>The order form set out in Part A of the Call-Off Contract to be used by a Buyer to order G-Cloud Services.</w:t>
            </w:r>
          </w:p>
        </w:tc>
      </w:tr>
      <w:tr w:rsidR="005F5674" w14:paraId="7D497C0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78A6D3" w14:textId="77777777" w:rsidR="005F5674" w:rsidRDefault="00680ADE">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A4A48D" w14:textId="77777777" w:rsidR="005F5674" w:rsidRDefault="00680ADE">
            <w:pPr>
              <w:spacing w:before="240"/>
              <w:rPr>
                <w:sz w:val="20"/>
                <w:szCs w:val="20"/>
              </w:rPr>
            </w:pPr>
            <w:r>
              <w:rPr>
                <w:sz w:val="20"/>
                <w:szCs w:val="20"/>
              </w:rPr>
              <w:t>G-Cloud Services which are the subject of an order by the Buyer.</w:t>
            </w:r>
          </w:p>
        </w:tc>
      </w:tr>
      <w:tr w:rsidR="005F5674" w14:paraId="24D9F369"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280B56" w14:textId="77777777" w:rsidR="005F5674" w:rsidRDefault="00680ADE">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47A036" w14:textId="77777777" w:rsidR="005F5674" w:rsidRDefault="00680ADE">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5F5674" w14:paraId="20F8599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5BDB09" w14:textId="77777777" w:rsidR="005F5674" w:rsidRDefault="00680ADE">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EEC495" w14:textId="77777777" w:rsidR="005F5674" w:rsidRDefault="00680ADE">
            <w:pPr>
              <w:spacing w:before="240"/>
              <w:rPr>
                <w:sz w:val="20"/>
                <w:szCs w:val="20"/>
              </w:rPr>
            </w:pPr>
            <w:r>
              <w:rPr>
                <w:sz w:val="20"/>
                <w:szCs w:val="20"/>
              </w:rPr>
              <w:t>The Buyer or the Supplier and ‘Parties’ will be interpreted accordingly.</w:t>
            </w:r>
          </w:p>
        </w:tc>
      </w:tr>
      <w:tr w:rsidR="005F5674" w14:paraId="7595CECE"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91473F" w14:textId="77777777" w:rsidR="005F5674" w:rsidRDefault="00680ADE">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673CD7" w14:textId="77777777" w:rsidR="005F5674" w:rsidRDefault="00680ADE">
            <w:pPr>
              <w:spacing w:before="240"/>
              <w:rPr>
                <w:sz w:val="20"/>
                <w:szCs w:val="20"/>
              </w:rPr>
            </w:pPr>
            <w:r>
              <w:rPr>
                <w:sz w:val="20"/>
                <w:szCs w:val="20"/>
              </w:rPr>
              <w:t>Takes the meaning given in the GDPR.</w:t>
            </w:r>
          </w:p>
        </w:tc>
      </w:tr>
      <w:tr w:rsidR="005F5674" w14:paraId="63BE585E"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2BB8B7" w14:textId="77777777" w:rsidR="005F5674" w:rsidRDefault="00680ADE">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59EBF8" w14:textId="77777777" w:rsidR="005F5674" w:rsidRDefault="00680ADE">
            <w:pPr>
              <w:spacing w:before="240"/>
              <w:rPr>
                <w:sz w:val="20"/>
                <w:szCs w:val="20"/>
              </w:rPr>
            </w:pPr>
            <w:r>
              <w:rPr>
                <w:sz w:val="20"/>
                <w:szCs w:val="20"/>
              </w:rPr>
              <w:t>Takes the meaning given in the GDPR.</w:t>
            </w:r>
          </w:p>
        </w:tc>
      </w:tr>
      <w:tr w:rsidR="005F5674" w14:paraId="7424B5AD"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50EEBC" w14:textId="77777777" w:rsidR="005F5674" w:rsidRDefault="00680ADE">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E35AF1" w14:textId="77777777" w:rsidR="005F5674" w:rsidRDefault="00680ADE">
            <w:pPr>
              <w:spacing w:before="240"/>
              <w:rPr>
                <w:sz w:val="20"/>
                <w:szCs w:val="20"/>
              </w:rPr>
            </w:pPr>
            <w:r>
              <w:rPr>
                <w:sz w:val="20"/>
                <w:szCs w:val="20"/>
              </w:rPr>
              <w:t>Takes the meaning given in the GDPR.</w:t>
            </w:r>
          </w:p>
        </w:tc>
      </w:tr>
      <w:tr w:rsidR="005F5674" w14:paraId="17D35592"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5A9DDE" w14:textId="77777777" w:rsidR="005F5674" w:rsidRDefault="00680ADE">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671668" w14:textId="77777777" w:rsidR="005F5674" w:rsidRDefault="00680ADE">
            <w:pPr>
              <w:spacing w:before="240"/>
              <w:rPr>
                <w:sz w:val="20"/>
                <w:szCs w:val="20"/>
              </w:rPr>
            </w:pPr>
            <w:r>
              <w:rPr>
                <w:sz w:val="20"/>
                <w:szCs w:val="20"/>
              </w:rPr>
              <w:t>Takes the meaning given in the GDPR.</w:t>
            </w:r>
          </w:p>
        </w:tc>
      </w:tr>
      <w:tr w:rsidR="005F5674" w14:paraId="6B6E9314" w14:textId="77777777">
        <w:trPr>
          <w:trHeight w:val="324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8687F3" w14:textId="77777777" w:rsidR="005F5674" w:rsidRDefault="00680ADE">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1A3AD0" w14:textId="77777777" w:rsidR="005F5674" w:rsidRDefault="00680ADE">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264F069F" w14:textId="77777777" w:rsidR="005F5674" w:rsidRDefault="00680ADE">
            <w:pPr>
              <w:pStyle w:val="ListParagraph"/>
              <w:numPr>
                <w:ilvl w:val="0"/>
                <w:numId w:val="34"/>
              </w:numPr>
              <w:rPr>
                <w:sz w:val="20"/>
                <w:szCs w:val="20"/>
              </w:rPr>
            </w:pPr>
            <w:r>
              <w:rPr>
                <w:sz w:val="20"/>
                <w:szCs w:val="20"/>
              </w:rPr>
              <w:t>induce that person to perform improperly a relevant function or activity</w:t>
            </w:r>
          </w:p>
          <w:p w14:paraId="40BDB90F" w14:textId="77777777" w:rsidR="005F5674" w:rsidRDefault="00680ADE">
            <w:pPr>
              <w:pStyle w:val="ListParagraph"/>
              <w:numPr>
                <w:ilvl w:val="0"/>
                <w:numId w:val="34"/>
              </w:numPr>
              <w:rPr>
                <w:sz w:val="20"/>
                <w:szCs w:val="20"/>
              </w:rPr>
            </w:pPr>
            <w:r>
              <w:rPr>
                <w:sz w:val="20"/>
                <w:szCs w:val="20"/>
              </w:rPr>
              <w:t>reward that person for improper performance of a relevant function or activity</w:t>
            </w:r>
          </w:p>
          <w:p w14:paraId="4971503C" w14:textId="77777777" w:rsidR="005F5674" w:rsidRDefault="00680ADE">
            <w:pPr>
              <w:pStyle w:val="ListParagraph"/>
              <w:numPr>
                <w:ilvl w:val="0"/>
                <w:numId w:val="34"/>
              </w:numPr>
              <w:rPr>
                <w:sz w:val="20"/>
                <w:szCs w:val="20"/>
              </w:rPr>
            </w:pPr>
            <w:r>
              <w:rPr>
                <w:sz w:val="20"/>
                <w:szCs w:val="20"/>
              </w:rPr>
              <w:t>commit any offence:</w:t>
            </w:r>
          </w:p>
          <w:p w14:paraId="1B1FFB32" w14:textId="77777777" w:rsidR="005F5674" w:rsidRDefault="00680ADE">
            <w:pPr>
              <w:pStyle w:val="ListParagraph"/>
              <w:numPr>
                <w:ilvl w:val="1"/>
                <w:numId w:val="34"/>
              </w:numPr>
              <w:rPr>
                <w:sz w:val="20"/>
                <w:szCs w:val="20"/>
              </w:rPr>
            </w:pPr>
            <w:r>
              <w:rPr>
                <w:sz w:val="20"/>
                <w:szCs w:val="20"/>
              </w:rPr>
              <w:t>under the Bribery Act 2010</w:t>
            </w:r>
          </w:p>
          <w:p w14:paraId="34F46822" w14:textId="77777777" w:rsidR="005F5674" w:rsidRDefault="00680ADE">
            <w:pPr>
              <w:pStyle w:val="ListParagraph"/>
              <w:numPr>
                <w:ilvl w:val="1"/>
                <w:numId w:val="34"/>
              </w:numPr>
              <w:rPr>
                <w:sz w:val="20"/>
                <w:szCs w:val="20"/>
              </w:rPr>
            </w:pPr>
            <w:r>
              <w:rPr>
                <w:sz w:val="20"/>
                <w:szCs w:val="20"/>
              </w:rPr>
              <w:t>under legislation creating offences concerning Fraud</w:t>
            </w:r>
          </w:p>
          <w:p w14:paraId="1F4BB852" w14:textId="77777777" w:rsidR="005F5674" w:rsidRDefault="00680ADE">
            <w:pPr>
              <w:pStyle w:val="ListParagraph"/>
              <w:numPr>
                <w:ilvl w:val="1"/>
                <w:numId w:val="34"/>
              </w:numPr>
            </w:pPr>
            <w:r>
              <w:t>at common Law concerning Fraud</w:t>
            </w:r>
          </w:p>
          <w:p w14:paraId="36EADEB5" w14:textId="77777777" w:rsidR="005F5674" w:rsidRDefault="00680ADE">
            <w:pPr>
              <w:pStyle w:val="ListParagraph"/>
              <w:numPr>
                <w:ilvl w:val="1"/>
                <w:numId w:val="34"/>
              </w:numPr>
              <w:rPr>
                <w:sz w:val="20"/>
                <w:szCs w:val="20"/>
              </w:rPr>
            </w:pPr>
            <w:r>
              <w:rPr>
                <w:sz w:val="20"/>
                <w:szCs w:val="20"/>
              </w:rPr>
              <w:t>committing or attempting or conspiring to commit Fraud</w:t>
            </w:r>
          </w:p>
        </w:tc>
      </w:tr>
      <w:tr w:rsidR="005F5674" w14:paraId="5F87A793" w14:textId="77777777">
        <w:trPr>
          <w:trHeight w:val="75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0D517E" w14:textId="77777777" w:rsidR="005F5674" w:rsidRDefault="00680ADE">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FBFF8C" w14:textId="77777777" w:rsidR="005F5674" w:rsidRDefault="00680ADE">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lastRenderedPageBreak/>
              <w:t>documentation</w:t>
            </w:r>
            <w:proofErr w:type="gramEnd"/>
            <w:r>
              <w:rPr>
                <w:sz w:val="20"/>
                <w:szCs w:val="20"/>
              </w:rPr>
              <w:t xml:space="preserve"> and schema but not including the Supplier’s Background IPRs.</w:t>
            </w:r>
          </w:p>
        </w:tc>
      </w:tr>
      <w:tr w:rsidR="005F5674" w14:paraId="2DE86F9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34AD35" w14:textId="77777777" w:rsidR="005F5674" w:rsidRDefault="00680ADE">
            <w:pPr>
              <w:spacing w:before="240"/>
              <w:rPr>
                <w:b/>
                <w:sz w:val="20"/>
                <w:szCs w:val="20"/>
              </w:rPr>
            </w:pPr>
            <w:r>
              <w:rPr>
                <w:b/>
                <w:sz w:val="20"/>
                <w:szCs w:val="20"/>
              </w:rPr>
              <w:lastRenderedPageBreak/>
              <w:t>Property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E5BF4A" w14:textId="77777777" w:rsidR="005F5674" w:rsidRDefault="00680ADE">
            <w:pPr>
              <w:spacing w:before="240"/>
              <w:rPr>
                <w:sz w:val="20"/>
                <w:szCs w:val="20"/>
              </w:rPr>
            </w:pPr>
            <w:r>
              <w:rPr>
                <w:sz w:val="20"/>
                <w:szCs w:val="20"/>
              </w:rPr>
              <w:t>Assets and property including technical infrastructure, IPRs and equipment.</w:t>
            </w:r>
          </w:p>
        </w:tc>
      </w:tr>
      <w:tr w:rsidR="005F5674" w14:paraId="357EF1A5" w14:textId="77777777">
        <w:trPr>
          <w:trHeight w:val="17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0E01C5" w14:textId="77777777" w:rsidR="005F5674" w:rsidRDefault="00680ADE">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66BD75" w14:textId="77777777" w:rsidR="005F5674" w:rsidRDefault="00680ADE">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F5674" w14:paraId="30CDBEC5"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090CFF" w14:textId="77777777" w:rsidR="005F5674" w:rsidRDefault="00680ADE">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448C79" w14:textId="77777777" w:rsidR="005F5674" w:rsidRDefault="00680ADE">
            <w:pPr>
              <w:spacing w:before="240"/>
              <w:rPr>
                <w:sz w:val="20"/>
                <w:szCs w:val="20"/>
              </w:rPr>
            </w:pPr>
            <w:r>
              <w:rPr>
                <w:sz w:val="20"/>
                <w:szCs w:val="20"/>
              </w:rPr>
              <w:t xml:space="preserve">The Public Services Network (PSN) is the government’s high-performance network which helps public sector organisations work together, reduce </w:t>
            </w:r>
            <w:proofErr w:type="gramStart"/>
            <w:r>
              <w:rPr>
                <w:sz w:val="20"/>
                <w:szCs w:val="20"/>
              </w:rPr>
              <w:t>duplication</w:t>
            </w:r>
            <w:proofErr w:type="gramEnd"/>
            <w:r>
              <w:rPr>
                <w:sz w:val="20"/>
                <w:szCs w:val="20"/>
              </w:rPr>
              <w:t xml:space="preserve"> and share resources.</w:t>
            </w:r>
          </w:p>
        </w:tc>
      </w:tr>
      <w:tr w:rsidR="005F5674" w14:paraId="3A5D2EDC"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1C69F9" w14:textId="77777777" w:rsidR="005F5674" w:rsidRDefault="00680ADE">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1A7091" w14:textId="77777777" w:rsidR="005F5674" w:rsidRDefault="00680ADE">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5F5674" w14:paraId="472C2794"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DB9301" w14:textId="77777777" w:rsidR="005F5674" w:rsidRDefault="00680ADE">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A3421D" w14:textId="77777777" w:rsidR="005F5674" w:rsidRDefault="00680ADE">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5F5674" w14:paraId="7CC10C7F"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F738D4" w14:textId="77777777" w:rsidR="005F5674" w:rsidRDefault="00680ADE">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4BCB3F" w14:textId="77777777" w:rsidR="005F5674" w:rsidRDefault="00680ADE">
            <w:pPr>
              <w:spacing w:before="240"/>
              <w:rPr>
                <w:sz w:val="20"/>
                <w:szCs w:val="20"/>
              </w:rPr>
            </w:pPr>
            <w:r>
              <w:rPr>
                <w:sz w:val="20"/>
                <w:szCs w:val="20"/>
              </w:rPr>
              <w:t xml:space="preserve">A transfer of employment to which the employment regulations </w:t>
            </w:r>
            <w:proofErr w:type="gramStart"/>
            <w:r>
              <w:rPr>
                <w:sz w:val="20"/>
                <w:szCs w:val="20"/>
              </w:rPr>
              <w:t>applies</w:t>
            </w:r>
            <w:proofErr w:type="gramEnd"/>
            <w:r>
              <w:rPr>
                <w:sz w:val="20"/>
                <w:szCs w:val="20"/>
              </w:rPr>
              <w:t>.</w:t>
            </w:r>
          </w:p>
        </w:tc>
      </w:tr>
      <w:tr w:rsidR="005F5674" w14:paraId="4BE4339B"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095176" w14:textId="77777777" w:rsidR="005F5674" w:rsidRDefault="00680ADE">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86CFF2" w14:textId="77777777" w:rsidR="005F5674" w:rsidRDefault="00680ADE">
            <w:pPr>
              <w:spacing w:before="240"/>
              <w:rPr>
                <w:sz w:val="20"/>
                <w:szCs w:val="20"/>
              </w:rPr>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Call-Off Contract, whether those services are provided by the Buyer or a third party.</w:t>
            </w:r>
          </w:p>
        </w:tc>
      </w:tr>
      <w:tr w:rsidR="005F5674" w14:paraId="48D6B87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9CA019" w14:textId="77777777" w:rsidR="005F5674" w:rsidRDefault="00680ADE">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689F0" w14:textId="77777777" w:rsidR="005F5674" w:rsidRDefault="00680ADE">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5F5674" w14:paraId="3EBF290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70A0CC" w14:textId="77777777" w:rsidR="005F5674" w:rsidRDefault="00680ADE">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D5A8F2" w14:textId="77777777" w:rsidR="005F5674" w:rsidRDefault="00680ADE">
            <w:pPr>
              <w:spacing w:before="240"/>
              <w:rPr>
                <w:sz w:val="20"/>
                <w:szCs w:val="20"/>
              </w:rPr>
            </w:pPr>
            <w:r>
              <w:rPr>
                <w:sz w:val="20"/>
                <w:szCs w:val="20"/>
              </w:rPr>
              <w:t>The Supplier's security management plan developed by the Supplier in accordance with clause 16.1.</w:t>
            </w:r>
          </w:p>
        </w:tc>
      </w:tr>
      <w:tr w:rsidR="005F5674" w14:paraId="2098894B"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96A918" w14:textId="77777777" w:rsidR="005F5674" w:rsidRDefault="00680ADE">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E1E19A" w14:textId="77777777" w:rsidR="005F5674" w:rsidRDefault="00680ADE">
            <w:pPr>
              <w:spacing w:before="240"/>
              <w:rPr>
                <w:sz w:val="20"/>
                <w:szCs w:val="20"/>
              </w:rPr>
            </w:pPr>
            <w:r>
              <w:rPr>
                <w:sz w:val="20"/>
                <w:szCs w:val="20"/>
              </w:rPr>
              <w:t>The services ordered by the Buyer as set out in the Order Form.</w:t>
            </w:r>
          </w:p>
        </w:tc>
      </w:tr>
      <w:tr w:rsidR="005F5674" w14:paraId="2C008EE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D7CC81" w14:textId="77777777" w:rsidR="005F5674" w:rsidRDefault="00680ADE">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CD2490" w14:textId="77777777" w:rsidR="005F5674" w:rsidRDefault="00680ADE">
            <w:pPr>
              <w:spacing w:before="240"/>
              <w:rPr>
                <w:sz w:val="20"/>
                <w:szCs w:val="20"/>
              </w:rPr>
            </w:pPr>
            <w:r>
              <w:rPr>
                <w:sz w:val="20"/>
                <w:szCs w:val="20"/>
              </w:rPr>
              <w:t>Data that is owned or managed by the Buyer and used for the G-Cloud Services, including backup data.</w:t>
            </w:r>
          </w:p>
        </w:tc>
      </w:tr>
      <w:tr w:rsidR="005F5674" w14:paraId="50F6EAB9"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768DEE" w14:textId="77777777" w:rsidR="005F5674" w:rsidRDefault="00680ADE">
            <w:pPr>
              <w:spacing w:before="240"/>
              <w:rPr>
                <w:b/>
                <w:sz w:val="20"/>
                <w:szCs w:val="20"/>
              </w:rPr>
            </w:pPr>
            <w:r>
              <w:rPr>
                <w:b/>
                <w:sz w:val="20"/>
                <w:szCs w:val="20"/>
              </w:rPr>
              <w:lastRenderedPageBreak/>
              <w:t>Service definition(s)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2FB9C7" w14:textId="77777777" w:rsidR="005F5674" w:rsidRDefault="00680ADE">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5F5674" w14:paraId="18104B3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979679" w14:textId="77777777" w:rsidR="005F5674" w:rsidRDefault="00680ADE">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745C92" w14:textId="77777777" w:rsidR="005F5674" w:rsidRDefault="00680ADE">
            <w:pPr>
              <w:spacing w:before="240"/>
              <w:rPr>
                <w:sz w:val="20"/>
                <w:szCs w:val="20"/>
              </w:rPr>
            </w:pPr>
            <w:r>
              <w:rPr>
                <w:sz w:val="20"/>
                <w:szCs w:val="20"/>
              </w:rPr>
              <w:t>The description of the Supplier service offering as published on the Digital Marketplace.</w:t>
            </w:r>
          </w:p>
        </w:tc>
      </w:tr>
      <w:tr w:rsidR="005F5674" w14:paraId="43E4B856"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2278B0" w14:textId="77777777" w:rsidR="005F5674" w:rsidRDefault="00680ADE">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7CCD81" w14:textId="77777777" w:rsidR="005F5674" w:rsidRDefault="00680ADE">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5F5674" w14:paraId="40791905"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0996E" w14:textId="77777777" w:rsidR="005F5674" w:rsidRDefault="00680ADE">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AD0CD" w14:textId="77777777" w:rsidR="005F5674" w:rsidRDefault="00680ADE">
            <w:pPr>
              <w:spacing w:before="240"/>
            </w:pPr>
            <w:r>
              <w:rPr>
                <w:sz w:val="20"/>
                <w:szCs w:val="20"/>
              </w:rPr>
              <w:t>The approval process used by a central government Buyer if it needs to spend money on certain digital or technology services, see</w:t>
            </w:r>
            <w:hyperlink r:id="rId29" w:history="1">
              <w:r>
                <w:t xml:space="preserve"> </w:t>
              </w:r>
            </w:hyperlink>
            <w:hyperlink r:id="rId30" w:history="1">
              <w:r>
                <w:rPr>
                  <w:sz w:val="20"/>
                  <w:szCs w:val="20"/>
                  <w:u w:val="single"/>
                </w:rPr>
                <w:t>https://www.gov.uk/service-manual/agile-delivery/spend-controls-check-if-you-need-approval-to-spend-money-on-a-service</w:t>
              </w:r>
            </w:hyperlink>
          </w:p>
        </w:tc>
      </w:tr>
      <w:tr w:rsidR="005F5674" w14:paraId="2A528E06"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C1B8C6" w14:textId="77777777" w:rsidR="005F5674" w:rsidRDefault="00680ADE">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DA433F" w14:textId="77777777" w:rsidR="005F5674" w:rsidRDefault="00680ADE">
            <w:pPr>
              <w:spacing w:before="240"/>
              <w:rPr>
                <w:sz w:val="20"/>
                <w:szCs w:val="20"/>
              </w:rPr>
            </w:pPr>
            <w:r>
              <w:rPr>
                <w:sz w:val="20"/>
                <w:szCs w:val="20"/>
              </w:rPr>
              <w:t>The Start date of this Call-Off Contract as set out in the Order Form.</w:t>
            </w:r>
          </w:p>
        </w:tc>
      </w:tr>
      <w:tr w:rsidR="005F5674" w14:paraId="7843CD15"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1F3BC2" w14:textId="77777777" w:rsidR="005F5674" w:rsidRDefault="00680ADE">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444CD2" w14:textId="77777777" w:rsidR="005F5674" w:rsidRDefault="00680ADE">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F5674" w14:paraId="644A60B2"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1F92B1" w14:textId="77777777" w:rsidR="005F5674" w:rsidRDefault="00680ADE">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4B7814" w14:textId="77777777" w:rsidR="005F5674" w:rsidRDefault="00680ADE">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5F5674" w14:paraId="1EF6ECB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6C66CE" w14:textId="77777777" w:rsidR="005F5674" w:rsidRDefault="00680ADE">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0B405" w14:textId="77777777" w:rsidR="005F5674" w:rsidRDefault="00680ADE">
            <w:pPr>
              <w:spacing w:before="240"/>
              <w:rPr>
                <w:sz w:val="20"/>
                <w:szCs w:val="20"/>
              </w:rPr>
            </w:pPr>
            <w:r>
              <w:rPr>
                <w:sz w:val="20"/>
                <w:szCs w:val="20"/>
              </w:rPr>
              <w:t>Any third party appointed to process Personal Data on behalf of the Supplier under this Call-Off Contract.</w:t>
            </w:r>
          </w:p>
        </w:tc>
      </w:tr>
      <w:tr w:rsidR="005F5674" w14:paraId="6F44A20E"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E444EF" w14:textId="77777777" w:rsidR="005F5674" w:rsidRDefault="00680ADE">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35427E" w14:textId="77777777" w:rsidR="005F5674" w:rsidRDefault="00680ADE">
            <w:pPr>
              <w:spacing w:before="240"/>
              <w:rPr>
                <w:sz w:val="20"/>
                <w:szCs w:val="20"/>
              </w:rPr>
            </w:pPr>
            <w:r>
              <w:rPr>
                <w:sz w:val="20"/>
                <w:szCs w:val="20"/>
              </w:rPr>
              <w:t>The person, firm or company identified in the Order Form.</w:t>
            </w:r>
          </w:p>
        </w:tc>
      </w:tr>
      <w:tr w:rsidR="005F5674" w14:paraId="1E71A72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09F277" w14:textId="77777777" w:rsidR="005F5674" w:rsidRDefault="00680ADE">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A790FB" w14:textId="77777777" w:rsidR="005F5674" w:rsidRDefault="00680ADE">
            <w:pPr>
              <w:spacing w:before="240"/>
              <w:rPr>
                <w:sz w:val="20"/>
                <w:szCs w:val="20"/>
              </w:rPr>
            </w:pPr>
            <w:r>
              <w:rPr>
                <w:sz w:val="20"/>
                <w:szCs w:val="20"/>
              </w:rPr>
              <w:t>The representative appointed by the Supplier from time to time in relation to the Call-Off Contract.</w:t>
            </w:r>
          </w:p>
        </w:tc>
      </w:tr>
      <w:tr w:rsidR="005F5674" w14:paraId="2A23A88B"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2759D2" w14:textId="77777777" w:rsidR="005F5674" w:rsidRDefault="00680ADE">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AD730E" w14:textId="77777777" w:rsidR="005F5674" w:rsidRDefault="00680ADE">
            <w:pPr>
              <w:spacing w:before="240"/>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5F5674" w14:paraId="6F4F562F"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05A8C6" w14:textId="77777777" w:rsidR="005F5674" w:rsidRDefault="00680ADE">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288A53" w14:textId="77777777" w:rsidR="005F5674" w:rsidRDefault="00680ADE">
            <w:pPr>
              <w:spacing w:before="240"/>
              <w:rPr>
                <w:sz w:val="20"/>
                <w:szCs w:val="20"/>
              </w:rPr>
            </w:pPr>
            <w:r>
              <w:rPr>
                <w:sz w:val="20"/>
                <w:szCs w:val="20"/>
              </w:rPr>
              <w:t>The relevant G-Cloud Service terms and conditions as set out in the Terms and Conditions document supplied as part of the Supplier’s Application.</w:t>
            </w:r>
          </w:p>
        </w:tc>
      </w:tr>
      <w:tr w:rsidR="005F5674" w14:paraId="39B67C6D"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AA4694" w14:textId="77777777" w:rsidR="005F5674" w:rsidRDefault="00680ADE">
            <w:pPr>
              <w:spacing w:before="240"/>
              <w:rPr>
                <w:b/>
                <w:sz w:val="20"/>
                <w:szCs w:val="20"/>
              </w:rPr>
            </w:pPr>
            <w:r>
              <w:rPr>
                <w:b/>
                <w:sz w:val="20"/>
                <w:szCs w:val="20"/>
              </w:rPr>
              <w:lastRenderedPageBreak/>
              <w:t>Term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627F33" w14:textId="77777777" w:rsidR="005F5674" w:rsidRDefault="00680ADE">
            <w:pPr>
              <w:spacing w:before="240"/>
              <w:rPr>
                <w:sz w:val="20"/>
                <w:szCs w:val="20"/>
              </w:rPr>
            </w:pPr>
            <w:r>
              <w:rPr>
                <w:sz w:val="20"/>
                <w:szCs w:val="20"/>
              </w:rPr>
              <w:t>The term of this Call-Off Contract as set out in the Order Form.</w:t>
            </w:r>
          </w:p>
        </w:tc>
      </w:tr>
      <w:tr w:rsidR="005F5674" w14:paraId="33535E79"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D04494" w14:textId="77777777" w:rsidR="005F5674" w:rsidRDefault="00680ADE">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E3B995" w14:textId="77777777" w:rsidR="005F5674" w:rsidRDefault="00680ADE">
            <w:pPr>
              <w:spacing w:before="240"/>
              <w:rPr>
                <w:sz w:val="20"/>
                <w:szCs w:val="20"/>
              </w:rPr>
            </w:pPr>
            <w:r>
              <w:rPr>
                <w:sz w:val="20"/>
                <w:szCs w:val="20"/>
              </w:rPr>
              <w:t>This has the meaning given to it in clause 32 (Variation process).</w:t>
            </w:r>
          </w:p>
        </w:tc>
      </w:tr>
      <w:tr w:rsidR="005F5674" w14:paraId="68A51E4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C1D87" w14:textId="77777777" w:rsidR="005F5674" w:rsidRDefault="00680ADE">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E58828" w14:textId="77777777" w:rsidR="005F5674" w:rsidRDefault="00680ADE">
            <w:pPr>
              <w:spacing w:before="240"/>
              <w:rPr>
                <w:sz w:val="20"/>
                <w:szCs w:val="20"/>
              </w:rPr>
            </w:pPr>
            <w:r>
              <w:rPr>
                <w:sz w:val="20"/>
                <w:szCs w:val="20"/>
              </w:rPr>
              <w:t>Any day other than a Saturday, Sunday or public holiday in England and Wales.</w:t>
            </w:r>
          </w:p>
        </w:tc>
      </w:tr>
      <w:tr w:rsidR="005F5674" w14:paraId="215C293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876907" w14:textId="77777777" w:rsidR="005F5674" w:rsidRDefault="00680ADE">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D50636" w14:textId="77777777" w:rsidR="005F5674" w:rsidRDefault="00680ADE">
            <w:pPr>
              <w:spacing w:before="240"/>
              <w:rPr>
                <w:sz w:val="20"/>
                <w:szCs w:val="20"/>
              </w:rPr>
            </w:pPr>
            <w:r>
              <w:rPr>
                <w:sz w:val="20"/>
                <w:szCs w:val="20"/>
              </w:rPr>
              <w:t>A contract year.</w:t>
            </w:r>
          </w:p>
        </w:tc>
      </w:tr>
    </w:tbl>
    <w:p w14:paraId="67A54C5C" w14:textId="77777777" w:rsidR="005F5674" w:rsidRDefault="00680ADE">
      <w:pPr>
        <w:spacing w:before="240" w:after="240"/>
      </w:pPr>
      <w:r>
        <w:t xml:space="preserve"> </w:t>
      </w:r>
    </w:p>
    <w:p w14:paraId="4B6F6686" w14:textId="77777777" w:rsidR="005F5674" w:rsidRDefault="005F5674">
      <w:pPr>
        <w:pageBreakBefore/>
      </w:pPr>
    </w:p>
    <w:p w14:paraId="0BBCFB40" w14:textId="77777777" w:rsidR="005F5674" w:rsidRDefault="00680ADE">
      <w:pPr>
        <w:pStyle w:val="Heading2"/>
      </w:pPr>
      <w:bookmarkStart w:id="25" w:name="_Toc33176240"/>
      <w:r>
        <w:t>Schedule 7: GDPR Information</w:t>
      </w:r>
      <w:bookmarkEnd w:id="25"/>
    </w:p>
    <w:p w14:paraId="6BFF6E2F" w14:textId="77777777" w:rsidR="005F5674" w:rsidRDefault="00680ADE">
      <w:r>
        <w:t>This schedule reproduces the annexes to the GDPR schedule contained within the Framework Agreement and incorporated into this Call-off Contract.</w:t>
      </w:r>
    </w:p>
    <w:p w14:paraId="4132FA29" w14:textId="77777777" w:rsidR="005F5674" w:rsidRDefault="00680ADE">
      <w:pPr>
        <w:pStyle w:val="Heading3"/>
        <w:rPr>
          <w:color w:val="auto"/>
        </w:rPr>
      </w:pPr>
      <w:r>
        <w:rPr>
          <w:color w:val="auto"/>
        </w:rPr>
        <w:t>Annex 1: Processing Personal Data</w:t>
      </w:r>
    </w:p>
    <w:p w14:paraId="5BB3BEC0" w14:textId="77777777" w:rsidR="005F5674" w:rsidRDefault="00680ADE">
      <w:pPr>
        <w:spacing w:after="120"/>
      </w:pPr>
      <w:r>
        <w:t>This Annex shall be completed by the Controller, who may take account of the view of the Processors, however the final decision as to the content of this Annex shall be with the Buyer at its absolute discretion.</w:t>
      </w:r>
    </w:p>
    <w:p w14:paraId="19A9AD02" w14:textId="0C7E3789" w:rsidR="005F5674" w:rsidRDefault="00680ADE">
      <w:r>
        <w:t>1.1</w:t>
      </w:r>
      <w:r>
        <w:tab/>
        <w:t xml:space="preserve">The contact details of the Buyer’s Data Protection Officer are: </w:t>
      </w:r>
      <w:r w:rsidR="00850314">
        <w:t>dataprotection@beis.gov.uk</w:t>
      </w:r>
    </w:p>
    <w:p w14:paraId="1D5EF6BA" w14:textId="2D18FBC2" w:rsidR="005F5674" w:rsidRDefault="00680ADE" w:rsidP="00732BC0">
      <w:pPr>
        <w:spacing w:after="120"/>
      </w:pPr>
      <w:r>
        <w:t>1.2</w:t>
      </w:r>
      <w:r>
        <w:tab/>
        <w:t>The contact details of the Supplier’s Data Protection Officer are</w:t>
      </w:r>
      <w:r w:rsidR="00732BC0">
        <w:t xml:space="preserve">: </w:t>
      </w:r>
      <w:r w:rsidR="00732BC0">
        <w:t>[redacted]</w:t>
      </w:r>
      <w:r w:rsidR="00732BC0">
        <w:t xml:space="preserve"> </w:t>
      </w:r>
    </w:p>
    <w:p w14:paraId="5F2BFE9B" w14:textId="77777777" w:rsidR="005F5674" w:rsidRDefault="00680ADE">
      <w:pPr>
        <w:ind w:left="720" w:hanging="720"/>
      </w:pPr>
      <w:r>
        <w:t>1.3</w:t>
      </w:r>
      <w:r>
        <w:tab/>
        <w:t>The Processor shall comply with any further written instructions with respect to Processing by the Controller.</w:t>
      </w:r>
    </w:p>
    <w:p w14:paraId="35D373A0" w14:textId="77777777" w:rsidR="005F5674" w:rsidRDefault="00680ADE">
      <w:r>
        <w:t>1.4</w:t>
      </w:r>
      <w:r>
        <w:tab/>
        <w:t>Any such further instructions shall be incorporated into this Annex.</w:t>
      </w:r>
    </w:p>
    <w:p w14:paraId="0C078982" w14:textId="77777777" w:rsidR="005F5674" w:rsidRDefault="005F5674"/>
    <w:tbl>
      <w:tblPr>
        <w:tblW w:w="9029" w:type="dxa"/>
        <w:tblInd w:w="2" w:type="dxa"/>
        <w:tblLayout w:type="fixed"/>
        <w:tblCellMar>
          <w:left w:w="10" w:type="dxa"/>
          <w:right w:w="10" w:type="dxa"/>
        </w:tblCellMar>
        <w:tblLook w:val="04A0" w:firstRow="1" w:lastRow="0" w:firstColumn="1" w:lastColumn="0" w:noHBand="0" w:noVBand="1"/>
      </w:tblPr>
      <w:tblGrid>
        <w:gridCol w:w="4099"/>
        <w:gridCol w:w="4930"/>
      </w:tblGrid>
      <w:tr w:rsidR="005F5674" w14:paraId="50843B2E"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33058A" w14:textId="77777777" w:rsidR="005F5674" w:rsidRDefault="00680ADE">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683348" w14:textId="77777777" w:rsidR="005F5674" w:rsidRDefault="00680ADE">
            <w:pPr>
              <w:spacing w:before="240" w:after="240"/>
              <w:jc w:val="center"/>
            </w:pPr>
            <w:r>
              <w:rPr>
                <w:b/>
              </w:rPr>
              <w:t>Details</w:t>
            </w:r>
          </w:p>
        </w:tc>
      </w:tr>
      <w:tr w:rsidR="005F5674" w14:paraId="24A62263"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DF2E72" w14:textId="77777777" w:rsidR="005F5674" w:rsidRDefault="00680ADE">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05CA58" w14:textId="77777777" w:rsidR="005F5674" w:rsidRDefault="00680ADE">
            <w:pPr>
              <w:spacing w:line="240" w:lineRule="auto"/>
              <w:rPr>
                <w:b/>
              </w:rPr>
            </w:pPr>
            <w:r>
              <w:rPr>
                <w:b/>
              </w:rPr>
              <w:t xml:space="preserve">The Buyer is </w:t>
            </w:r>
            <w:proofErr w:type="gramStart"/>
            <w:r>
              <w:rPr>
                <w:b/>
              </w:rPr>
              <w:t>Controller</w:t>
            </w:r>
            <w:proofErr w:type="gramEnd"/>
            <w:r>
              <w:rPr>
                <w:b/>
              </w:rPr>
              <w:t xml:space="preserve"> and the Supplier is Processor</w:t>
            </w:r>
          </w:p>
          <w:p w14:paraId="4530606B" w14:textId="77777777" w:rsidR="005F5674" w:rsidRDefault="005F5674">
            <w:pPr>
              <w:spacing w:line="240" w:lineRule="auto"/>
              <w:rPr>
                <w:b/>
              </w:rPr>
            </w:pPr>
          </w:p>
          <w:p w14:paraId="6BEFC987" w14:textId="77777777" w:rsidR="005F5674" w:rsidRDefault="00680ADE">
            <w:pPr>
              <w:spacing w:line="240" w:lineRule="auto"/>
            </w:pPr>
            <w:r>
              <w:t xml:space="preserve">The Parties acknowledge that in accordance with paragraph 2-15 Framework Agreement Schedule 4 (Where the Party is a Controller and the other Party is Processor) and for the purposes of the Data Protection Legislation, the Buyer is the </w:t>
            </w:r>
            <w:proofErr w:type="gramStart"/>
            <w:r>
              <w:t>Controller</w:t>
            </w:r>
            <w:proofErr w:type="gramEnd"/>
            <w:r>
              <w:t xml:space="preserve"> and the Supplier is the Processor of the following Personal Data:</w:t>
            </w:r>
          </w:p>
          <w:p w14:paraId="5DF8DA46" w14:textId="0B3445BE" w:rsidR="004B1904" w:rsidRDefault="004B1904" w:rsidP="004B1904">
            <w:pPr>
              <w:pStyle w:val="ListParagraph"/>
              <w:numPr>
                <w:ilvl w:val="0"/>
                <w:numId w:val="47"/>
              </w:numPr>
              <w:spacing w:line="240" w:lineRule="auto"/>
            </w:pPr>
            <w:r>
              <w:t>Names of Supplier and Buyer staff</w:t>
            </w:r>
          </w:p>
          <w:p w14:paraId="6F64400B" w14:textId="0180BC1A" w:rsidR="004B1904" w:rsidRDefault="008D40B0" w:rsidP="004B1904">
            <w:pPr>
              <w:pStyle w:val="ListParagraph"/>
              <w:numPr>
                <w:ilvl w:val="0"/>
                <w:numId w:val="47"/>
              </w:numPr>
              <w:spacing w:line="240" w:lineRule="auto"/>
            </w:pPr>
            <w:r>
              <w:t>Email addresses of Supplier and Buyer staff</w:t>
            </w:r>
          </w:p>
          <w:p w14:paraId="42BCE9B7" w14:textId="0B72E5C6" w:rsidR="00592C96" w:rsidRDefault="00592C96" w:rsidP="00FF3F6A">
            <w:pPr>
              <w:pStyle w:val="ListParagraph"/>
              <w:numPr>
                <w:ilvl w:val="0"/>
                <w:numId w:val="47"/>
              </w:numPr>
              <w:spacing w:line="240" w:lineRule="auto"/>
            </w:pPr>
            <w:r>
              <w:t>Telephone numbers of Supplier and Buyer staff</w:t>
            </w:r>
          </w:p>
          <w:p w14:paraId="3B2F6799" w14:textId="3160F475" w:rsidR="005F5674" w:rsidRDefault="005F5674">
            <w:pPr>
              <w:spacing w:line="240" w:lineRule="auto"/>
            </w:pPr>
          </w:p>
        </w:tc>
      </w:tr>
      <w:tr w:rsidR="005F5674" w14:paraId="42098C51"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820696" w14:textId="77777777" w:rsidR="005F5674" w:rsidRDefault="00680ADE">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435B11" w14:textId="2D852531" w:rsidR="005F5674" w:rsidRDefault="008D40B0">
            <w:pPr>
              <w:spacing w:line="240" w:lineRule="auto"/>
            </w:pPr>
            <w:r>
              <w:t>Term of the Contract</w:t>
            </w:r>
          </w:p>
        </w:tc>
      </w:tr>
      <w:tr w:rsidR="005F5674" w14:paraId="4F1C25AC"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58E3E9" w14:textId="77777777" w:rsidR="005F5674" w:rsidRDefault="00680ADE">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FF819C" w14:textId="4E1EB3F1" w:rsidR="005F5674" w:rsidRDefault="00680ADE">
            <w:pPr>
              <w:spacing w:line="240" w:lineRule="auto"/>
            </w:pPr>
            <w: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t>erasure</w:t>
            </w:r>
            <w:proofErr w:type="gramEnd"/>
            <w:r>
              <w:t xml:space="preserve"> or destruction of data (whether or not by automated means) etc</w:t>
            </w:r>
            <w:r w:rsidR="008D40B0">
              <w:t xml:space="preserve"> for the purposes of delivering the Services, namely performing the ITHC or ITHCs </w:t>
            </w:r>
            <w:r w:rsidR="00592C96">
              <w:t>in relation to the ISU’s Case Management System.</w:t>
            </w:r>
          </w:p>
        </w:tc>
      </w:tr>
      <w:tr w:rsidR="005F5674" w14:paraId="48683F7B"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DE15D3" w14:textId="77777777" w:rsidR="005F5674" w:rsidRDefault="00680ADE">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F8E059" w14:textId="4B9F8995" w:rsidR="00592C96" w:rsidRDefault="00592C96" w:rsidP="00592C96">
            <w:pPr>
              <w:pStyle w:val="ListParagraph"/>
              <w:numPr>
                <w:ilvl w:val="0"/>
                <w:numId w:val="47"/>
              </w:numPr>
              <w:spacing w:line="240" w:lineRule="auto"/>
            </w:pPr>
            <w:r>
              <w:t xml:space="preserve">Names </w:t>
            </w:r>
          </w:p>
          <w:p w14:paraId="4CC38348" w14:textId="54FAC1FA" w:rsidR="00592C96" w:rsidRDefault="00592C96" w:rsidP="00592C96">
            <w:pPr>
              <w:pStyle w:val="ListParagraph"/>
              <w:numPr>
                <w:ilvl w:val="0"/>
                <w:numId w:val="47"/>
              </w:numPr>
              <w:spacing w:line="240" w:lineRule="auto"/>
            </w:pPr>
            <w:r>
              <w:lastRenderedPageBreak/>
              <w:t>Email addresses</w:t>
            </w:r>
          </w:p>
          <w:p w14:paraId="03904FE7" w14:textId="4E6C7864" w:rsidR="00592C96" w:rsidRDefault="00592C96" w:rsidP="00592C96">
            <w:pPr>
              <w:pStyle w:val="ListParagraph"/>
              <w:numPr>
                <w:ilvl w:val="0"/>
                <w:numId w:val="47"/>
              </w:numPr>
              <w:spacing w:line="240" w:lineRule="auto"/>
            </w:pPr>
            <w:r>
              <w:t xml:space="preserve">Telephone numbers </w:t>
            </w:r>
          </w:p>
          <w:p w14:paraId="33F7E711" w14:textId="67123953" w:rsidR="005F5674" w:rsidRDefault="005F5674">
            <w:pPr>
              <w:spacing w:line="240" w:lineRule="auto"/>
            </w:pPr>
          </w:p>
        </w:tc>
      </w:tr>
      <w:tr w:rsidR="005F5674" w14:paraId="320CA13B"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583663" w14:textId="77777777" w:rsidR="005F5674" w:rsidRDefault="00680ADE">
            <w:pPr>
              <w:spacing w:line="240" w:lineRule="auto"/>
            </w:pPr>
            <w:r>
              <w:lastRenderedPageBreak/>
              <w:t>Categories of Data Subject</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2B5299" w14:textId="66671A73" w:rsidR="005F5674" w:rsidRDefault="00592C96">
            <w:pPr>
              <w:spacing w:line="240" w:lineRule="auto"/>
            </w:pPr>
            <w:r>
              <w:t>Staff of both the Buyer and Supplier</w:t>
            </w:r>
          </w:p>
        </w:tc>
      </w:tr>
      <w:tr w:rsidR="005F5674" w14:paraId="227F6147"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9232C5" w14:textId="77777777" w:rsidR="005F5674" w:rsidRDefault="00680ADE">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B27D57" w14:textId="52149447" w:rsidR="005F5674" w:rsidRDefault="00592C96">
            <w:pPr>
              <w:spacing w:line="240" w:lineRule="auto"/>
            </w:pPr>
            <w:r>
              <w:t xml:space="preserve">Destroyed following the end of the Contract, whether the Expiry Date or earlier in accordance with termination provisions. </w:t>
            </w:r>
          </w:p>
        </w:tc>
      </w:tr>
    </w:tbl>
    <w:p w14:paraId="0BC39F23" w14:textId="77777777" w:rsidR="005F5674" w:rsidRDefault="005F5674">
      <w:pPr>
        <w:spacing w:before="240" w:after="240"/>
        <w:rPr>
          <w:b/>
        </w:rPr>
      </w:pPr>
    </w:p>
    <w:p w14:paraId="6ABCB9FC" w14:textId="77777777" w:rsidR="005F5674" w:rsidRDefault="005F5674">
      <w:pPr>
        <w:pageBreakBefore/>
        <w:rPr>
          <w:sz w:val="24"/>
          <w:szCs w:val="24"/>
        </w:rPr>
      </w:pPr>
    </w:p>
    <w:p w14:paraId="6537E232" w14:textId="77777777" w:rsidR="005F5674" w:rsidRDefault="00680ADE">
      <w:pPr>
        <w:pStyle w:val="Heading3"/>
        <w:rPr>
          <w:color w:val="auto"/>
        </w:rPr>
      </w:pPr>
      <w:r>
        <w:rPr>
          <w:color w:val="auto"/>
        </w:rPr>
        <w:t>Annex 2: Joint Controller Agreement</w:t>
      </w:r>
    </w:p>
    <w:p w14:paraId="2BED765A" w14:textId="77777777" w:rsidR="005F5674" w:rsidRDefault="00680ADE">
      <w:pPr>
        <w:pStyle w:val="Heading4"/>
        <w:rPr>
          <w:color w:val="auto"/>
        </w:rPr>
      </w:pPr>
      <w:r>
        <w:rPr>
          <w:color w:val="auto"/>
        </w:rPr>
        <w:t>1. Joint Controller Status and Allocation of Responsibilities</w:t>
      </w:r>
    </w:p>
    <w:p w14:paraId="4FE21A89" w14:textId="77777777" w:rsidR="005F5674" w:rsidRDefault="00680ADE">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w:t>
      </w:r>
      <w:proofErr w:type="gramStart"/>
      <w:r>
        <w:t>Controller</w:t>
      </w:r>
      <w:proofErr w:type="gramEnd"/>
      <w:r>
        <w:t xml:space="preserve">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14:paraId="3020CA52" w14:textId="77777777" w:rsidR="005F5674" w:rsidRDefault="005F5674"/>
    <w:p w14:paraId="74FE6961" w14:textId="77777777" w:rsidR="005F5674" w:rsidRDefault="00680ADE">
      <w:pPr>
        <w:spacing w:after="120"/>
      </w:pPr>
      <w:r>
        <w:t xml:space="preserve">1.2 </w:t>
      </w:r>
      <w:r>
        <w:tab/>
        <w:t>The Parties agree that the [</w:t>
      </w:r>
      <w:r>
        <w:rPr>
          <w:b/>
        </w:rPr>
        <w:t>delete as appropriate Supplier/Buyer</w:t>
      </w:r>
      <w:r>
        <w:t>]:</w:t>
      </w:r>
    </w:p>
    <w:p w14:paraId="5F1D93EA" w14:textId="77777777" w:rsidR="005F5674" w:rsidRDefault="00680ADE">
      <w:pPr>
        <w:ind w:left="1440" w:hanging="720"/>
      </w:pPr>
      <w:r>
        <w:t>(a)</w:t>
      </w:r>
      <w:r>
        <w:tab/>
        <w:t xml:space="preserve">is the exclusive point of contact for Data Subjects and is responsible for all steps necessary to comply with the GDPR regarding the exercise by Data Subjects of their rights under the </w:t>
      </w:r>
      <w:proofErr w:type="gramStart"/>
      <w:r>
        <w:t>GDPR;</w:t>
      </w:r>
      <w:proofErr w:type="gramEnd"/>
    </w:p>
    <w:p w14:paraId="0CC06495" w14:textId="77777777" w:rsidR="005F5674" w:rsidRDefault="005F5674">
      <w:pPr>
        <w:ind w:left="1440"/>
      </w:pPr>
    </w:p>
    <w:p w14:paraId="4BDF632C" w14:textId="77777777" w:rsidR="005F5674" w:rsidRDefault="00680ADE">
      <w:pPr>
        <w:ind w:left="1440" w:hanging="720"/>
      </w:pPr>
      <w:r>
        <w:t xml:space="preserve">(b) </w:t>
      </w:r>
      <w:r>
        <w:tab/>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p>
    <w:p w14:paraId="53EC6DEB" w14:textId="77777777" w:rsidR="005F5674" w:rsidRDefault="005F5674"/>
    <w:p w14:paraId="3041AF88" w14:textId="77777777" w:rsidR="005F5674" w:rsidRDefault="00680ADE">
      <w:pPr>
        <w:ind w:left="1440" w:hanging="720"/>
      </w:pPr>
      <w:r>
        <w:t>(c)</w:t>
      </w:r>
      <w:r>
        <w:tab/>
        <w:t xml:space="preserve">is solely responsible for the Parties’ compliance with all duties to provide information to Data Subjects under Articles 13 and 14 of the </w:t>
      </w:r>
      <w:proofErr w:type="gramStart"/>
      <w:r>
        <w:t>GDPR;</w:t>
      </w:r>
      <w:proofErr w:type="gramEnd"/>
    </w:p>
    <w:p w14:paraId="62F7C21B" w14:textId="77777777" w:rsidR="005F5674" w:rsidRDefault="005F5674"/>
    <w:p w14:paraId="55DE6D82" w14:textId="77777777" w:rsidR="005F5674" w:rsidRDefault="00680ADE">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511BFD0D" w14:textId="77777777" w:rsidR="005F5674" w:rsidRDefault="005F5674"/>
    <w:p w14:paraId="39C7B9FC" w14:textId="77777777" w:rsidR="005F5674" w:rsidRDefault="00680ADE">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xml:space="preserve">] privacy policy (which must be readily available by hyperlink or otherwise on </w:t>
      </w:r>
      <w:proofErr w:type="gramStart"/>
      <w:r>
        <w:t>all of</w:t>
      </w:r>
      <w:proofErr w:type="gramEnd"/>
      <w:r>
        <w:t xml:space="preserve"> its public facing services and marketing).</w:t>
      </w:r>
    </w:p>
    <w:p w14:paraId="3E36BF5B" w14:textId="77777777" w:rsidR="005F5674" w:rsidRDefault="005F5674"/>
    <w:p w14:paraId="5557D27C" w14:textId="77777777" w:rsidR="005F5674" w:rsidRDefault="00680ADE">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2532C361" w14:textId="77777777" w:rsidR="005F5674" w:rsidRDefault="005F5674"/>
    <w:p w14:paraId="277E1C08" w14:textId="77777777" w:rsidR="005F5674" w:rsidRDefault="00680ADE">
      <w:pPr>
        <w:pStyle w:val="Heading4"/>
        <w:rPr>
          <w:color w:val="auto"/>
        </w:rPr>
      </w:pPr>
      <w:r>
        <w:rPr>
          <w:color w:val="auto"/>
        </w:rPr>
        <w:t>2.</w:t>
      </w:r>
      <w:r>
        <w:rPr>
          <w:color w:val="auto"/>
        </w:rPr>
        <w:tab/>
        <w:t>Undertakings of both Parties</w:t>
      </w:r>
    </w:p>
    <w:p w14:paraId="2C0636CC" w14:textId="77777777" w:rsidR="005F5674" w:rsidRDefault="00680ADE">
      <w:r>
        <w:t>2.1</w:t>
      </w:r>
      <w:r>
        <w:tab/>
        <w:t>The Supplier and the Buyer each undertake that they shall:</w:t>
      </w:r>
    </w:p>
    <w:p w14:paraId="05710C6D" w14:textId="77777777" w:rsidR="005F5674" w:rsidRDefault="005F5674"/>
    <w:p w14:paraId="5CF65CAE" w14:textId="77777777" w:rsidR="005F5674" w:rsidRDefault="00680ADE">
      <w:pPr>
        <w:ind w:firstLine="720"/>
      </w:pPr>
      <w:r>
        <w:t>(a)</w:t>
      </w:r>
      <w:r>
        <w:tab/>
        <w:t xml:space="preserve">report to the other Party every </w:t>
      </w:r>
      <w:r>
        <w:rPr>
          <w:b/>
        </w:rPr>
        <w:t>[enter number]</w:t>
      </w:r>
      <w:r>
        <w:t xml:space="preserve"> months on:</w:t>
      </w:r>
    </w:p>
    <w:p w14:paraId="724E6A0E" w14:textId="77777777" w:rsidR="005F5674" w:rsidRDefault="005F5674"/>
    <w:p w14:paraId="45479C0A" w14:textId="77777777" w:rsidR="005F5674" w:rsidRDefault="00680ADE">
      <w:pPr>
        <w:ind w:left="2160" w:hanging="720"/>
      </w:pPr>
      <w:r>
        <w:t>(</w:t>
      </w:r>
      <w:proofErr w:type="spellStart"/>
      <w:r>
        <w:t>i</w:t>
      </w:r>
      <w:proofErr w:type="spellEnd"/>
      <w:r>
        <w:t>)</w:t>
      </w:r>
      <w:r>
        <w:tab/>
        <w:t>the volume of Data Subject Request (or purported Data Subject Requests) from Data Subjects (or third parties on their behalf</w:t>
      </w:r>
      <w:proofErr w:type="gramStart"/>
      <w:r>
        <w:t>);</w:t>
      </w:r>
      <w:proofErr w:type="gramEnd"/>
    </w:p>
    <w:p w14:paraId="6739F656" w14:textId="77777777" w:rsidR="005F5674" w:rsidRDefault="005F5674"/>
    <w:p w14:paraId="35AC1EC1" w14:textId="77777777" w:rsidR="005F5674" w:rsidRDefault="00680ADE">
      <w:pPr>
        <w:ind w:left="2160" w:hanging="720"/>
      </w:pPr>
      <w:r>
        <w:t>(ii)</w:t>
      </w:r>
      <w:r>
        <w:tab/>
        <w:t xml:space="preserve">the volume of requests from Data Subjects (or third parties on their behalf) to rectify, block or erase any Personal </w:t>
      </w:r>
      <w:proofErr w:type="gramStart"/>
      <w:r>
        <w:t>Data;</w:t>
      </w:r>
      <w:proofErr w:type="gramEnd"/>
    </w:p>
    <w:p w14:paraId="27249FF7" w14:textId="77777777" w:rsidR="005F5674" w:rsidRDefault="005F5674"/>
    <w:p w14:paraId="43199601" w14:textId="77777777" w:rsidR="005F5674" w:rsidRDefault="00680ADE">
      <w:pPr>
        <w:ind w:left="2160" w:hanging="720"/>
      </w:pPr>
      <w:r>
        <w:t>(iii)</w:t>
      </w:r>
      <w:r>
        <w:tab/>
        <w:t xml:space="preserve">any other requests, complaints or communications from Data Subjects (or third parties on their behalf) relating to the other Party’s obligations under applicable Data Protection </w:t>
      </w:r>
      <w:proofErr w:type="gramStart"/>
      <w:r>
        <w:t>Legislation;</w:t>
      </w:r>
      <w:proofErr w:type="gramEnd"/>
    </w:p>
    <w:p w14:paraId="479C84F2" w14:textId="77777777" w:rsidR="005F5674" w:rsidRDefault="005F5674"/>
    <w:p w14:paraId="5AA516EC" w14:textId="77777777" w:rsidR="005F5674" w:rsidRDefault="00680ADE">
      <w:pPr>
        <w:ind w:left="2160" w:hanging="720"/>
      </w:pPr>
      <w:r>
        <w:t>(iv)</w:t>
      </w:r>
      <w:r>
        <w:tab/>
        <w:t>any communications from the Information Commissioner or any other regulatory authority in connection with Personal Data; and</w:t>
      </w:r>
    </w:p>
    <w:p w14:paraId="0A6D41DD" w14:textId="77777777" w:rsidR="005F5674" w:rsidRDefault="005F5674"/>
    <w:p w14:paraId="1C8484DE" w14:textId="77777777" w:rsidR="005F5674" w:rsidRDefault="00680ADE">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p>
    <w:p w14:paraId="22E9FA5D" w14:textId="77777777" w:rsidR="005F5674" w:rsidRDefault="005F5674">
      <w:pPr>
        <w:ind w:left="2160"/>
      </w:pPr>
    </w:p>
    <w:p w14:paraId="053680BB" w14:textId="77777777" w:rsidR="005F5674" w:rsidRDefault="00680ADE">
      <w:pPr>
        <w:ind w:left="1440" w:hanging="720"/>
      </w:pPr>
      <w:r>
        <w:t>(b)</w:t>
      </w:r>
      <w:r>
        <w:tab/>
        <w:t>notify each other immediately if it receives any request, complaint or communication made as referred to in Clauses 2.1(a)(</w:t>
      </w:r>
      <w:proofErr w:type="spellStart"/>
      <w:r>
        <w:t>i</w:t>
      </w:r>
      <w:proofErr w:type="spellEnd"/>
      <w:r>
        <w:t>) to (v</w:t>
      </w:r>
      <w:proofErr w:type="gramStart"/>
      <w:r>
        <w:t>);</w:t>
      </w:r>
      <w:proofErr w:type="gramEnd"/>
    </w:p>
    <w:p w14:paraId="16F5293A" w14:textId="77777777" w:rsidR="005F5674" w:rsidRDefault="005F5674"/>
    <w:p w14:paraId="563B5EC0" w14:textId="77777777" w:rsidR="005F5674" w:rsidRDefault="00680ADE">
      <w:pPr>
        <w:ind w:left="1440" w:hanging="720"/>
      </w:pPr>
      <w:r>
        <w:t>(c)</w:t>
      </w:r>
      <w:r>
        <w:tab/>
        <w:t>provide the other Party with full cooperation and assistance in relation to any request, complaint or communication made as referred to in Clauses</w:t>
      </w:r>
    </w:p>
    <w:p w14:paraId="3EAECCEF" w14:textId="77777777" w:rsidR="005F5674" w:rsidRDefault="005F5674">
      <w:pPr>
        <w:ind w:left="1440"/>
      </w:pPr>
    </w:p>
    <w:p w14:paraId="52F8B6DA" w14:textId="77777777" w:rsidR="005F5674" w:rsidRDefault="00680ADE">
      <w:pPr>
        <w:ind w:left="1440"/>
      </w:pPr>
      <w:r>
        <w:t xml:space="preserve">2.1(a)(iii) to (v) to enable the other Party to comply with the relevant timescales set out in the Data Protection </w:t>
      </w:r>
      <w:proofErr w:type="gramStart"/>
      <w:r>
        <w:t>Legislation;</w:t>
      </w:r>
      <w:proofErr w:type="gramEnd"/>
    </w:p>
    <w:p w14:paraId="2A8BB4B8" w14:textId="77777777" w:rsidR="005F5674" w:rsidRDefault="005F5674">
      <w:pPr>
        <w:ind w:left="1440"/>
      </w:pPr>
    </w:p>
    <w:p w14:paraId="4CA0C36C" w14:textId="77777777" w:rsidR="005F5674" w:rsidRDefault="00680ADE">
      <w:pPr>
        <w:ind w:left="1440" w:hanging="720"/>
      </w:pPr>
      <w:r>
        <w:t xml:space="preserve">(d) </w:t>
      </w:r>
      <w: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p>
    <w:p w14:paraId="4E75D223" w14:textId="77777777" w:rsidR="005F5674" w:rsidRDefault="005F5674"/>
    <w:p w14:paraId="190B62A2" w14:textId="77777777" w:rsidR="005F5674" w:rsidRDefault="00680ADE">
      <w:pPr>
        <w:ind w:left="1440" w:hanging="720"/>
      </w:pPr>
      <w:r>
        <w:t>(e)</w:t>
      </w:r>
      <w:r>
        <w:tab/>
        <w:t xml:space="preserve">request from the Data Subject only the minimum information necessary to provide the Services and treat such extracted information as Confidential </w:t>
      </w:r>
      <w:proofErr w:type="gramStart"/>
      <w:r>
        <w:t>Information;</w:t>
      </w:r>
      <w:proofErr w:type="gramEnd"/>
    </w:p>
    <w:p w14:paraId="64D39320" w14:textId="77777777" w:rsidR="005F5674" w:rsidRDefault="005F5674"/>
    <w:p w14:paraId="23C02E42" w14:textId="77777777" w:rsidR="005F5674" w:rsidRDefault="00680ADE">
      <w:pPr>
        <w:ind w:left="1440" w:hanging="720"/>
      </w:pPr>
      <w:r>
        <w:t>(f)</w:t>
      </w:r>
      <w:r>
        <w:tab/>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p>
    <w:p w14:paraId="1EBB6894" w14:textId="77777777" w:rsidR="005F5674" w:rsidRDefault="005F5674"/>
    <w:p w14:paraId="16A7BE00" w14:textId="77777777" w:rsidR="005F5674" w:rsidRDefault="00680ADE">
      <w:pPr>
        <w:ind w:left="1440" w:hanging="720"/>
      </w:pPr>
      <w:r>
        <w:t>(g)</w:t>
      </w:r>
      <w:r>
        <w:tab/>
        <w:t>take all reasonable steps to ensure the reliability and integrity of any of its personnel who have access to the Personal Data and ensure that its personnel:</w:t>
      </w:r>
    </w:p>
    <w:p w14:paraId="3C30BD5F" w14:textId="77777777" w:rsidR="005F5674" w:rsidRDefault="005F5674">
      <w:pPr>
        <w:ind w:left="1440"/>
      </w:pPr>
    </w:p>
    <w:p w14:paraId="34DDC845" w14:textId="77777777" w:rsidR="005F5674" w:rsidRDefault="00680ADE">
      <w:pPr>
        <w:ind w:left="2160" w:hanging="720"/>
      </w:pPr>
      <w:r>
        <w:t>(</w:t>
      </w:r>
      <w:proofErr w:type="spellStart"/>
      <w:r>
        <w:t>i</w:t>
      </w:r>
      <w:proofErr w:type="spellEnd"/>
      <w:r>
        <w:t>)</w:t>
      </w:r>
      <w:r>
        <w:tab/>
        <w:t>are aware of and comply with their ’s duties under this Annex 2 (Joint Controller Agreement) and those in respect of Confidential Information</w:t>
      </w:r>
    </w:p>
    <w:p w14:paraId="3B58C1FA" w14:textId="77777777" w:rsidR="005F5674" w:rsidRDefault="005F5674"/>
    <w:p w14:paraId="57167587" w14:textId="77777777" w:rsidR="005F5674" w:rsidRDefault="00680ADE">
      <w:pPr>
        <w:ind w:left="2160" w:hanging="720"/>
      </w:pPr>
      <w:r>
        <w:t>(ii)</w:t>
      </w:r>
      <w:r>
        <w:tab/>
        <w:t xml:space="preserve">are informed of the confidential nature of the Personal Data, are subject to appropriate obligations of confidentiality and do not publish, disclose or </w:t>
      </w:r>
      <w:r>
        <w:lastRenderedPageBreak/>
        <w:t xml:space="preserve">divulge any of the Personal Data to any third party where </w:t>
      </w:r>
      <w:proofErr w:type="gramStart"/>
      <w:r>
        <w:t>the that</w:t>
      </w:r>
      <w:proofErr w:type="gramEnd"/>
      <w:r>
        <w:t xml:space="preserve"> Party would not be permitted to do so;</w:t>
      </w:r>
    </w:p>
    <w:p w14:paraId="13A7907D" w14:textId="77777777" w:rsidR="005F5674" w:rsidRDefault="005F5674">
      <w:pPr>
        <w:ind w:left="2160"/>
      </w:pPr>
    </w:p>
    <w:p w14:paraId="1E5EDA16" w14:textId="77777777" w:rsidR="005F5674" w:rsidRDefault="00680ADE">
      <w:pPr>
        <w:ind w:left="2160" w:hanging="720"/>
      </w:pPr>
      <w:r>
        <w:t>(iii)</w:t>
      </w:r>
      <w:r>
        <w:tab/>
        <w:t xml:space="preserve">have undergone adequate training in the use, care, protection and handling of Personal Data as required by the applicable Data Protection </w:t>
      </w:r>
      <w:proofErr w:type="gramStart"/>
      <w:r>
        <w:t>Legislation;</w:t>
      </w:r>
      <w:proofErr w:type="gramEnd"/>
    </w:p>
    <w:p w14:paraId="37E14D31" w14:textId="77777777" w:rsidR="005F5674" w:rsidRDefault="005F5674">
      <w:pPr>
        <w:ind w:left="2160"/>
      </w:pPr>
    </w:p>
    <w:p w14:paraId="595B2A6A" w14:textId="77777777" w:rsidR="005F5674" w:rsidRDefault="00680ADE">
      <w:pPr>
        <w:ind w:left="1440" w:hanging="720"/>
      </w:pPr>
      <w:r>
        <w:t>(h)</w:t>
      </w:r>
      <w:r>
        <w:tab/>
        <w:t>ensure that it has in place Protective Measures as appropriate to protect against a Data Loss Event having taken account of the:</w:t>
      </w:r>
    </w:p>
    <w:p w14:paraId="197707A4" w14:textId="77777777" w:rsidR="005F5674" w:rsidRDefault="005F5674">
      <w:pPr>
        <w:ind w:left="720" w:firstLine="720"/>
      </w:pPr>
    </w:p>
    <w:p w14:paraId="066CDDF9" w14:textId="77777777" w:rsidR="005F5674" w:rsidRDefault="00680ADE">
      <w:pPr>
        <w:ind w:left="720" w:firstLine="720"/>
      </w:pPr>
      <w:r>
        <w:t>(</w:t>
      </w:r>
      <w:proofErr w:type="spellStart"/>
      <w:r>
        <w:t>i</w:t>
      </w:r>
      <w:proofErr w:type="spellEnd"/>
      <w:r>
        <w:t>)</w:t>
      </w:r>
      <w:r>
        <w:tab/>
        <w:t xml:space="preserve">nature of the data to be </w:t>
      </w:r>
      <w:proofErr w:type="gramStart"/>
      <w:r>
        <w:t>protected;</w:t>
      </w:r>
      <w:proofErr w:type="gramEnd"/>
    </w:p>
    <w:p w14:paraId="198C4033" w14:textId="77777777" w:rsidR="005F5674" w:rsidRDefault="00680ADE">
      <w:pPr>
        <w:ind w:left="720" w:firstLine="720"/>
      </w:pPr>
      <w:r>
        <w:t>(ii)</w:t>
      </w:r>
      <w:r>
        <w:tab/>
        <w:t xml:space="preserve">harm that might result from a Data Loss </w:t>
      </w:r>
      <w:proofErr w:type="gramStart"/>
      <w:r>
        <w:t>Event;</w:t>
      </w:r>
      <w:proofErr w:type="gramEnd"/>
    </w:p>
    <w:p w14:paraId="3487947C" w14:textId="77777777" w:rsidR="005F5674" w:rsidRDefault="00680ADE">
      <w:pPr>
        <w:ind w:left="720" w:firstLine="720"/>
      </w:pPr>
      <w:r>
        <w:t>(iii)</w:t>
      </w:r>
      <w:r>
        <w:tab/>
        <w:t>state of technological development; and</w:t>
      </w:r>
    </w:p>
    <w:p w14:paraId="5058161D" w14:textId="77777777" w:rsidR="005F5674" w:rsidRDefault="00680ADE">
      <w:pPr>
        <w:ind w:left="720" w:firstLine="720"/>
      </w:pPr>
      <w:r>
        <w:t>(iv)</w:t>
      </w:r>
      <w:r>
        <w:tab/>
        <w:t xml:space="preserve">cost of implementing any </w:t>
      </w:r>
      <w:proofErr w:type="gramStart"/>
      <w:r>
        <w:t>measures;</w:t>
      </w:r>
      <w:proofErr w:type="gramEnd"/>
    </w:p>
    <w:p w14:paraId="5E5531CC" w14:textId="77777777" w:rsidR="005F5674" w:rsidRDefault="005F5674">
      <w:pPr>
        <w:ind w:left="720" w:firstLine="720"/>
      </w:pPr>
    </w:p>
    <w:p w14:paraId="05644218" w14:textId="77777777" w:rsidR="005F5674" w:rsidRDefault="00680ADE">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7248442B" w14:textId="77777777" w:rsidR="005F5674" w:rsidRDefault="005F5674">
      <w:pPr>
        <w:ind w:left="1440"/>
      </w:pPr>
    </w:p>
    <w:p w14:paraId="596C2154" w14:textId="77777777" w:rsidR="005F5674" w:rsidRDefault="00680ADE">
      <w:pPr>
        <w:ind w:left="2160" w:hanging="720"/>
      </w:pPr>
      <w:r>
        <w:t>(</w:t>
      </w:r>
      <w:proofErr w:type="spellStart"/>
      <w:r>
        <w:t>i</w:t>
      </w:r>
      <w:proofErr w:type="spellEnd"/>
      <w:r>
        <w:t>)</w:t>
      </w:r>
      <w:r>
        <w:tab/>
        <w:t>ensure that it notifies the other Party as soon as it becomes aware of a Data Loss Event.</w:t>
      </w:r>
    </w:p>
    <w:p w14:paraId="24476929" w14:textId="77777777" w:rsidR="005F5674" w:rsidRDefault="005F5674">
      <w:pPr>
        <w:ind w:left="1440" w:firstLine="720"/>
      </w:pPr>
    </w:p>
    <w:p w14:paraId="629A14F9" w14:textId="77777777" w:rsidR="005F5674" w:rsidRDefault="00680ADE">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C236E72" w14:textId="77777777" w:rsidR="005F5674" w:rsidRDefault="005F5674"/>
    <w:p w14:paraId="0650EB07" w14:textId="77777777" w:rsidR="005F5674" w:rsidRDefault="00680ADE">
      <w:pPr>
        <w:pStyle w:val="Heading4"/>
        <w:rPr>
          <w:color w:val="auto"/>
        </w:rPr>
      </w:pPr>
      <w:r>
        <w:rPr>
          <w:color w:val="auto"/>
        </w:rPr>
        <w:t>3.</w:t>
      </w:r>
      <w:r>
        <w:rPr>
          <w:color w:val="auto"/>
        </w:rPr>
        <w:tab/>
        <w:t>Data Protection Breach</w:t>
      </w:r>
    </w:p>
    <w:p w14:paraId="69551653" w14:textId="77777777" w:rsidR="005F5674" w:rsidRDefault="00680ADE">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046637F" w14:textId="77777777" w:rsidR="005F5674" w:rsidRDefault="005F5674"/>
    <w:p w14:paraId="27639D7C" w14:textId="77777777" w:rsidR="005F5674" w:rsidRDefault="00680ADE">
      <w:pPr>
        <w:ind w:left="1440" w:hanging="720"/>
      </w:pPr>
      <w:r>
        <w:t xml:space="preserve">(a) </w:t>
      </w:r>
      <w:r>
        <w:tab/>
        <w:t xml:space="preserve">sufficient information and in a timescale which allows the other Party to meet any obligations to report a Personal Data Breach under the Data Protection </w:t>
      </w:r>
      <w:proofErr w:type="gramStart"/>
      <w:r>
        <w:t>Legislation;</w:t>
      </w:r>
      <w:proofErr w:type="gramEnd"/>
    </w:p>
    <w:p w14:paraId="339D672E" w14:textId="77777777" w:rsidR="005F5674" w:rsidRDefault="005F5674">
      <w:pPr>
        <w:ind w:left="1440"/>
      </w:pPr>
    </w:p>
    <w:p w14:paraId="388C1C5D" w14:textId="77777777" w:rsidR="005F5674" w:rsidRDefault="00680ADE">
      <w:pPr>
        <w:ind w:firstLine="720"/>
      </w:pPr>
      <w:r>
        <w:t>(b)</w:t>
      </w:r>
      <w:r>
        <w:tab/>
        <w:t>all reasonable assistance, including:</w:t>
      </w:r>
    </w:p>
    <w:p w14:paraId="7228EEA7" w14:textId="77777777" w:rsidR="005F5674" w:rsidRDefault="005F5674">
      <w:pPr>
        <w:ind w:firstLine="720"/>
      </w:pPr>
    </w:p>
    <w:p w14:paraId="275878D3" w14:textId="77777777" w:rsidR="005F5674" w:rsidRDefault="00680ADE">
      <w:pPr>
        <w:ind w:left="2160" w:hanging="720"/>
      </w:pPr>
      <w:r>
        <w:t>(</w:t>
      </w:r>
      <w:proofErr w:type="spellStart"/>
      <w:r>
        <w:t>i</w:t>
      </w:r>
      <w:proofErr w:type="spellEnd"/>
      <w:r>
        <w:t>)</w:t>
      </w:r>
      <w:r>
        <w:tab/>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p>
    <w:p w14:paraId="08200FBF" w14:textId="77777777" w:rsidR="005F5674" w:rsidRDefault="005F5674">
      <w:pPr>
        <w:ind w:left="2160"/>
      </w:pPr>
    </w:p>
    <w:p w14:paraId="5108C4BD" w14:textId="77777777" w:rsidR="005F5674" w:rsidRDefault="00680ADE">
      <w:pPr>
        <w:ind w:left="2160" w:hanging="720"/>
      </w:pPr>
      <w:r>
        <w:t>(ii)</w:t>
      </w:r>
      <w:r>
        <w:tab/>
        <w:t xml:space="preserve">co-operation with the other Party including taking such reasonable steps as are directed by the other Party to assist in the investigation, mitigation and remediation of a Personal Data </w:t>
      </w:r>
      <w:proofErr w:type="gramStart"/>
      <w:r>
        <w:t>Breach;</w:t>
      </w:r>
      <w:proofErr w:type="gramEnd"/>
    </w:p>
    <w:p w14:paraId="587062E5" w14:textId="77777777" w:rsidR="005F5674" w:rsidRDefault="005F5674"/>
    <w:p w14:paraId="6A8EDC08" w14:textId="77777777" w:rsidR="005F5674" w:rsidRDefault="00680ADE">
      <w:pPr>
        <w:ind w:left="2160" w:firstLine="720"/>
      </w:pPr>
      <w:r>
        <w:lastRenderedPageBreak/>
        <w:t>(iii)</w:t>
      </w:r>
      <w:r>
        <w:tab/>
        <w:t xml:space="preserve">co-ordination with the other Party regarding the management of public relations and public statements relating to the Personal Data </w:t>
      </w:r>
      <w:proofErr w:type="gramStart"/>
      <w:r>
        <w:t>Breach;</w:t>
      </w:r>
      <w:proofErr w:type="gramEnd"/>
    </w:p>
    <w:p w14:paraId="059C0DE1" w14:textId="77777777" w:rsidR="005F5674" w:rsidRDefault="005F5674">
      <w:pPr>
        <w:ind w:left="2160"/>
      </w:pPr>
    </w:p>
    <w:p w14:paraId="4ECD2497" w14:textId="77777777" w:rsidR="005F5674" w:rsidRDefault="00680ADE">
      <w:pPr>
        <w:ind w:left="2160"/>
      </w:pPr>
      <w:r>
        <w:t>and/or</w:t>
      </w:r>
    </w:p>
    <w:p w14:paraId="2F018302" w14:textId="77777777" w:rsidR="005F5674" w:rsidRDefault="005F5674">
      <w:pPr>
        <w:ind w:left="2160"/>
      </w:pPr>
    </w:p>
    <w:p w14:paraId="680BA882" w14:textId="77777777" w:rsidR="005F5674" w:rsidRDefault="00680ADE">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24C79B1" w14:textId="77777777" w:rsidR="005F5674" w:rsidRDefault="005F5674">
      <w:pPr>
        <w:ind w:left="2160"/>
      </w:pPr>
    </w:p>
    <w:p w14:paraId="6AE53571" w14:textId="77777777" w:rsidR="005F5674" w:rsidRDefault="00680ADE">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6402E74" w14:textId="77777777" w:rsidR="005F5674" w:rsidRDefault="005F5674">
      <w:pPr>
        <w:ind w:left="720"/>
      </w:pPr>
    </w:p>
    <w:p w14:paraId="17430277" w14:textId="77777777" w:rsidR="005F5674" w:rsidRDefault="00680ADE">
      <w:pPr>
        <w:ind w:left="720"/>
      </w:pPr>
      <w:r>
        <w:t>(a)</w:t>
      </w:r>
      <w:r>
        <w:tab/>
        <w:t xml:space="preserve">the nature of the Personal Data </w:t>
      </w:r>
      <w:proofErr w:type="gramStart"/>
      <w:r>
        <w:t>Breach;</w:t>
      </w:r>
      <w:proofErr w:type="gramEnd"/>
    </w:p>
    <w:p w14:paraId="00C25F7C" w14:textId="77777777" w:rsidR="005F5674" w:rsidRDefault="005F5674">
      <w:pPr>
        <w:ind w:left="720"/>
      </w:pPr>
    </w:p>
    <w:p w14:paraId="3BD5B9C4" w14:textId="77777777" w:rsidR="005F5674" w:rsidRDefault="00680ADE">
      <w:pPr>
        <w:ind w:firstLine="720"/>
      </w:pPr>
      <w:r>
        <w:t>(b)</w:t>
      </w:r>
      <w:r>
        <w:tab/>
        <w:t xml:space="preserve">the nature of Personal Data </w:t>
      </w:r>
      <w:proofErr w:type="gramStart"/>
      <w:r>
        <w:t>affected;</w:t>
      </w:r>
      <w:proofErr w:type="gramEnd"/>
    </w:p>
    <w:p w14:paraId="11446402" w14:textId="77777777" w:rsidR="005F5674" w:rsidRDefault="005F5674">
      <w:pPr>
        <w:ind w:firstLine="720"/>
      </w:pPr>
    </w:p>
    <w:p w14:paraId="07BD4A77" w14:textId="77777777" w:rsidR="005F5674" w:rsidRDefault="00680ADE">
      <w:pPr>
        <w:ind w:firstLine="720"/>
      </w:pPr>
      <w:r>
        <w:t>(c)</w:t>
      </w:r>
      <w:r>
        <w:tab/>
        <w:t xml:space="preserve">the categories and number of Data Subjects </w:t>
      </w:r>
      <w:proofErr w:type="gramStart"/>
      <w:r>
        <w:t>concerned;</w:t>
      </w:r>
      <w:proofErr w:type="gramEnd"/>
    </w:p>
    <w:p w14:paraId="03DE7161" w14:textId="77777777" w:rsidR="005F5674" w:rsidRDefault="005F5674">
      <w:pPr>
        <w:ind w:firstLine="720"/>
      </w:pPr>
    </w:p>
    <w:p w14:paraId="07B047EB" w14:textId="77777777" w:rsidR="005F5674" w:rsidRDefault="00680ADE">
      <w:pPr>
        <w:ind w:left="1440" w:hanging="720"/>
      </w:pPr>
      <w:r>
        <w:t>(d)</w:t>
      </w:r>
      <w:r>
        <w:tab/>
        <w:t xml:space="preserve">the name and contact details of the Supplier’s Data Protection Officer or other relevant contact from whom more information may be </w:t>
      </w:r>
      <w:proofErr w:type="gramStart"/>
      <w:r>
        <w:t>obtained;</w:t>
      </w:r>
      <w:proofErr w:type="gramEnd"/>
    </w:p>
    <w:p w14:paraId="10C3C642" w14:textId="77777777" w:rsidR="005F5674" w:rsidRDefault="005F5674">
      <w:pPr>
        <w:ind w:left="720" w:firstLine="720"/>
      </w:pPr>
    </w:p>
    <w:p w14:paraId="41999B2F" w14:textId="77777777" w:rsidR="005F5674" w:rsidRDefault="00680ADE">
      <w:pPr>
        <w:ind w:firstLine="720"/>
      </w:pPr>
      <w:r>
        <w:t>(e)</w:t>
      </w:r>
      <w:r>
        <w:tab/>
        <w:t>measures taken or proposed to be taken to address the Personal Data Breach; and</w:t>
      </w:r>
    </w:p>
    <w:p w14:paraId="3CE31F4F" w14:textId="77777777" w:rsidR="005F5674" w:rsidRDefault="005F5674">
      <w:pPr>
        <w:ind w:left="720" w:firstLine="720"/>
      </w:pPr>
    </w:p>
    <w:p w14:paraId="7034ED3E" w14:textId="77777777" w:rsidR="005F5674" w:rsidRDefault="00680ADE">
      <w:pPr>
        <w:ind w:firstLine="720"/>
      </w:pPr>
      <w:r>
        <w:t>(f)</w:t>
      </w:r>
      <w:r>
        <w:tab/>
        <w:t>describe the likely consequences of the Personal Data Breach.</w:t>
      </w:r>
    </w:p>
    <w:p w14:paraId="397E51AB" w14:textId="77777777" w:rsidR="005F5674" w:rsidRDefault="005F5674"/>
    <w:p w14:paraId="3E0FE78F" w14:textId="77777777" w:rsidR="005F5674" w:rsidRDefault="00680ADE">
      <w:pPr>
        <w:pStyle w:val="Heading4"/>
        <w:rPr>
          <w:color w:val="auto"/>
        </w:rPr>
      </w:pPr>
      <w:r>
        <w:rPr>
          <w:color w:val="auto"/>
        </w:rPr>
        <w:t>4.</w:t>
      </w:r>
      <w:r>
        <w:rPr>
          <w:color w:val="auto"/>
        </w:rPr>
        <w:tab/>
        <w:t>Audit</w:t>
      </w:r>
    </w:p>
    <w:p w14:paraId="03333C02" w14:textId="77777777" w:rsidR="005F5674" w:rsidRDefault="00680ADE">
      <w:r>
        <w:t>4.1</w:t>
      </w:r>
      <w:r>
        <w:tab/>
        <w:t>The Supplier shall permit:</w:t>
      </w:r>
      <w:r>
        <w:tab/>
      </w:r>
    </w:p>
    <w:p w14:paraId="5F91D125" w14:textId="77777777" w:rsidR="005F5674" w:rsidRDefault="005F5674"/>
    <w:p w14:paraId="78117007" w14:textId="77777777" w:rsidR="005F5674" w:rsidRDefault="00680ADE">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5003A97D" w14:textId="77777777" w:rsidR="005F5674" w:rsidRDefault="005F5674"/>
    <w:p w14:paraId="3789FE72" w14:textId="77777777" w:rsidR="005F5674" w:rsidRDefault="00680ADE">
      <w:pPr>
        <w:ind w:left="1440" w:hanging="720"/>
      </w:pPr>
      <w:r>
        <w:t>(b)</w:t>
      </w:r>
      <w:r>
        <w:tab/>
        <w:t xml:space="preserve">the Buyer, or a third-party auditor acting under the Buyer’s direction, access to premises at which the Personal Data is accessible or at which it </w:t>
      </w:r>
      <w:proofErr w:type="gramStart"/>
      <w:r>
        <w:t>is able to</w:t>
      </w:r>
      <w:proofErr w:type="gramEnd"/>
      <w:r>
        <w:t xml:space="preserve">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14:paraId="43F333AE" w14:textId="77777777" w:rsidR="005F5674" w:rsidRDefault="005F5674"/>
    <w:p w14:paraId="64127300" w14:textId="77777777" w:rsidR="005F5674" w:rsidRDefault="00680ADE">
      <w:pPr>
        <w:ind w:left="720" w:hanging="720"/>
      </w:pPr>
      <w:r>
        <w:t>4.2</w:t>
      </w:r>
      <w:r>
        <w:tab/>
        <w:t>The Buyer may, in its sole discretion, require the Supplier to provide evidence of the Supplier’s compliance with Clause 4.1 in lieu of conducting such an audit, assessment or inspection.</w:t>
      </w:r>
    </w:p>
    <w:p w14:paraId="32D2AA35" w14:textId="77777777" w:rsidR="005F5674" w:rsidRDefault="005F5674"/>
    <w:p w14:paraId="56D8799C" w14:textId="77777777" w:rsidR="005F5674" w:rsidRDefault="00680ADE">
      <w:pPr>
        <w:pStyle w:val="Heading4"/>
        <w:rPr>
          <w:color w:val="auto"/>
        </w:rPr>
      </w:pPr>
      <w:r>
        <w:rPr>
          <w:color w:val="auto"/>
        </w:rPr>
        <w:t>5.</w:t>
      </w:r>
      <w:r>
        <w:rPr>
          <w:color w:val="auto"/>
        </w:rPr>
        <w:tab/>
        <w:t>Impact Assessments</w:t>
      </w:r>
    </w:p>
    <w:p w14:paraId="49BE4504" w14:textId="77777777" w:rsidR="005F5674" w:rsidRDefault="00680ADE">
      <w:r>
        <w:t>5.1</w:t>
      </w:r>
      <w:r>
        <w:tab/>
        <w:t>The Parties shall:</w:t>
      </w:r>
    </w:p>
    <w:p w14:paraId="236A8126" w14:textId="77777777" w:rsidR="005F5674" w:rsidRDefault="005F5674"/>
    <w:p w14:paraId="47E94859" w14:textId="77777777" w:rsidR="005F5674" w:rsidRDefault="00680ADE">
      <w:pPr>
        <w:ind w:left="1440" w:hanging="720"/>
      </w:pPr>
      <w:r>
        <w:t>(a)</w:t>
      </w:r>
      <w:r>
        <w:tab/>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w:t>
      </w:r>
    </w:p>
    <w:p w14:paraId="5B896B5A" w14:textId="77777777" w:rsidR="005F5674" w:rsidRDefault="005F5674"/>
    <w:p w14:paraId="41E8408D" w14:textId="77777777" w:rsidR="005F5674" w:rsidRDefault="00680ADE">
      <w:pPr>
        <w:ind w:left="1440" w:hanging="720"/>
      </w:pPr>
      <w:r>
        <w:t>(b)</w:t>
      </w:r>
      <w:r>
        <w:tab/>
        <w:t>maintain full and complete records of all Processing carried out in respect of the Personal Data in connection with the contract, in accordance with the terms of Article 30 GDPR.</w:t>
      </w:r>
    </w:p>
    <w:p w14:paraId="0601276F" w14:textId="77777777" w:rsidR="005F5674" w:rsidRDefault="005F5674"/>
    <w:p w14:paraId="7552885D" w14:textId="77777777" w:rsidR="005F5674" w:rsidRDefault="00680ADE">
      <w:pPr>
        <w:pStyle w:val="Heading4"/>
        <w:rPr>
          <w:color w:val="auto"/>
        </w:rPr>
      </w:pPr>
      <w:r>
        <w:rPr>
          <w:color w:val="auto"/>
        </w:rPr>
        <w:t>6.</w:t>
      </w:r>
      <w:r>
        <w:rPr>
          <w:color w:val="auto"/>
        </w:rPr>
        <w:tab/>
        <w:t xml:space="preserve"> ICO Guidance</w:t>
      </w:r>
    </w:p>
    <w:p w14:paraId="7A465D14" w14:textId="77777777" w:rsidR="005F5674" w:rsidRDefault="00680ADE">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786DCDDC" w14:textId="77777777" w:rsidR="005F5674" w:rsidRDefault="005F5674"/>
    <w:p w14:paraId="277F6C08" w14:textId="77777777" w:rsidR="005F5674" w:rsidRDefault="00680ADE">
      <w:pPr>
        <w:pStyle w:val="Heading4"/>
        <w:rPr>
          <w:color w:val="auto"/>
        </w:rPr>
      </w:pPr>
      <w:r>
        <w:rPr>
          <w:color w:val="auto"/>
        </w:rPr>
        <w:t xml:space="preserve">7. </w:t>
      </w:r>
      <w:r>
        <w:rPr>
          <w:color w:val="auto"/>
        </w:rPr>
        <w:tab/>
        <w:t>Liabilities for Data Protection Breach</w:t>
      </w:r>
    </w:p>
    <w:p w14:paraId="5E60332A" w14:textId="77777777" w:rsidR="005F5674" w:rsidRDefault="00680ADE">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w:t>
      </w:r>
    </w:p>
    <w:p w14:paraId="2B97BE4E" w14:textId="77777777" w:rsidR="005F5674" w:rsidRDefault="005F5674"/>
    <w:p w14:paraId="776C8D53" w14:textId="77777777" w:rsidR="005F5674" w:rsidRDefault="00680ADE">
      <w:pPr>
        <w:pStyle w:val="NormalWeb"/>
      </w:pPr>
      <w:r>
        <w:t xml:space="preserve">7.1 </w:t>
      </w:r>
      <w:r>
        <w:tab/>
        <w:t>If financial penalties are imposed by the Information Commissioner on either the Buyer or the Supplier for a Personal Data Breach ("Financial Penalties") then the following shall occur:</w:t>
      </w:r>
    </w:p>
    <w:p w14:paraId="1A76A4F0" w14:textId="77777777" w:rsidR="005F5674" w:rsidRDefault="005F5674"/>
    <w:p w14:paraId="54A2415C" w14:textId="77777777" w:rsidR="005F5674" w:rsidRDefault="00680ADE">
      <w:r>
        <w:rPr>
          <w:lang w:eastAsia="en-US"/>
        </w:rPr>
        <w:t xml:space="preserve">(a) if in the view of the Information Commissioner, the Buyer is responsible for the Personal Data Breach, in that it is caused </w:t>
      </w:r>
      <w:proofErr w:type="gramStart"/>
      <w:r>
        <w:rPr>
          <w:lang w:eastAsia="en-US"/>
        </w:rPr>
        <w:t>as a result of</w:t>
      </w:r>
      <w:proofErr w:type="gramEnd"/>
      <w:r>
        <w:rPr>
          <w:lang w:eastAsia="en-US"/>
        </w:rP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rPr>
          <w:lang w:eastAsia="en-US"/>
        </w:rPr>
        <w:t>cost</w:t>
      </w:r>
      <w:proofErr w:type="gramEnd"/>
      <w:r>
        <w:rPr>
          <w:lang w:eastAsia="en-US"/>
        </w:rPr>
        <w:t xml:space="preserve"> when necessary, an independent third party to conduct an audit of any such Personal Data Breach. The Supplier shall provide to the Buyer and its </w:t>
      </w:r>
      <w:proofErr w:type="gramStart"/>
      <w:r>
        <w:rPr>
          <w:lang w:eastAsia="en-US"/>
        </w:rPr>
        <w:t>third party</w:t>
      </w:r>
      <w:proofErr w:type="gramEnd"/>
      <w:r>
        <w:rPr>
          <w:lang w:eastAsia="en-US"/>
        </w:rPr>
        <w:t xml:space="preserve"> investigators and auditors, on request and at the Supplier's reasonable cost, full cooperation and access to conduct a thorough audit of such Personal Data Breach;</w:t>
      </w:r>
    </w:p>
    <w:p w14:paraId="6FB24CC5" w14:textId="77777777" w:rsidR="005F5674" w:rsidRDefault="005F5674"/>
    <w:p w14:paraId="2638266B" w14:textId="77777777" w:rsidR="005F5674" w:rsidRDefault="00680ADE">
      <w:r>
        <w:rPr>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rPr>
          <w:lang w:eastAsia="en-US"/>
        </w:rPr>
        <w:t>cooperation</w:t>
      </w:r>
      <w:proofErr w:type="gramEnd"/>
      <w:r>
        <w:rPr>
          <w:lang w:eastAsia="en-US"/>
        </w:rPr>
        <w:t xml:space="preserve"> and access to conduct a thorough audit of such Personal Data Breach; or</w:t>
      </w:r>
    </w:p>
    <w:p w14:paraId="53268C4B" w14:textId="77777777" w:rsidR="005F5674" w:rsidRDefault="005F5674"/>
    <w:p w14:paraId="08E106A5" w14:textId="77777777" w:rsidR="005F5674" w:rsidRDefault="00680ADE">
      <w:r>
        <w:rPr>
          <w:rFonts w:eastAsia="Times New Roman"/>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w:t>
      </w:r>
      <w:r>
        <w:rPr>
          <w:rFonts w:eastAsia="Times New Roman"/>
          <w:lang w:eastAsia="en-US"/>
        </w:rPr>
        <w:lastRenderedPageBreak/>
        <w:t xml:space="preserve">Penalties equally if no responsibility for the Personal Data Breach can be apportioned. </w:t>
      </w:r>
      <w:proofErr w:type="gramStart"/>
      <w:r>
        <w:rPr>
          <w:rFonts w:eastAsia="Times New Roman"/>
          <w:lang w:eastAsia="en-US"/>
        </w:rPr>
        <w:t>In the event that</w:t>
      </w:r>
      <w:proofErr w:type="gramEnd"/>
      <w:r>
        <w:rPr>
          <w:rFonts w:eastAsia="Times New Roman"/>
          <w:lang w:eastAsia="en-US"/>
        </w:rPr>
        <w:t xml:space="preserve"> the Parties do not agree such apportionment then such Dispute shall be referred to the </w:t>
      </w:r>
      <w:r>
        <w:rPr>
          <w:lang w:eastAsia="en-US"/>
        </w:rPr>
        <w:t>procedure set out in clauses 8.66 to 8.79 of the Framework terms (Managing disputes).</w:t>
      </w:r>
    </w:p>
    <w:p w14:paraId="3BC8A2E9" w14:textId="77777777" w:rsidR="005F5674" w:rsidRDefault="005F5674"/>
    <w:p w14:paraId="1B1E9C9D" w14:textId="77777777" w:rsidR="005F5674" w:rsidRDefault="00680ADE">
      <w:r>
        <w:rPr>
          <w:lang w:eastAsia="en-US"/>
        </w:rPr>
        <w:t xml:space="preserve">7.2 </w:t>
      </w:r>
      <w:r>
        <w:rPr>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006AEFF5" w14:textId="77777777" w:rsidR="005F5674" w:rsidRDefault="005F5674"/>
    <w:p w14:paraId="218430F8" w14:textId="77777777" w:rsidR="005F5674" w:rsidRDefault="00680ADE">
      <w:r>
        <w:rPr>
          <w:lang w:eastAsia="en-US"/>
        </w:rPr>
        <w:t xml:space="preserve">7.3 </w:t>
      </w:r>
      <w:r>
        <w:rPr>
          <w:lang w:eastAsia="en-US"/>
        </w:rPr>
        <w:tab/>
        <w:t xml:space="preserve">In respect of any losses, cost claims or expenses incurred by either Party </w:t>
      </w:r>
      <w:proofErr w:type="gramStart"/>
      <w:r>
        <w:rPr>
          <w:lang w:eastAsia="en-US"/>
        </w:rPr>
        <w:t>as a result of</w:t>
      </w:r>
      <w:proofErr w:type="gramEnd"/>
      <w:r>
        <w:rPr>
          <w:lang w:eastAsia="en-US"/>
        </w:rPr>
        <w:t xml:space="preserve"> a Personal Data Breach (the “Claim Losses”):</w:t>
      </w:r>
    </w:p>
    <w:p w14:paraId="67575EF4" w14:textId="77777777" w:rsidR="005F5674" w:rsidRDefault="005F5674"/>
    <w:p w14:paraId="1DE29936" w14:textId="77777777" w:rsidR="005F5674" w:rsidRDefault="00680ADE">
      <w:r>
        <w:rPr>
          <w:lang w:eastAsia="en-US"/>
        </w:rPr>
        <w:t xml:space="preserve">(a) if the Buyer is responsible for the relevant Personal Data Breach, then the Buyer shall be responsible for the Claim </w:t>
      </w:r>
      <w:proofErr w:type="gramStart"/>
      <w:r>
        <w:rPr>
          <w:lang w:eastAsia="en-US"/>
        </w:rPr>
        <w:t>Losses;</w:t>
      </w:r>
      <w:proofErr w:type="gramEnd"/>
    </w:p>
    <w:p w14:paraId="191C7141" w14:textId="77777777" w:rsidR="005F5674" w:rsidRDefault="005F5674"/>
    <w:p w14:paraId="73318CC6" w14:textId="77777777" w:rsidR="005F5674" w:rsidRDefault="00680ADE">
      <w:r>
        <w:rPr>
          <w:lang w:eastAsia="en-US"/>
        </w:rPr>
        <w:t>(b) if the Supplier is responsible for the relevant Personal Data Breach, then the Supplier shall be responsible for the Claim Losses: and </w:t>
      </w:r>
    </w:p>
    <w:p w14:paraId="4EF270AE" w14:textId="77777777" w:rsidR="005F5674" w:rsidRDefault="005F5674"/>
    <w:p w14:paraId="45D99AA7" w14:textId="77777777" w:rsidR="005F5674" w:rsidRDefault="00680ADE">
      <w:r>
        <w:rPr>
          <w:lang w:eastAsia="en-US"/>
        </w:rPr>
        <w:t>(c) if responsibility for the relevant Personal Data Breach is unclear, then the Buyer and the Supplier shall be responsible for the Claim Losses equally.</w:t>
      </w:r>
    </w:p>
    <w:p w14:paraId="480ED188" w14:textId="77777777" w:rsidR="005F5674" w:rsidRDefault="005F5674"/>
    <w:p w14:paraId="7B893894" w14:textId="77777777" w:rsidR="005F5674" w:rsidRDefault="00680ADE">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5A4C6E5D" w14:textId="77777777" w:rsidR="005F5674" w:rsidRDefault="005F5674"/>
    <w:p w14:paraId="4132D581" w14:textId="77777777" w:rsidR="005F5674" w:rsidRDefault="00680ADE">
      <w:pPr>
        <w:pStyle w:val="Heading4"/>
        <w:spacing w:before="0" w:after="0" w:line="480" w:lineRule="auto"/>
      </w:pPr>
      <w:r>
        <w:t xml:space="preserve">8. </w:t>
      </w:r>
      <w:r>
        <w:rPr>
          <w:color w:val="auto"/>
        </w:rPr>
        <w:tab/>
        <w:t>Not used</w:t>
      </w:r>
    </w:p>
    <w:p w14:paraId="56358908" w14:textId="77777777" w:rsidR="005F5674" w:rsidRDefault="00680ADE">
      <w:pPr>
        <w:pStyle w:val="Heading4"/>
        <w:rPr>
          <w:color w:val="auto"/>
        </w:rPr>
      </w:pPr>
      <w:r>
        <w:rPr>
          <w:color w:val="auto"/>
        </w:rPr>
        <w:t>9.</w:t>
      </w:r>
      <w:r>
        <w:rPr>
          <w:color w:val="auto"/>
        </w:rPr>
        <w:tab/>
        <w:t>Termination</w:t>
      </w:r>
    </w:p>
    <w:p w14:paraId="5ED6E992" w14:textId="77777777" w:rsidR="005F5674" w:rsidRDefault="00680ADE">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75CB74EE" w14:textId="77777777" w:rsidR="005F5674" w:rsidRDefault="005F5674"/>
    <w:p w14:paraId="1951C812" w14:textId="77777777" w:rsidR="005F5674" w:rsidRDefault="00680ADE">
      <w:pPr>
        <w:pStyle w:val="Heading4"/>
        <w:rPr>
          <w:color w:val="auto"/>
        </w:rPr>
      </w:pPr>
      <w:r>
        <w:rPr>
          <w:color w:val="auto"/>
        </w:rPr>
        <w:t>10.</w:t>
      </w:r>
      <w:r>
        <w:rPr>
          <w:color w:val="auto"/>
        </w:rPr>
        <w:tab/>
        <w:t>Sub-Processing</w:t>
      </w:r>
    </w:p>
    <w:p w14:paraId="71752CE2" w14:textId="77777777" w:rsidR="005F5674" w:rsidRDefault="00680ADE">
      <w:pPr>
        <w:ind w:left="720" w:hanging="720"/>
      </w:pPr>
      <w:r>
        <w:t>10.1</w:t>
      </w:r>
      <w:r>
        <w:tab/>
        <w:t>In respect of any Processing of Personal Data performed by a third party on behalf of a Party, that Party shall:</w:t>
      </w:r>
    </w:p>
    <w:p w14:paraId="3747CBD8" w14:textId="77777777" w:rsidR="005F5674" w:rsidRDefault="005F5674"/>
    <w:p w14:paraId="5863ED1E" w14:textId="77777777" w:rsidR="005F5674" w:rsidRDefault="00680ADE">
      <w:pPr>
        <w:ind w:left="1440" w:hanging="720"/>
      </w:pPr>
      <w:r>
        <w:t>(a)</w:t>
      </w:r>
      <w:r>
        <w:tab/>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w:t>
      </w:r>
    </w:p>
    <w:p w14:paraId="0C8C74F6" w14:textId="77777777" w:rsidR="005F5674" w:rsidRDefault="005F5674">
      <w:pPr>
        <w:ind w:left="1440"/>
      </w:pPr>
    </w:p>
    <w:p w14:paraId="036FCBC6" w14:textId="77777777" w:rsidR="005F5674" w:rsidRDefault="00680ADE">
      <w:pPr>
        <w:ind w:left="1440" w:hanging="720"/>
      </w:pPr>
      <w:r>
        <w:t>(b)</w:t>
      </w:r>
      <w:r>
        <w:tab/>
        <w:t>ensure that a suitable agreement is in place with the third party as required under applicable Data Protection Legislation.</w:t>
      </w:r>
    </w:p>
    <w:p w14:paraId="72E92C90" w14:textId="77777777" w:rsidR="005F5674" w:rsidRDefault="005F5674">
      <w:pPr>
        <w:ind w:left="720" w:firstLine="720"/>
      </w:pPr>
    </w:p>
    <w:p w14:paraId="765F9502" w14:textId="77777777" w:rsidR="005F5674" w:rsidRDefault="00680ADE">
      <w:pPr>
        <w:pStyle w:val="Heading4"/>
        <w:rPr>
          <w:color w:val="auto"/>
        </w:rPr>
      </w:pPr>
      <w:r>
        <w:rPr>
          <w:color w:val="auto"/>
        </w:rPr>
        <w:lastRenderedPageBreak/>
        <w:t>11. Data Retention</w:t>
      </w:r>
    </w:p>
    <w:p w14:paraId="4BE461F1" w14:textId="77777777" w:rsidR="005F5674" w:rsidRDefault="00680ADE">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5F5674">
      <w:footerReference w:type="default" r:id="rId31"/>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4F001" w14:textId="77777777" w:rsidR="00820871" w:rsidRDefault="00820871">
      <w:pPr>
        <w:spacing w:line="240" w:lineRule="auto"/>
      </w:pPr>
      <w:r>
        <w:separator/>
      </w:r>
    </w:p>
  </w:endnote>
  <w:endnote w:type="continuationSeparator" w:id="0">
    <w:p w14:paraId="76C7ED4C" w14:textId="77777777" w:rsidR="00820871" w:rsidRDefault="00820871">
      <w:pPr>
        <w:spacing w:line="240" w:lineRule="auto"/>
      </w:pPr>
      <w:r>
        <w:continuationSeparator/>
      </w:r>
    </w:p>
  </w:endnote>
  <w:endnote w:type="continuationNotice" w:id="1">
    <w:p w14:paraId="3DE07506" w14:textId="77777777" w:rsidR="00820871" w:rsidRDefault="008208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LT Pro">
    <w:panose1 w:val="020B0504020202020204"/>
    <w:charset w:val="4D"/>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8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D1562" w14:textId="77777777" w:rsidR="000D6770" w:rsidRDefault="00680ADE">
    <w:pPr>
      <w:pStyle w:val="Footer"/>
      <w:ind w:right="360"/>
    </w:pPr>
    <w:r>
      <w:rPr>
        <w:noProof/>
      </w:rPr>
      <mc:AlternateContent>
        <mc:Choice Requires="wps">
          <w:drawing>
            <wp:anchor distT="0" distB="0" distL="114300" distR="114300" simplePos="0" relativeHeight="251658240" behindDoc="0" locked="0" layoutInCell="1" allowOverlap="1" wp14:anchorId="07D313CB" wp14:editId="47AB1668">
              <wp:simplePos x="0" y="0"/>
              <wp:positionH relativeFrom="margin">
                <wp:align>right</wp:align>
              </wp:positionH>
              <wp:positionV relativeFrom="paragraph">
                <wp:posOffset>720</wp:posOffset>
              </wp:positionV>
              <wp:extent cx="14760" cy="14760"/>
              <wp:effectExtent l="0" t="0" r="10640" b="10640"/>
              <wp:wrapTopAndBottom/>
              <wp:docPr id="1" name="Frame1"/>
              <wp:cNvGraphicFramePr/>
              <a:graphic xmlns:a="http://schemas.openxmlformats.org/drawingml/2006/main">
                <a:graphicData uri="http://schemas.microsoft.com/office/word/2010/wordprocessingShape">
                  <wps:wsp>
                    <wps:cNvSpPr txBox="1"/>
                    <wps:spPr>
                      <a:xfrm>
                        <a:off x="0" y="0"/>
                        <a:ext cx="14760" cy="14760"/>
                      </a:xfrm>
                      <a:prstGeom prst="rect">
                        <a:avLst/>
                      </a:prstGeom>
                      <a:noFill/>
                      <a:ln>
                        <a:noFill/>
                        <a:prstDash/>
                      </a:ln>
                    </wps:spPr>
                    <wps:txbx>
                      <w:txbxContent>
                        <w:p w14:paraId="09876E73" w14:textId="77777777" w:rsidR="000D6770" w:rsidRDefault="00680AD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wrap="none" lIns="0" tIns="0" rIns="0" bIns="0" compatLnSpc="0">
                      <a:spAutoFit/>
                    </wps:bodyPr>
                  </wps:wsp>
                </a:graphicData>
              </a:graphic>
            </wp:anchor>
          </w:drawing>
        </mc:Choice>
        <mc:Fallback>
          <w:pict>
            <v:shapetype w14:anchorId="07D313CB" id="_x0000_t202" coordsize="21600,21600" o:spt="202" path="m,l,21600r21600,l21600,xe">
              <v:stroke joinstyle="miter"/>
              <v:path gradientshapeok="t" o:connecttype="rect"/>
            </v:shapetype>
            <v:shape id="Frame1" o:spid="_x0000_s1026" type="#_x0000_t202" style="position:absolute;margin-left:-50.05pt;margin-top:.05pt;width:1.15pt;height:1.15pt;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" filled="f" stroked="f">
              <v:textbox style="mso-fit-shape-to-text:t" inset="0,0,0,0">
                <w:txbxContent>
                  <w:p w14:paraId="09876E73" w14:textId="77777777" w:rsidR="000D6770" w:rsidRDefault="00680AD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AA7D2" w14:textId="77777777" w:rsidR="00820871" w:rsidRDefault="00820871">
      <w:pPr>
        <w:spacing w:line="240" w:lineRule="auto"/>
      </w:pPr>
      <w:r>
        <w:rPr>
          <w:color w:val="000000"/>
        </w:rPr>
        <w:separator/>
      </w:r>
    </w:p>
  </w:footnote>
  <w:footnote w:type="continuationSeparator" w:id="0">
    <w:p w14:paraId="64F56826" w14:textId="77777777" w:rsidR="00820871" w:rsidRDefault="00820871">
      <w:pPr>
        <w:spacing w:line="240" w:lineRule="auto"/>
      </w:pPr>
      <w:r>
        <w:continuationSeparator/>
      </w:r>
    </w:p>
  </w:footnote>
  <w:footnote w:type="continuationNotice" w:id="1">
    <w:p w14:paraId="3E5097B7" w14:textId="77777777" w:rsidR="00820871" w:rsidRDefault="0082087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227F"/>
    <w:multiLevelType w:val="hybridMultilevel"/>
    <w:tmpl w:val="F37CA0F0"/>
    <w:lvl w:ilvl="0" w:tplc="66ECE5A2">
      <w:start w:val="1"/>
      <w:numFmt w:val="bullet"/>
      <w:lvlText w:val="-"/>
      <w:lvlJc w:val="left"/>
      <w:pPr>
        <w:ind w:left="720" w:hanging="360"/>
      </w:pPr>
      <w:rPr>
        <w:rFonts w:ascii="Avenir Next LT Pro" w:eastAsia="MS Gothic" w:hAnsi="Avenir Next LT Pro"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D39C4"/>
    <w:multiLevelType w:val="multilevel"/>
    <w:tmpl w:val="A59CCA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BBA09F8"/>
    <w:multiLevelType w:val="multilevel"/>
    <w:tmpl w:val="5F56F35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A27A2E"/>
    <w:multiLevelType w:val="multilevel"/>
    <w:tmpl w:val="F9388D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00A7F2A"/>
    <w:multiLevelType w:val="multilevel"/>
    <w:tmpl w:val="65AE3B9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10FB12E2"/>
    <w:multiLevelType w:val="multilevel"/>
    <w:tmpl w:val="4ACCD13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14EC4C17"/>
    <w:multiLevelType w:val="multilevel"/>
    <w:tmpl w:val="BE28AD9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4F3668C"/>
    <w:multiLevelType w:val="multilevel"/>
    <w:tmpl w:val="A34E5F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6877FAF"/>
    <w:multiLevelType w:val="multilevel"/>
    <w:tmpl w:val="6E3A038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7722170"/>
    <w:multiLevelType w:val="multilevel"/>
    <w:tmpl w:val="FB547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804374"/>
    <w:multiLevelType w:val="multilevel"/>
    <w:tmpl w:val="F1D63D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79970F0"/>
    <w:multiLevelType w:val="hybridMultilevel"/>
    <w:tmpl w:val="E7C4F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1D11CB"/>
    <w:multiLevelType w:val="multilevel"/>
    <w:tmpl w:val="B41C136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1CC9126E"/>
    <w:multiLevelType w:val="multilevel"/>
    <w:tmpl w:val="52D878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E403CD5"/>
    <w:multiLevelType w:val="multilevel"/>
    <w:tmpl w:val="084CC44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228219B5"/>
    <w:multiLevelType w:val="multilevel"/>
    <w:tmpl w:val="E14CA1C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248F375E"/>
    <w:multiLevelType w:val="multilevel"/>
    <w:tmpl w:val="C3564F6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2524217E"/>
    <w:multiLevelType w:val="multilevel"/>
    <w:tmpl w:val="472E07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53176F9"/>
    <w:multiLevelType w:val="multilevel"/>
    <w:tmpl w:val="0836774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28D64A9A"/>
    <w:multiLevelType w:val="hybridMultilevel"/>
    <w:tmpl w:val="4742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BF22AA"/>
    <w:multiLevelType w:val="multilevel"/>
    <w:tmpl w:val="3120E35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2B3A0399"/>
    <w:multiLevelType w:val="multilevel"/>
    <w:tmpl w:val="4A8E87B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EC1559B"/>
    <w:multiLevelType w:val="multilevel"/>
    <w:tmpl w:val="E080477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EDA140F"/>
    <w:multiLevelType w:val="hybridMultilevel"/>
    <w:tmpl w:val="6F742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6203BB"/>
    <w:multiLevelType w:val="hybridMultilevel"/>
    <w:tmpl w:val="B9E4E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A33DC4"/>
    <w:multiLevelType w:val="hybridMultilevel"/>
    <w:tmpl w:val="965CA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840944"/>
    <w:multiLevelType w:val="multilevel"/>
    <w:tmpl w:val="5C1C19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500595C"/>
    <w:multiLevelType w:val="hybridMultilevel"/>
    <w:tmpl w:val="E95AA8E2"/>
    <w:lvl w:ilvl="0" w:tplc="0BFE871E">
      <w:start w:val="1"/>
      <w:numFmt w:val="decimal"/>
      <w:lvlText w:val="%1."/>
      <w:lvlJc w:val="left"/>
      <w:pPr>
        <w:ind w:left="720" w:hanging="360"/>
      </w:pPr>
      <w:rPr>
        <w:rFonts w:eastAsia="Calibr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837518"/>
    <w:multiLevelType w:val="multilevel"/>
    <w:tmpl w:val="DEEA5A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5C3051D"/>
    <w:multiLevelType w:val="hybridMultilevel"/>
    <w:tmpl w:val="C7CEB3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802A97"/>
    <w:multiLevelType w:val="hybridMultilevel"/>
    <w:tmpl w:val="31F00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796CC1"/>
    <w:multiLevelType w:val="multilevel"/>
    <w:tmpl w:val="136A41F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4DF43C8B"/>
    <w:multiLevelType w:val="multilevel"/>
    <w:tmpl w:val="D0D2A18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531A472E"/>
    <w:multiLevelType w:val="multilevel"/>
    <w:tmpl w:val="0BDAFF3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4" w15:restartNumberingAfterBreak="0">
    <w:nsid w:val="57506F1F"/>
    <w:multiLevelType w:val="multilevel"/>
    <w:tmpl w:val="79B0E1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59D50F9C"/>
    <w:multiLevelType w:val="multilevel"/>
    <w:tmpl w:val="04F2316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5AD725B7"/>
    <w:multiLevelType w:val="multilevel"/>
    <w:tmpl w:val="4612AF3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5ED54E42"/>
    <w:multiLevelType w:val="multilevel"/>
    <w:tmpl w:val="DE46AB8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61DB65F1"/>
    <w:multiLevelType w:val="multilevel"/>
    <w:tmpl w:val="3D567A2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694D6B64"/>
    <w:multiLevelType w:val="multilevel"/>
    <w:tmpl w:val="607CDF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DAB12C2"/>
    <w:multiLevelType w:val="multilevel"/>
    <w:tmpl w:val="7CC4F08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6DFA71DC"/>
    <w:multiLevelType w:val="multilevel"/>
    <w:tmpl w:val="B686B0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3763F8B"/>
    <w:multiLevelType w:val="multilevel"/>
    <w:tmpl w:val="E98E7D6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3" w15:restartNumberingAfterBreak="0">
    <w:nsid w:val="74C57045"/>
    <w:multiLevelType w:val="multilevel"/>
    <w:tmpl w:val="98A22F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15:restartNumberingAfterBreak="0">
    <w:nsid w:val="77913BF7"/>
    <w:multiLevelType w:val="multilevel"/>
    <w:tmpl w:val="6C02EF9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5" w15:restartNumberingAfterBreak="0">
    <w:nsid w:val="77D03208"/>
    <w:multiLevelType w:val="multilevel"/>
    <w:tmpl w:val="33EA1A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F5C4B75"/>
    <w:multiLevelType w:val="multilevel"/>
    <w:tmpl w:val="2174C0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8"/>
  </w:num>
  <w:num w:numId="2">
    <w:abstractNumId w:val="45"/>
  </w:num>
  <w:num w:numId="3">
    <w:abstractNumId w:val="44"/>
  </w:num>
  <w:num w:numId="4">
    <w:abstractNumId w:val="46"/>
  </w:num>
  <w:num w:numId="5">
    <w:abstractNumId w:val="34"/>
  </w:num>
  <w:num w:numId="6">
    <w:abstractNumId w:val="38"/>
  </w:num>
  <w:num w:numId="7">
    <w:abstractNumId w:val="1"/>
  </w:num>
  <w:num w:numId="8">
    <w:abstractNumId w:val="13"/>
  </w:num>
  <w:num w:numId="9">
    <w:abstractNumId w:val="26"/>
  </w:num>
  <w:num w:numId="10">
    <w:abstractNumId w:val="2"/>
  </w:num>
  <w:num w:numId="11">
    <w:abstractNumId w:val="14"/>
  </w:num>
  <w:num w:numId="12">
    <w:abstractNumId w:val="16"/>
  </w:num>
  <w:num w:numId="13">
    <w:abstractNumId w:val="33"/>
  </w:num>
  <w:num w:numId="14">
    <w:abstractNumId w:val="4"/>
  </w:num>
  <w:num w:numId="15">
    <w:abstractNumId w:val="15"/>
  </w:num>
  <w:num w:numId="16">
    <w:abstractNumId w:val="32"/>
  </w:num>
  <w:num w:numId="17">
    <w:abstractNumId w:val="12"/>
  </w:num>
  <w:num w:numId="18">
    <w:abstractNumId w:val="40"/>
  </w:num>
  <w:num w:numId="19">
    <w:abstractNumId w:val="37"/>
  </w:num>
  <w:num w:numId="20">
    <w:abstractNumId w:val="18"/>
  </w:num>
  <w:num w:numId="21">
    <w:abstractNumId w:val="35"/>
  </w:num>
  <w:num w:numId="22">
    <w:abstractNumId w:val="39"/>
  </w:num>
  <w:num w:numId="23">
    <w:abstractNumId w:val="41"/>
  </w:num>
  <w:num w:numId="24">
    <w:abstractNumId w:val="17"/>
  </w:num>
  <w:num w:numId="25">
    <w:abstractNumId w:val="6"/>
  </w:num>
  <w:num w:numId="26">
    <w:abstractNumId w:val="31"/>
  </w:num>
  <w:num w:numId="27">
    <w:abstractNumId w:val="7"/>
  </w:num>
  <w:num w:numId="28">
    <w:abstractNumId w:val="21"/>
  </w:num>
  <w:num w:numId="29">
    <w:abstractNumId w:val="10"/>
  </w:num>
  <w:num w:numId="30">
    <w:abstractNumId w:val="36"/>
  </w:num>
  <w:num w:numId="31">
    <w:abstractNumId w:val="3"/>
  </w:num>
  <w:num w:numId="32">
    <w:abstractNumId w:val="43"/>
  </w:num>
  <w:num w:numId="33">
    <w:abstractNumId w:val="22"/>
  </w:num>
  <w:num w:numId="34">
    <w:abstractNumId w:val="8"/>
  </w:num>
  <w:num w:numId="35">
    <w:abstractNumId w:val="42"/>
  </w:num>
  <w:num w:numId="36">
    <w:abstractNumId w:val="20"/>
  </w:num>
  <w:num w:numId="37">
    <w:abstractNumId w:val="5"/>
  </w:num>
  <w:num w:numId="38">
    <w:abstractNumId w:val="19"/>
  </w:num>
  <w:num w:numId="39">
    <w:abstractNumId w:val="25"/>
  </w:num>
  <w:num w:numId="40">
    <w:abstractNumId w:val="30"/>
  </w:num>
  <w:num w:numId="41">
    <w:abstractNumId w:val="29"/>
  </w:num>
  <w:num w:numId="42">
    <w:abstractNumId w:val="11"/>
  </w:num>
  <w:num w:numId="43">
    <w:abstractNumId w:val="27"/>
  </w:num>
  <w:num w:numId="44">
    <w:abstractNumId w:val="0"/>
  </w:num>
  <w:num w:numId="45">
    <w:abstractNumId w:val="9"/>
  </w:num>
  <w:num w:numId="46">
    <w:abstractNumId w:val="24"/>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674"/>
    <w:rsid w:val="00014F3F"/>
    <w:rsid w:val="000467A2"/>
    <w:rsid w:val="000D6770"/>
    <w:rsid w:val="000F2413"/>
    <w:rsid w:val="001744C1"/>
    <w:rsid w:val="001A74A1"/>
    <w:rsid w:val="001D4F83"/>
    <w:rsid w:val="001D4FC3"/>
    <w:rsid w:val="002160EC"/>
    <w:rsid w:val="003F658E"/>
    <w:rsid w:val="004B1904"/>
    <w:rsid w:val="004B6BA5"/>
    <w:rsid w:val="004C0128"/>
    <w:rsid w:val="00563C6B"/>
    <w:rsid w:val="00592C96"/>
    <w:rsid w:val="005F5674"/>
    <w:rsid w:val="00601236"/>
    <w:rsid w:val="00610B38"/>
    <w:rsid w:val="00680ADE"/>
    <w:rsid w:val="006D1896"/>
    <w:rsid w:val="00732BC0"/>
    <w:rsid w:val="00750496"/>
    <w:rsid w:val="00820871"/>
    <w:rsid w:val="00850314"/>
    <w:rsid w:val="008649E4"/>
    <w:rsid w:val="008D40B0"/>
    <w:rsid w:val="00923BD6"/>
    <w:rsid w:val="009D0F73"/>
    <w:rsid w:val="009F22E2"/>
    <w:rsid w:val="00B24037"/>
    <w:rsid w:val="00B2770D"/>
    <w:rsid w:val="00B653B2"/>
    <w:rsid w:val="00B65CA1"/>
    <w:rsid w:val="00C2313D"/>
    <w:rsid w:val="00C739E3"/>
    <w:rsid w:val="00CB40F3"/>
    <w:rsid w:val="00CE7F4E"/>
    <w:rsid w:val="00D20165"/>
    <w:rsid w:val="00D2246C"/>
    <w:rsid w:val="00F05F48"/>
    <w:rsid w:val="00F76E2D"/>
    <w:rsid w:val="00F90BC7"/>
    <w:rsid w:val="00FF3F6A"/>
    <w:rsid w:val="00FF5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907A5"/>
  <w15:docId w15:val="{843E0FCB-3D26-4C5F-95F4-5D876EDF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styleId="Strong">
    <w:name w:val="Strong"/>
    <w:basedOn w:val="DefaultParagraphFont"/>
    <w:uiPriority w:val="22"/>
    <w:qFormat/>
    <w:rsid w:val="00CE7F4E"/>
    <w:rPr>
      <w:b/>
      <w:bCs/>
    </w:rPr>
  </w:style>
  <w:style w:type="character" w:customStyle="1" w:styleId="Internetlink">
    <w:name w:val="Internet link"/>
    <w:rPr>
      <w:color w:val="000080"/>
      <w:u w:val="single"/>
    </w:rPr>
  </w:style>
  <w:style w:type="character" w:customStyle="1" w:styleId="normaltextrun">
    <w:name w:val="normaltextrun"/>
    <w:rsid w:val="001D4FC3"/>
  </w:style>
  <w:style w:type="character" w:customStyle="1" w:styleId="Heading2Char">
    <w:name w:val="Heading 2 Char"/>
    <w:basedOn w:val="DefaultParagraphFont"/>
    <w:link w:val="Heading2"/>
    <w:uiPriority w:val="9"/>
    <w:rsid w:val="001D4FC3"/>
    <w:rPr>
      <w:sz w:val="32"/>
      <w:szCs w:val="32"/>
    </w:rPr>
  </w:style>
  <w:style w:type="table" w:customStyle="1" w:styleId="CCLStyle">
    <w:name w:val="CCL Style"/>
    <w:basedOn w:val="TableNormal"/>
    <w:uiPriority w:val="99"/>
    <w:rsid w:val="001744C1"/>
    <w:pPr>
      <w:autoSpaceDN/>
      <w:spacing w:line="240" w:lineRule="auto"/>
      <w:textAlignment w:val="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CellMar>
        <w:top w:w="85" w:type="dxa"/>
        <w:left w:w="113" w:type="dxa"/>
        <w:bottom w:w="85" w:type="dxa"/>
        <w:right w:w="113" w:type="dxa"/>
      </w:tblCellMar>
    </w:tblPr>
    <w:tcPr>
      <w:shd w:val="clear" w:color="auto" w:fill="auto"/>
      <w:vAlign w:val="center"/>
    </w:tcPr>
    <w:tblStylePr w:type="firstRow">
      <w:pPr>
        <w:jc w:val="center"/>
      </w:pPr>
      <w:rPr>
        <w:rFonts w:asciiTheme="minorHAnsi" w:hAnsiTheme="minorHAnsi"/>
        <w:sz w:val="24"/>
      </w:rPr>
      <w:tblPr/>
      <w:tcPr>
        <w:shd w:val="clear" w:color="auto" w:fill="E7E6E6" w:themeFill="background2"/>
      </w:tcPr>
    </w:tblStylePr>
    <w:tblStylePr w:type="firstCol">
      <w:tblPr/>
      <w:tcPr>
        <w:shd w:val="clear" w:color="auto" w:fill="E7E6E6" w:themeFill="background2"/>
      </w:tcPr>
    </w:tblStylePr>
  </w:style>
  <w:style w:type="paragraph" w:styleId="NoSpacing">
    <w:name w:val="No Spacing"/>
    <w:uiPriority w:val="1"/>
    <w:qFormat/>
    <w:rsid w:val="001744C1"/>
    <w:pPr>
      <w:autoSpaceDN/>
      <w:spacing w:line="240" w:lineRule="auto"/>
      <w:textAlignment w:val="auto"/>
    </w:pPr>
    <w:rPr>
      <w:rFonts w:asciiTheme="minorHAnsi" w:eastAsiaTheme="minorHAnsi" w:hAnsiTheme="minorHAnsi" w:cstheme="minorBidi"/>
      <w:sz w:val="20"/>
      <w:lang w:eastAsia="en-US"/>
    </w:rPr>
  </w:style>
  <w:style w:type="character" w:customStyle="1" w:styleId="apple-converted-space">
    <w:name w:val="apple-converted-space"/>
    <w:basedOn w:val="DefaultParagraphFont"/>
    <w:rsid w:val="00610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739681">
      <w:bodyDiv w:val="1"/>
      <w:marLeft w:val="0"/>
      <w:marRight w:val="0"/>
      <w:marTop w:val="0"/>
      <w:marBottom w:val="0"/>
      <w:divBdr>
        <w:top w:val="none" w:sz="0" w:space="0" w:color="auto"/>
        <w:left w:val="none" w:sz="0" w:space="0" w:color="auto"/>
        <w:bottom w:val="none" w:sz="0" w:space="0" w:color="auto"/>
        <w:right w:val="none" w:sz="0" w:space="0" w:color="auto"/>
      </w:divBdr>
    </w:div>
    <w:div w:id="702366723">
      <w:bodyDiv w:val="1"/>
      <w:marLeft w:val="0"/>
      <w:marRight w:val="0"/>
      <w:marTop w:val="0"/>
      <w:marBottom w:val="0"/>
      <w:divBdr>
        <w:top w:val="none" w:sz="0" w:space="0" w:color="auto"/>
        <w:left w:val="none" w:sz="0" w:space="0" w:color="auto"/>
        <w:bottom w:val="none" w:sz="0" w:space="0" w:color="auto"/>
        <w:right w:val="none" w:sz="0" w:space="0" w:color="auto"/>
      </w:divBdr>
    </w:div>
    <w:div w:id="1328433950">
      <w:bodyDiv w:val="1"/>
      <w:marLeft w:val="0"/>
      <w:marRight w:val="0"/>
      <w:marTop w:val="0"/>
      <w:marBottom w:val="0"/>
      <w:divBdr>
        <w:top w:val="none" w:sz="0" w:space="0" w:color="auto"/>
        <w:left w:val="none" w:sz="0" w:space="0" w:color="auto"/>
        <w:bottom w:val="none" w:sz="0" w:space="0" w:color="auto"/>
        <w:right w:val="none" w:sz="0" w:space="0" w:color="auto"/>
      </w:divBdr>
    </w:div>
    <w:div w:id="1656491540">
      <w:bodyDiv w:val="1"/>
      <w:marLeft w:val="0"/>
      <w:marRight w:val="0"/>
      <w:marTop w:val="0"/>
      <w:marBottom w:val="0"/>
      <w:divBdr>
        <w:top w:val="none" w:sz="0" w:space="0" w:color="auto"/>
        <w:left w:val="none" w:sz="0" w:space="0" w:color="auto"/>
        <w:bottom w:val="none" w:sz="0" w:space="0" w:color="auto"/>
        <w:right w:val="none" w:sz="0" w:space="0" w:color="auto"/>
      </w:divBdr>
    </w:div>
    <w:div w:id="1913467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7" Type="http://schemas.openxmlformats.org/officeDocument/2006/relationships/settings" Target="settings.xml"/><Relationship Id="rId12" Type="http://schemas.openxmlformats.org/officeDocument/2006/relationships/hyperlink" Target="mailto:ciaran.mullen@cclsolutionsgroup.com"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10" Type="http://schemas.openxmlformats.org/officeDocument/2006/relationships/endnotes" Target="endnotes.xml"/><Relationship Id="rId19" Type="http://schemas.openxmlformats.org/officeDocument/2006/relationships/hyperlink" Target="https://www.ncsc.gov.uk/collection/risk-management-collection"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digitalmarketplace.service.gov.uk/" TargetMode="External"/><Relationship Id="rId30" Type="http://schemas.openxmlformats.org/officeDocument/2006/relationships/hyperlink" Target="https://www.gov.uk/service-manual/agile-delivery/spend-controls-check-if-you-need-approval-to-spend-money-on-a-service"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2021-10-25T12:49:23+00:00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LegacyCaseReferenceNumber xmlns="236339c9-72aa-4b4d-b629-41cb8f8725a3"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IconOverlay xmlns="http://schemas.microsoft.com/sharepoint/v4"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236339c9-72aa-4b4d-b629-41cb8f8725a3"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222</Value>
    </TaxCatchAll>
    <LegacyNumericClass xmlns="b67a7830-db79-4a49-bf27-2aff92a2201a" xsi:nil="true"/>
    <LegacyCurrentLocation xmlns="b67a7830-db79-4a49-bf27-2aff92a2201a" xsi:nil="true"/>
    <Folder xmlns="236339c9-72aa-4b4d-b629-41cb8f8725a3" xsi:nil="true"/>
    <_dlc_DocId xmlns="0063f72e-ace3-48fb-9c1f-5b513408b31f">2QFN7KK647Q6-1508220509-64066</_dlc_DocId>
    <_dlc_DocIdUrl xmlns="0063f72e-ace3-48fb-9c1f-5b513408b31f">
      <Url>https://beisgov.sharepoint.com/sites/beis/205/_layouts/15/DocIdRedir.aspx?ID=2QFN7KK647Q6-1508220509-64066</Url>
      <Description>2QFN7KK647Q6-1508220509-64066</Description>
    </_dlc_DocIdUrl>
    <SharedWithUsers xmlns="0063f72e-ace3-48fb-9c1f-5b513408b31f">
      <UserInfo>
        <DisplayName>Cartwright, Jennie (TIUA)</DisplayName>
        <AccountId>32743</AccountId>
        <AccountType/>
      </UserInfo>
      <UserInfo>
        <DisplayName>Ghalib2, Farhan (BEIS)</DisplayName>
        <AccountId>169351</AccountId>
        <AccountType/>
      </UserInfo>
      <UserInfo>
        <DisplayName>Krishnan, Mini (TIUA)</DisplayName>
        <AccountId>5295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6D0DFEE2B924BB3DA44ADB5FFCB77" ma:contentTypeVersion="18089" ma:contentTypeDescription="Create a new document." ma:contentTypeScope="" ma:versionID="4b9830985b6a21ce036f4d1788c58e3b">
  <xsd:schema xmlns:xsd="http://www.w3.org/2001/XMLSchema" xmlns:xs="http://www.w3.org/2001/XMLSchema" xmlns:p="http://schemas.microsoft.com/office/2006/metadata/properties" xmlns:ns1="http://schemas.microsoft.com/sharepoint/v3" xmlns:ns2="b67a7830-db79-4a49-bf27-2aff92a2201a" xmlns:ns3="b413c3fd-5a3b-4239-b985-69032e371c04" xmlns:ns4="0063f72e-ace3-48fb-9c1f-5b513408b31f" xmlns:ns5="a8f60570-4bd3-4f2b-950b-a996de8ab151" xmlns:ns6="a172083e-e40c-4314-b43a-827352a1ed2c" xmlns:ns7="c963a4c1-1bb4-49f2-a011-9c776a7eed2a" xmlns:ns8="236339c9-72aa-4b4d-b629-41cb8f8725a3" xmlns:ns9="http://schemas.microsoft.com/sharepoint/v4" targetNamespace="http://schemas.microsoft.com/office/2006/metadata/properties" ma:root="true" ma:fieldsID="cf05c3877e02e1d612d113e719a36f21" ns1:_="" ns2:_="" ns3:_="" ns4:_="" ns5:_="" ns6:_="" ns7:_="" ns8:_="" ns9:_="">
    <xsd:import namespace="http://schemas.microsoft.com/sharepoint/v3"/>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236339c9-72aa-4b4d-b629-41cb8f8725a3"/>
    <xsd:import namespace="http://schemas.microsoft.com/sharepoint/v4"/>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4:SharedWithUsers" minOccurs="0"/>
                <xsd:element ref="ns4:SharedWithDetails"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8:MediaServiceAutoTags" minOccurs="0"/>
                <xsd:element ref="ns8:MediaServiceOCR" minOccurs="0"/>
                <xsd:element ref="ns8:CIRRUSPreviousRetentionPolicy" minOccurs="0"/>
                <xsd:element ref="ns8:LegacyCaseReferenceNumber" minOccurs="0"/>
                <xsd:element ref="ns8:MediaServiceEventHashCode" minOccurs="0"/>
                <xsd:element ref="ns8:MediaServiceGenerationTime" minOccurs="0"/>
                <xsd:element ref="ns9:IconOverlay" minOccurs="0"/>
                <xsd:element ref="ns1:_vti_ItemDeclaredRecord" minOccurs="0"/>
                <xsd:element ref="ns1:_vti_ItemHoldRecordStatus" minOccurs="0"/>
                <xsd:element ref="ns8:MediaServiceDateTaken" minOccurs="0"/>
                <xsd:element ref="ns8:Folder" minOccurs="0"/>
                <xsd:element ref="ns8:MediaServiceAutoKeyPoints" minOccurs="0"/>
                <xsd:element ref="ns8:MediaServiceKeyPoints" minOccurs="0"/>
                <xsd:element ref="ns8: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76" nillable="true" ma:displayName="Declared Record" ma:hidden="true" ma:internalName="_vti_ItemDeclaredRecord" ma:readOnly="true">
      <xsd:simpleType>
        <xsd:restriction base="dms:DateTime"/>
      </xsd:simpleType>
    </xsd:element>
    <xsd:element name="_vti_ItemHoldRecordStatus" ma:index="7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SharedWithUsers" ma:index="5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Shared With Details" ma:internalName="SharedWithDetails" ma:readOnly="true">
      <xsd:simpleType>
        <xsd:restriction base="dms:Note">
          <xsd:maxLength value="255"/>
        </xsd:restriction>
      </xsd:simpleType>
    </xsd:element>
    <xsd:element name="TaxCatchAll" ma:index="63"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4"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2"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6339c9-72aa-4b4d-b629-41cb8f8725a3" elementFormDefault="qualified">
    <xsd:import namespace="http://schemas.microsoft.com/office/2006/documentManagement/types"/>
    <xsd:import namespace="http://schemas.microsoft.com/office/infopath/2007/PartnerControls"/>
    <xsd:element name="MediaServiceMetadata" ma:index="66" nillable="true" ma:displayName="MediaServiceMetadata" ma:hidden="true" ma:internalName="MediaServiceMetadata" ma:readOnly="true">
      <xsd:simpleType>
        <xsd:restriction base="dms:Note"/>
      </xsd:simpleType>
    </xsd:element>
    <xsd:element name="MediaServiceFastMetadata" ma:index="67" nillable="true" ma:displayName="MediaServiceFastMetadata" ma:hidden="true" ma:internalName="MediaServiceFastMetadata" ma:readOnly="true">
      <xsd:simpleType>
        <xsd:restriction base="dms:Note"/>
      </xsd:simpleType>
    </xsd:element>
    <xsd:element name="MediaServiceAutoTags" ma:index="68" nillable="true" ma:displayName="MediaServiceAutoTags" ma:internalName="MediaServiceAutoTags" ma:readOnly="true">
      <xsd:simpleType>
        <xsd:restriction base="dms:Text"/>
      </xsd:simpleType>
    </xsd:element>
    <xsd:element name="MediaServiceOCR" ma:index="69" nillable="true" ma:displayName="MediaServiceOCR" ma:internalName="MediaServiceOCR" ma:readOnly="true">
      <xsd:simpleType>
        <xsd:restriction base="dms:Note">
          <xsd:maxLength value="255"/>
        </xsd:restriction>
      </xsd:simpleType>
    </xsd:element>
    <xsd:element name="CIRRUSPreviousRetentionPolicy" ma:index="71" nillable="true" ma:displayName="Previous Retention Policy" ma:internalName="CIRRUSPreviousRetentionPolicy">
      <xsd:simpleType>
        <xsd:restriction base="dms:Note">
          <xsd:maxLength value="255"/>
        </xsd:restriction>
      </xsd:simpleType>
    </xsd:element>
    <xsd:element name="LegacyCaseReferenceNumber" ma:index="72" nillable="true" ma:displayName="Legacy Case Reference Number" ma:internalName="LegacyCaseReferenceNumber">
      <xsd:simpleType>
        <xsd:restriction base="dms:Note">
          <xsd:maxLength value="255"/>
        </xsd:restriction>
      </xsd:simpleType>
    </xsd:element>
    <xsd:element name="MediaServiceEventHashCode" ma:index="73" nillable="true" ma:displayName="MediaServiceEventHashCode" ma:hidden="true" ma:internalName="MediaServiceEventHashCode" ma:readOnly="true">
      <xsd:simpleType>
        <xsd:restriction base="dms:Text"/>
      </xsd:simpleType>
    </xsd:element>
    <xsd:element name="MediaServiceGenerationTime" ma:index="74" nillable="true" ma:displayName="MediaServiceGenerationTime" ma:hidden="true" ma:internalName="MediaServiceGenerationTime" ma:readOnly="true">
      <xsd:simpleType>
        <xsd:restriction base="dms:Text"/>
      </xsd:simpleType>
    </xsd:element>
    <xsd:element name="MediaServiceDateTaken" ma:index="78" nillable="true" ma:displayName="MediaServiceDateTaken" ma:hidden="true" ma:internalName="MediaServiceDateTaken" ma:readOnly="true">
      <xsd:simpleType>
        <xsd:restriction base="dms:Text"/>
      </xsd:simpleType>
    </xsd:element>
    <xsd:element name="Folder" ma:index="79" nillable="true" ma:displayName="Folder" ma:list="{236339c9-72aa-4b4d-b629-41cb8f8725a3}" ma:internalName="Folder" ma:showField="LegacyFolder">
      <xsd:simpleType>
        <xsd:restriction base="dms:Lookup"/>
      </xsd:simpleType>
    </xsd:element>
    <xsd:element name="MediaServiceAutoKeyPoints" ma:index="80" nillable="true" ma:displayName="MediaServiceAutoKeyPoints" ma:hidden="true" ma:internalName="MediaServiceAutoKeyPoints" ma:readOnly="true">
      <xsd:simpleType>
        <xsd:restriction base="dms:Note"/>
      </xsd:simpleType>
    </xsd:element>
    <xsd:element name="MediaServiceKeyPoints" ma:index="81" nillable="true" ma:displayName="KeyPoints" ma:internalName="MediaServiceKeyPoints" ma:readOnly="true">
      <xsd:simpleType>
        <xsd:restriction base="dms:Note">
          <xsd:maxLength value="255"/>
        </xsd:restriction>
      </xsd:simpleType>
    </xsd:element>
    <xsd:element name="MediaLengthInSeconds" ma:index="8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3C5806-1C8F-4916-87B0-4E85F940B881}">
  <ds:schemaRefs>
    <ds:schemaRef ds:uri="http://schemas.microsoft.com/office/2006/metadata/properties"/>
    <ds:schemaRef ds:uri="http://schemas.microsoft.com/office/infopath/2007/PartnerControls"/>
    <ds:schemaRef ds:uri="b413c3fd-5a3b-4239-b985-69032e371c04"/>
    <ds:schemaRef ds:uri="b67a7830-db79-4a49-bf27-2aff92a2201a"/>
    <ds:schemaRef ds:uri="a172083e-e40c-4314-b43a-827352a1ed2c"/>
    <ds:schemaRef ds:uri="0063f72e-ace3-48fb-9c1f-5b513408b31f"/>
    <ds:schemaRef ds:uri="236339c9-72aa-4b4d-b629-41cb8f8725a3"/>
    <ds:schemaRef ds:uri="http://schemas.microsoft.com/sharepoint/v4"/>
    <ds:schemaRef ds:uri="c963a4c1-1bb4-49f2-a011-9c776a7eed2a"/>
    <ds:schemaRef ds:uri="a8f60570-4bd3-4f2b-950b-a996de8ab151"/>
  </ds:schemaRefs>
</ds:datastoreItem>
</file>

<file path=customXml/itemProps2.xml><?xml version="1.0" encoding="utf-8"?>
<ds:datastoreItem xmlns:ds="http://schemas.openxmlformats.org/officeDocument/2006/customXml" ds:itemID="{0DE8BD7C-34B8-418E-8E2A-FFD5A7B26EA6}">
  <ds:schemaRefs>
    <ds:schemaRef ds:uri="http://schemas.microsoft.com/sharepoint/v3/contenttype/forms"/>
  </ds:schemaRefs>
</ds:datastoreItem>
</file>

<file path=customXml/itemProps3.xml><?xml version="1.0" encoding="utf-8"?>
<ds:datastoreItem xmlns:ds="http://schemas.openxmlformats.org/officeDocument/2006/customXml" ds:itemID="{73B42ACF-B9CC-4381-9297-D24075F02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236339c9-72aa-4b4d-b629-41cb8f8725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EE0D2B-40C8-4D07-906C-2DC9D03CD2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82</Pages>
  <Words>23145</Words>
  <Characters>131933</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154769</CharactersWithSpaces>
  <SharedDoc>false</SharedDoc>
  <HLinks>
    <vt:vector size="102" baseType="variant">
      <vt:variant>
        <vt:i4>6619252</vt:i4>
      </vt:variant>
      <vt:variant>
        <vt:i4>51</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48</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45</vt:i4>
      </vt:variant>
      <vt:variant>
        <vt:i4>0</vt:i4>
      </vt:variant>
      <vt:variant>
        <vt:i4>5</vt:i4>
      </vt:variant>
      <vt:variant>
        <vt:lpwstr>https://www.gov.uk/guidance/check-employment-status-for-tax</vt:lpwstr>
      </vt:variant>
      <vt:variant>
        <vt:lpwstr/>
      </vt:variant>
      <vt:variant>
        <vt:i4>6357104</vt:i4>
      </vt:variant>
      <vt:variant>
        <vt:i4>42</vt:i4>
      </vt:variant>
      <vt:variant>
        <vt:i4>0</vt:i4>
      </vt:variant>
      <vt:variant>
        <vt:i4>5</vt:i4>
      </vt:variant>
      <vt:variant>
        <vt:lpwstr>https://www.digitalmarketplace.service.gov.uk/</vt:lpwstr>
      </vt:variant>
      <vt:variant>
        <vt:lpwstr/>
      </vt:variant>
      <vt:variant>
        <vt:i4>1900618</vt:i4>
      </vt:variant>
      <vt:variant>
        <vt:i4>39</vt:i4>
      </vt:variant>
      <vt:variant>
        <vt:i4>0</vt:i4>
      </vt:variant>
      <vt:variant>
        <vt:i4>5</vt:i4>
      </vt:variant>
      <vt:variant>
        <vt:lpwstr>https://www.ncsc.gov.uk/guidance/10-steps-cyber-security</vt:lpwstr>
      </vt:variant>
      <vt:variant>
        <vt:lpwstr/>
      </vt:variant>
      <vt:variant>
        <vt:i4>1900618</vt:i4>
      </vt:variant>
      <vt:variant>
        <vt:i4>36</vt:i4>
      </vt:variant>
      <vt:variant>
        <vt:i4>0</vt:i4>
      </vt:variant>
      <vt:variant>
        <vt:i4>5</vt:i4>
      </vt:variant>
      <vt:variant>
        <vt:lpwstr>https://www.ncsc.gov.uk/guidance/10-steps-cyber-security</vt:lpwstr>
      </vt:variant>
      <vt:variant>
        <vt:lpwstr/>
      </vt:variant>
      <vt:variant>
        <vt:i4>4128867</vt:i4>
      </vt:variant>
      <vt:variant>
        <vt:i4>33</vt:i4>
      </vt:variant>
      <vt:variant>
        <vt:i4>0</vt:i4>
      </vt:variant>
      <vt:variant>
        <vt:i4>5</vt:i4>
      </vt:variant>
      <vt:variant>
        <vt:lpwstr>https://www.gov.uk/government/publications/technology-code-of-practice/technology-code-of-practice</vt:lpwstr>
      </vt:variant>
      <vt:variant>
        <vt:lpwstr/>
      </vt:variant>
      <vt:variant>
        <vt:i4>4128867</vt:i4>
      </vt:variant>
      <vt:variant>
        <vt:i4>30</vt:i4>
      </vt:variant>
      <vt:variant>
        <vt:i4>0</vt:i4>
      </vt:variant>
      <vt:variant>
        <vt:i4>5</vt:i4>
      </vt:variant>
      <vt:variant>
        <vt:lpwstr>https://www.gov.uk/government/publications/technology-code-of-practice/technology-code-of-practice</vt:lpwstr>
      </vt:variant>
      <vt:variant>
        <vt:lpwstr/>
      </vt:variant>
      <vt:variant>
        <vt:i4>7077948</vt:i4>
      </vt:variant>
      <vt:variant>
        <vt:i4>27</vt:i4>
      </vt:variant>
      <vt:variant>
        <vt:i4>0</vt:i4>
      </vt:variant>
      <vt:variant>
        <vt:i4>5</vt:i4>
      </vt:variant>
      <vt:variant>
        <vt:lpwstr>https://www.ncsc.gov.uk/guidance/implementing-cloud-security-principles</vt:lpwstr>
      </vt:variant>
      <vt:variant>
        <vt:lpwstr/>
      </vt:variant>
      <vt:variant>
        <vt:i4>7077948</vt:i4>
      </vt:variant>
      <vt:variant>
        <vt:i4>24</vt:i4>
      </vt:variant>
      <vt:variant>
        <vt:i4>0</vt:i4>
      </vt:variant>
      <vt:variant>
        <vt:i4>5</vt:i4>
      </vt:variant>
      <vt:variant>
        <vt:lpwstr>https://www.ncsc.gov.uk/guidance/implementing-cloud-security-principles</vt:lpwstr>
      </vt:variant>
      <vt:variant>
        <vt:lpwstr/>
      </vt:variant>
      <vt:variant>
        <vt:i4>4128867</vt:i4>
      </vt:variant>
      <vt:variant>
        <vt:i4>21</vt:i4>
      </vt:variant>
      <vt:variant>
        <vt:i4>0</vt:i4>
      </vt:variant>
      <vt:variant>
        <vt:i4>5</vt:i4>
      </vt:variant>
      <vt:variant>
        <vt:lpwstr>https://www.gov.uk/government/publications/technology-code-of-practice/technology-code-of-practice</vt:lpwstr>
      </vt:variant>
      <vt:variant>
        <vt:lpwstr/>
      </vt:variant>
      <vt:variant>
        <vt:i4>5046342</vt:i4>
      </vt:variant>
      <vt:variant>
        <vt:i4>18</vt:i4>
      </vt:variant>
      <vt:variant>
        <vt:i4>0</vt:i4>
      </vt:variant>
      <vt:variant>
        <vt:i4>5</vt:i4>
      </vt:variant>
      <vt:variant>
        <vt:lpwstr>https://www.ncsc.gov.uk/collection/risk-management-collection</vt:lpwstr>
      </vt:variant>
      <vt:variant>
        <vt:lpwstr/>
      </vt:variant>
      <vt:variant>
        <vt:i4>7864371</vt:i4>
      </vt:variant>
      <vt:variant>
        <vt:i4>15</vt:i4>
      </vt:variant>
      <vt:variant>
        <vt:i4>0</vt:i4>
      </vt:variant>
      <vt:variant>
        <vt:i4>5</vt:i4>
      </vt:variant>
      <vt:variant>
        <vt:lpwstr>https://www.cpni.gov.uk/protection-sensitive-information-and-assets</vt:lpwstr>
      </vt:variant>
      <vt:variant>
        <vt:lpwstr/>
      </vt:variant>
      <vt:variant>
        <vt:i4>7864371</vt:i4>
      </vt:variant>
      <vt:variant>
        <vt:i4>12</vt:i4>
      </vt:variant>
      <vt:variant>
        <vt:i4>0</vt:i4>
      </vt:variant>
      <vt:variant>
        <vt:i4>5</vt:i4>
      </vt:variant>
      <vt:variant>
        <vt:lpwstr>https://www.cpni.gov.uk/protection-sensitive-information-and-assets</vt:lpwstr>
      </vt:variant>
      <vt:variant>
        <vt:lpwstr/>
      </vt:variant>
      <vt:variant>
        <vt:i4>3801194</vt:i4>
      </vt:variant>
      <vt:variant>
        <vt:i4>9</vt:i4>
      </vt:variant>
      <vt:variant>
        <vt:i4>0</vt:i4>
      </vt:variant>
      <vt:variant>
        <vt:i4>5</vt:i4>
      </vt:variant>
      <vt:variant>
        <vt:lpwstr>https://www.cpni.gov.uk/content/adopt-risk-management-approach</vt:lpwstr>
      </vt:variant>
      <vt:variant>
        <vt:lpwstr/>
      </vt:variant>
      <vt:variant>
        <vt:i4>1900548</vt:i4>
      </vt:variant>
      <vt:variant>
        <vt:i4>6</vt:i4>
      </vt:variant>
      <vt:variant>
        <vt:i4>0</vt:i4>
      </vt:variant>
      <vt:variant>
        <vt:i4>5</vt:i4>
      </vt:variant>
      <vt:variant>
        <vt:lpwstr>https://www.gov.uk/government/publications/security-policy-framework</vt:lpwstr>
      </vt:variant>
      <vt:variant>
        <vt:lpwstr/>
      </vt:variant>
      <vt:variant>
        <vt:i4>1900548</vt:i4>
      </vt:variant>
      <vt:variant>
        <vt:i4>3</vt:i4>
      </vt:variant>
      <vt:variant>
        <vt:i4>0</vt:i4>
      </vt:variant>
      <vt:variant>
        <vt:i4>5</vt:i4>
      </vt:variant>
      <vt:variant>
        <vt:lpwstr>https://www.gov.uk/government/publications/security-policy-framework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keywords/>
  <dc:description/>
  <cp:lastModifiedBy>Wisby, Felix (Commercial)</cp:lastModifiedBy>
  <cp:revision>2</cp:revision>
  <cp:lastPrinted>2020-06-10T18:41:00Z</cp:lastPrinted>
  <dcterms:created xsi:type="dcterms:W3CDTF">2021-11-01T15:30:00Z</dcterms:created>
  <dcterms:modified xsi:type="dcterms:W3CDTF">2021-11-01T15:30:00Z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0x01010027B6D0DFEE2B924BB3DA44ADB5FFCB77</vt:lpwstr>
  </property>
  <property fmtid="{D5CDD505-2E9C-101B-9397-08002B2CF9AE}" pid="3" name="_dlc_DocIdItemGuid">
    <vt:lpwstr>dff7c6ee-1907-428b-a5f5-5023c0fdff1e</vt:lpwstr>
  </property>
  <property fmtid="{D5CDD505-2E9C-101B-9397-08002B2CF9AE}" pid="4" name="Business Unit">
    <vt:lpwstr>222;#Commercial Directors Office|238fa97d-f15c-4150-b026-dc0dcc757911</vt:lpwstr>
  </property>
  <property fmtid="{D5CDD505-2E9C-101B-9397-08002B2CF9AE}" pid="5" name="MSIP_Label_ba62f585-b40f-4ab9-bafe-39150f03d124_Enabled">
    <vt:lpwstr>true</vt:lpwstr>
  </property>
  <property fmtid="{D5CDD505-2E9C-101B-9397-08002B2CF9AE}" pid="6" name="MSIP_Label_ba62f585-b40f-4ab9-bafe-39150f03d124_SetDate">
    <vt:lpwstr>2021-10-25T13:26:05Z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3db72363-82c2-4718-b080-63decdda3c8c</vt:lpwstr>
  </property>
  <property fmtid="{D5CDD505-2E9C-101B-9397-08002B2CF9AE}" pid="11" name="MSIP_Label_ba62f585-b40f-4ab9-bafe-39150f03d124_ContentBits">
    <vt:lpwstr>0</vt:lpwstr>
  </property>
</Properties>
</file>