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0D0D2A90" w:rsidR="00FC6860" w:rsidRPr="00574B16" w:rsidRDefault="00555144" w:rsidP="00555144">
          <w:pPr>
            <w:pStyle w:val="Heading1"/>
            <w:rPr>
              <w:rStyle w:val="chrSubTitle"/>
              <w:color w:val="B1173B"/>
            </w:rPr>
          </w:pPr>
          <w:r>
            <w:rPr>
              <w:rStyle w:val="chrSubTitle"/>
              <w:color w:val="B1173B"/>
            </w:rPr>
            <w:t>Advice on evaluating and regulating rail strategic planning</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2-11-15T00:00:00Z">
          <w:dateFormat w:val="dd MMMM yyyy"/>
          <w:lid w:val="en-GB"/>
          <w:storeMappedDataAs w:val="dateTime"/>
          <w:calendar w:val="gregorian"/>
        </w:date>
      </w:sdtPr>
      <w:sdtEndPr/>
      <w:sdtContent>
        <w:p w14:paraId="38D7D855" w14:textId="7C1E5F3D" w:rsidR="00FC6860" w:rsidRDefault="00EA7D56" w:rsidP="00C71C4F">
          <w:pPr>
            <w:pStyle w:val="Date"/>
          </w:pPr>
          <w:r>
            <w:rPr>
              <w:bCs/>
            </w:rPr>
            <w:t>15 November 2022</w:t>
          </w:r>
        </w:p>
      </w:sdtContent>
    </w:sdt>
    <w:p w14:paraId="512B2E87" w14:textId="77777777" w:rsidR="003E5612" w:rsidRDefault="003E5612" w:rsidP="003E5612"/>
    <w:p w14:paraId="0B23CADF" w14:textId="59FDCA83" w:rsidR="003E5612" w:rsidRPr="00574B16" w:rsidRDefault="003E5612" w:rsidP="003E5612">
      <w:pPr>
        <w:pStyle w:val="NormalBulletround"/>
        <w:rPr>
          <w:b/>
          <w:bCs/>
          <w:color w:val="B1173B"/>
        </w:rPr>
      </w:pPr>
      <w:r w:rsidRPr="003E5612">
        <w:rPr>
          <w:b/>
          <w:bCs/>
        </w:rPr>
        <w:t xml:space="preserve">CPV Code: </w:t>
      </w:r>
      <w:r w:rsidR="00123C21">
        <w:rPr>
          <w:b/>
          <w:bCs/>
          <w:color w:val="B1173B"/>
        </w:rPr>
        <w:t>79400000</w:t>
      </w:r>
    </w:p>
    <w:p w14:paraId="4B92FCBC" w14:textId="2BC90DDB"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555144">
        <w:rPr>
          <w:b/>
          <w:bCs/>
          <w:color w:val="B1173B"/>
        </w:rPr>
        <w:t>ORR/CT/22-50</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3C39A37C" w:rsidR="00FC6860" w:rsidRDefault="6790E52D" w:rsidP="004E1570">
      <w:pPr>
        <w:pStyle w:val="Heading2NoToc"/>
      </w:pPr>
      <w:r>
        <w:lastRenderedPageBreak/>
        <w:t xml:space="preserve">Contents </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EA7D56">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EA7D56">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EA7D56">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EA7D56">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EA7D56">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EA7D56">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EA7D56">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EA7D56">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EA7D56">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EA7D56">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EA7D56">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EA7D56">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EA7D56">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EA7D56">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EA7D56">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EA7D56">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EA7D56">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EA7D56">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EA7D56">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EA7D56">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EA7D56">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EA7D56">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3D90CF4" w14:textId="149758CE" w:rsidR="004276BA" w:rsidRDefault="00E1699D" w:rsidP="00FC6860">
      <w:pPr>
        <w:pStyle w:val="Heading2NoNumb"/>
      </w:pPr>
      <w:bookmarkStart w:id="4" w:name="_Toc111551908"/>
      <w:r>
        <w:lastRenderedPageBreak/>
        <w:t>Drafting note</w:t>
      </w:r>
      <w:bookmarkEnd w:id="4"/>
    </w:p>
    <w:p w14:paraId="0733CBC2" w14:textId="77777777" w:rsidR="00E1699D" w:rsidRDefault="00E1699D" w:rsidP="00E1699D">
      <w:r>
        <w:t xml:space="preserve">The purpose of this template is to assist you to produce a comprehensive and effective Invitation to Tender document that will </w:t>
      </w:r>
    </w:p>
    <w:p w14:paraId="691C82DA" w14:textId="4ACA734E" w:rsidR="00E1699D" w:rsidRDefault="00E1699D" w:rsidP="00E1699D">
      <w:pPr>
        <w:pStyle w:val="NormalBulletround"/>
      </w:pPr>
      <w:r>
        <w:t xml:space="preserve">Clearly define the </w:t>
      </w:r>
      <w:proofErr w:type="gramStart"/>
      <w:r>
        <w:t>requirement;</w:t>
      </w:r>
      <w:proofErr w:type="gramEnd"/>
    </w:p>
    <w:p w14:paraId="05D4D9F0" w14:textId="53B64C62" w:rsidR="00E1699D" w:rsidRDefault="00E1699D" w:rsidP="00E1699D">
      <w:pPr>
        <w:pStyle w:val="NormalBulletround"/>
      </w:pPr>
      <w:r>
        <w:t xml:space="preserve">Inform bidders what information they should provide in their </w:t>
      </w:r>
      <w:proofErr w:type="gramStart"/>
      <w:r>
        <w:t>proposal;</w:t>
      </w:r>
      <w:proofErr w:type="gramEnd"/>
    </w:p>
    <w:p w14:paraId="51B97F83" w14:textId="139D1C4D" w:rsidR="00E1699D" w:rsidRDefault="00E1699D" w:rsidP="00E1699D">
      <w:pPr>
        <w:pStyle w:val="NormalBulletround"/>
      </w:pPr>
      <w:r>
        <w:t>Inform bidders of the relevant deadlines and procedures they should follow.</w:t>
      </w:r>
    </w:p>
    <w:p w14:paraId="545DAEB0" w14:textId="77777777" w:rsidR="00E1699D" w:rsidRDefault="00E1699D" w:rsidP="00E1699D">
      <w:r>
        <w:t xml:space="preserve">This document consists of 4 sections. </w:t>
      </w:r>
    </w:p>
    <w:p w14:paraId="29037792" w14:textId="77777777" w:rsidR="00E1699D" w:rsidRDefault="00E1699D" w:rsidP="00E1699D">
      <w:pPr>
        <w:pStyle w:val="Heading3"/>
      </w:pPr>
      <w:bookmarkStart w:id="5" w:name="_Toc111551909"/>
      <w:r>
        <w:t>Section 1 – Introduction to ORR</w:t>
      </w:r>
      <w:bookmarkEnd w:id="5"/>
    </w:p>
    <w:p w14:paraId="050EE985" w14:textId="77777777" w:rsidR="00E1699D" w:rsidRDefault="00E1699D" w:rsidP="00E1699D">
      <w:r>
        <w:t xml:space="preserve">Standard wording and </w:t>
      </w:r>
      <w:r w:rsidRPr="00F77726">
        <w:rPr>
          <w:b/>
          <w:bCs/>
        </w:rPr>
        <w:t>does not</w:t>
      </w:r>
      <w:r>
        <w:t xml:space="preserve"> need to be amended.</w:t>
      </w:r>
    </w:p>
    <w:p w14:paraId="28213FC0" w14:textId="77777777" w:rsidR="00E1699D" w:rsidRDefault="00E1699D" w:rsidP="00E1699D">
      <w:pPr>
        <w:pStyle w:val="Heading3"/>
      </w:pPr>
      <w:bookmarkStart w:id="6" w:name="_Toc111551910"/>
      <w:r>
        <w:t>Section 2 – Statement of Requirement</w:t>
      </w:r>
      <w:bookmarkEnd w:id="6"/>
    </w:p>
    <w:p w14:paraId="1E977794" w14:textId="77777777" w:rsidR="00E1699D" w:rsidRDefault="00E1699D" w:rsidP="00E1699D">
      <w:r>
        <w:t xml:space="preserve">In this section the </w:t>
      </w:r>
      <w:r w:rsidRPr="00F77726">
        <w:rPr>
          <w:b/>
          <w:bCs/>
        </w:rPr>
        <w:t>project manager</w:t>
      </w:r>
      <w:r>
        <w:t xml:space="preserve"> should define the:</w:t>
      </w:r>
    </w:p>
    <w:p w14:paraId="33D31F8A" w14:textId="579BE8EF" w:rsidR="00E1699D" w:rsidRDefault="00E1699D" w:rsidP="00E1699D">
      <w:pPr>
        <w:pStyle w:val="NormalBulletround"/>
      </w:pPr>
      <w:r>
        <w:t>Project background</w:t>
      </w:r>
    </w:p>
    <w:p w14:paraId="456DC281" w14:textId="13440613" w:rsidR="00E1699D" w:rsidRDefault="00E1699D" w:rsidP="00E1699D">
      <w:pPr>
        <w:pStyle w:val="NormalBulletround"/>
      </w:pPr>
      <w:r>
        <w:t>Project objectives</w:t>
      </w:r>
    </w:p>
    <w:p w14:paraId="1ECBB2BF" w14:textId="33A9B3EF" w:rsidR="00E1699D" w:rsidRDefault="00E1699D" w:rsidP="00E1699D">
      <w:pPr>
        <w:pStyle w:val="NormalBulletround"/>
      </w:pPr>
      <w:r>
        <w:t>Project output and deliverables</w:t>
      </w:r>
    </w:p>
    <w:p w14:paraId="079501BD" w14:textId="1068B809" w:rsidR="00E1699D" w:rsidRDefault="00E1699D" w:rsidP="00E1699D">
      <w:pPr>
        <w:pStyle w:val="NormalBulletround"/>
      </w:pPr>
      <w:r>
        <w:t>Project timescales</w:t>
      </w:r>
    </w:p>
    <w:p w14:paraId="7A70538C" w14:textId="1C68ED70" w:rsidR="00E1699D" w:rsidRDefault="00E1699D" w:rsidP="00E1699D">
      <w:pPr>
        <w:pStyle w:val="NormalBulletround"/>
      </w:pPr>
      <w:r>
        <w:t>Budget</w:t>
      </w:r>
    </w:p>
    <w:p w14:paraId="42422249" w14:textId="77777777" w:rsidR="00E1699D" w:rsidRDefault="00E1699D" w:rsidP="00E1699D">
      <w:pPr>
        <w:pStyle w:val="Heading3"/>
      </w:pPr>
      <w:bookmarkStart w:id="7" w:name="_Toc111551911"/>
      <w:r>
        <w:t>Section 3 – Tender Response &amp; Evaluation Criteria</w:t>
      </w:r>
      <w:bookmarkEnd w:id="7"/>
    </w:p>
    <w:p w14:paraId="7E2A313E" w14:textId="77777777" w:rsidR="00E1699D" w:rsidRDefault="00E1699D" w:rsidP="00E1699D">
      <w:r>
        <w:t xml:space="preserve">In this section the </w:t>
      </w:r>
      <w:r w:rsidRPr="00F77726">
        <w:rPr>
          <w:b/>
          <w:bCs/>
        </w:rPr>
        <w:t>project manager</w:t>
      </w:r>
      <w:r>
        <w:t xml:space="preserve"> should set out:</w:t>
      </w:r>
    </w:p>
    <w:p w14:paraId="33B018DA" w14:textId="0069B610" w:rsidR="00E1699D" w:rsidRDefault="00E1699D" w:rsidP="00E1699D">
      <w:pPr>
        <w:pStyle w:val="NormalBulletround"/>
      </w:pPr>
      <w:r>
        <w:t xml:space="preserve">What information we require the bidders to include </w:t>
      </w:r>
      <w:proofErr w:type="gramStart"/>
      <w:r>
        <w:t>in order for</w:t>
      </w:r>
      <w:proofErr w:type="gramEnd"/>
      <w:r>
        <w:t xml:space="preserve"> their proposal to be evaluated</w:t>
      </w:r>
    </w:p>
    <w:p w14:paraId="05B62A75" w14:textId="727A2527" w:rsidR="00E1699D" w:rsidRDefault="00E1699D" w:rsidP="00E1699D">
      <w:pPr>
        <w:pStyle w:val="NormalBulletround"/>
      </w:pPr>
      <w:r>
        <w:t>The weighted criteria by which all proposals will be evaluated</w:t>
      </w:r>
    </w:p>
    <w:p w14:paraId="6B82126B" w14:textId="5C9674A4" w:rsidR="004D1C50" w:rsidRDefault="00A02455" w:rsidP="00A02455">
      <w:pPr>
        <w:pStyle w:val="Heading2NoNumb"/>
      </w:pPr>
      <w:bookmarkStart w:id="8" w:name="_Toc111551913"/>
      <w:r>
        <w:lastRenderedPageBreak/>
        <w:t>Purpose of the document</w:t>
      </w:r>
      <w:bookmarkEnd w:id="8"/>
    </w:p>
    <w:p w14:paraId="5CB061E3" w14:textId="644A5CA6" w:rsidR="00A02455" w:rsidRDefault="00A02455" w:rsidP="00A02455">
      <w:r>
        <w:t xml:space="preserve">The purpose of this document is to invite proposals for </w:t>
      </w:r>
      <w:r w:rsidR="00123C21" w:rsidRPr="7E19949B">
        <w:rPr>
          <w:rFonts w:eastAsia="Arial" w:cs="Arial"/>
          <w:b/>
          <w:bCs/>
          <w:color w:val="000000" w:themeColor="text1"/>
        </w:rPr>
        <w:t>Advice on evaluating and regulating rail strategic planning</w:t>
      </w:r>
      <w:r w:rsidR="00123C21" w:rsidRPr="7E19949B">
        <w:rPr>
          <w:rFonts w:eastAsia="Arial" w:cs="Arial"/>
          <w:color w:val="000000" w:themeColor="text1"/>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9" w:name="_Toc111551914"/>
      <w:r>
        <w:lastRenderedPageBreak/>
        <w:t>Introduction to the Office of Rail and Road</w:t>
      </w:r>
      <w:bookmarkEnd w:id="9"/>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r>
        <w:lastRenderedPageBreak/>
        <w:t>Small and Medium Enterprises</w:t>
      </w:r>
      <w:bookmarkEnd w:id="12"/>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3" w:name="_Toc111551918"/>
      <w:r>
        <w:lastRenderedPageBreak/>
        <w:t>Statement of Requirement</w:t>
      </w:r>
      <w:bookmarkEnd w:id="13"/>
    </w:p>
    <w:p w14:paraId="0C918979" w14:textId="4CE3B4F2" w:rsidR="00F20E70" w:rsidRDefault="00F20E70" w:rsidP="00F20E70">
      <w:pPr>
        <w:pStyle w:val="Heading3"/>
      </w:pPr>
      <w:bookmarkStart w:id="14" w:name="_Toc111551919"/>
      <w:r>
        <w:t>2.1 Background of the project</w:t>
      </w:r>
      <w:bookmarkEnd w:id="14"/>
    </w:p>
    <w:p w14:paraId="207B17A8" w14:textId="77777777" w:rsidR="00123C21" w:rsidRDefault="00123C21" w:rsidP="00123C21">
      <w:pPr>
        <w:rPr>
          <w:rFonts w:eastAsia="Arial" w:cs="Arial"/>
          <w:color w:val="222222"/>
        </w:rPr>
      </w:pPr>
      <w:bookmarkStart w:id="15" w:name="_Toc111551920"/>
      <w:r w:rsidRPr="7E19949B">
        <w:rPr>
          <w:rFonts w:eastAsia="Arial" w:cs="Arial"/>
          <w:b/>
          <w:bCs/>
          <w:color w:val="222222"/>
        </w:rPr>
        <w:t xml:space="preserve">Strategic planning </w:t>
      </w:r>
    </w:p>
    <w:p w14:paraId="2D475E6D" w14:textId="77777777" w:rsidR="00123C21" w:rsidRDefault="00123C21" w:rsidP="00123C21">
      <w:pPr>
        <w:rPr>
          <w:rFonts w:eastAsia="Arial" w:cs="Arial"/>
        </w:rPr>
      </w:pPr>
      <w:r w:rsidRPr="7E19949B">
        <w:rPr>
          <w:rFonts w:eastAsia="Arial" w:cs="Arial"/>
          <w:color w:val="222222"/>
        </w:rPr>
        <w:t xml:space="preserve">Strategic planning (also known as Long Term planning) is the process used by the rail industry to understand what the railway needs to deliver and developing options and proposals for funders. Strategic planning considers rail contributions to economic and social wellbeing, what the network is capable of, likely changes in demand and what kind </w:t>
      </w:r>
      <w:r w:rsidRPr="7E19949B">
        <w:rPr>
          <w:rFonts w:eastAsia="Arial" w:cs="Arial"/>
        </w:rPr>
        <w:t>of changes should be made in the future.</w:t>
      </w:r>
      <w:r w:rsidRPr="7E19949B">
        <w:rPr>
          <w:rFonts w:eastAsia="Arial" w:cs="Arial"/>
          <w:color w:val="222222"/>
        </w:rPr>
        <w:t xml:space="preserve"> The </w:t>
      </w:r>
      <w:proofErr w:type="gramStart"/>
      <w:r w:rsidRPr="7E19949B">
        <w:rPr>
          <w:rFonts w:eastAsia="Arial" w:cs="Arial"/>
          <w:color w:val="222222"/>
        </w:rPr>
        <w:t>Long Term</w:t>
      </w:r>
      <w:proofErr w:type="gramEnd"/>
      <w:r w:rsidRPr="7E19949B">
        <w:rPr>
          <w:rFonts w:eastAsia="Arial" w:cs="Arial"/>
          <w:color w:val="222222"/>
        </w:rPr>
        <w:t xml:space="preserve"> Planning Objective and Long Term Plans are defined in the </w:t>
      </w:r>
      <w:hyperlink r:id="rId20">
        <w:r w:rsidRPr="7E19949B">
          <w:rPr>
            <w:rStyle w:val="Hyperlink"/>
            <w:rFonts w:eastAsia="Arial" w:cs="Arial"/>
          </w:rPr>
          <w:t>network licence</w:t>
        </w:r>
      </w:hyperlink>
      <w:r w:rsidRPr="7E19949B">
        <w:rPr>
          <w:rFonts w:eastAsia="Arial" w:cs="Arial"/>
          <w:color w:val="222222"/>
        </w:rPr>
        <w:t xml:space="preserve">.  Further information is also available on Network Rail’s </w:t>
      </w:r>
      <w:hyperlink r:id="rId21" w:anchor=":~:text=Strategic%20Network%20Planning%20work%20at%20a%20local%20level%2C,the%20railway%20and%20to%20make%20informed%20investment%20decisions.">
        <w:r w:rsidRPr="7E19949B">
          <w:rPr>
            <w:rStyle w:val="Hyperlink"/>
            <w:rFonts w:eastAsia="Arial" w:cs="Arial"/>
          </w:rPr>
          <w:t>website</w:t>
        </w:r>
      </w:hyperlink>
      <w:r w:rsidRPr="7E19949B">
        <w:rPr>
          <w:rFonts w:eastAsia="Arial" w:cs="Arial"/>
          <w:color w:val="222222"/>
        </w:rPr>
        <w:t>.</w:t>
      </w:r>
    </w:p>
    <w:p w14:paraId="25FE3FA2" w14:textId="77777777" w:rsidR="00123C21" w:rsidRDefault="00123C21" w:rsidP="00123C21">
      <w:pPr>
        <w:rPr>
          <w:color w:val="222222"/>
          <w:szCs w:val="24"/>
        </w:rPr>
      </w:pPr>
      <w:r w:rsidRPr="7E19949B">
        <w:rPr>
          <w:rFonts w:eastAsia="Arial" w:cs="Arial"/>
          <w:b/>
          <w:bCs/>
          <w:color w:val="222222"/>
          <w:szCs w:val="24"/>
        </w:rPr>
        <w:t>Rail Reform</w:t>
      </w:r>
    </w:p>
    <w:p w14:paraId="25DC00FF" w14:textId="77777777" w:rsidR="00123C21" w:rsidRPr="00FE211F" w:rsidRDefault="00123C21" w:rsidP="00123C21">
      <w:pPr>
        <w:rPr>
          <w:rFonts w:eastAsia="Arial" w:cs="Arial"/>
          <w:szCs w:val="24"/>
        </w:rPr>
      </w:pPr>
      <w:r w:rsidRPr="707B71A6">
        <w:rPr>
          <w:rFonts w:eastAsia="Arial" w:cs="Arial"/>
          <w:szCs w:val="24"/>
        </w:rPr>
        <w:t xml:space="preserve">The government announced their intention to create Great British Railways (GBR) in the </w:t>
      </w:r>
      <w:hyperlink r:id="rId22" w:history="1">
        <w:r w:rsidRPr="0014111C">
          <w:rPr>
            <w:rStyle w:val="Hyperlink"/>
            <w:rFonts w:cs="Arial"/>
            <w:sz w:val="22"/>
          </w:rPr>
          <w:t>Williams-</w:t>
        </w:r>
        <w:proofErr w:type="spellStart"/>
        <w:r w:rsidRPr="0014111C">
          <w:rPr>
            <w:rStyle w:val="Hyperlink"/>
            <w:rFonts w:cs="Arial"/>
            <w:sz w:val="22"/>
          </w:rPr>
          <w:t>Shapps</w:t>
        </w:r>
        <w:proofErr w:type="spellEnd"/>
        <w:r w:rsidRPr="0014111C">
          <w:rPr>
            <w:rStyle w:val="Hyperlink"/>
            <w:rFonts w:cs="Arial"/>
            <w:sz w:val="22"/>
          </w:rPr>
          <w:t xml:space="preserve"> Plan for Ra</w:t>
        </w:r>
        <w:r w:rsidRPr="0014111C">
          <w:rPr>
            <w:rStyle w:val="Hyperlink"/>
            <w:rFonts w:eastAsia="Arial" w:cs="Arial"/>
          </w:rPr>
          <w:t>il</w:t>
        </w:r>
      </w:hyperlink>
      <w:r w:rsidRPr="707B71A6">
        <w:rPr>
          <w:rFonts w:eastAsia="Arial" w:cs="Arial"/>
          <w:szCs w:val="24"/>
        </w:rPr>
        <w:t xml:space="preserve">.  GBR will be an integrated rail body which will be responsible for managing infrastructure and specifying those train services previously specified by </w:t>
      </w:r>
      <w:proofErr w:type="spellStart"/>
      <w:r w:rsidRPr="707B71A6">
        <w:rPr>
          <w:rFonts w:eastAsia="Arial" w:cs="Arial"/>
          <w:szCs w:val="24"/>
        </w:rPr>
        <w:t>DfT.</w:t>
      </w:r>
      <w:proofErr w:type="spellEnd"/>
      <w:r w:rsidRPr="707B71A6">
        <w:rPr>
          <w:rFonts w:eastAsia="Arial" w:cs="Arial"/>
          <w:szCs w:val="24"/>
        </w:rPr>
        <w:t xml:space="preserve"> In June 2022, DfT set out their more detailed proposals in the </w:t>
      </w:r>
      <w:hyperlink r:id="rId23">
        <w:r w:rsidRPr="707B71A6">
          <w:rPr>
            <w:rStyle w:val="Hyperlink"/>
            <w:rFonts w:eastAsia="Arial" w:cs="Arial"/>
          </w:rPr>
          <w:t>legislative consultation</w:t>
        </w:r>
      </w:hyperlink>
      <w:r w:rsidRPr="707B71A6">
        <w:rPr>
          <w:rFonts w:eastAsia="Arial" w:cs="Arial"/>
          <w:szCs w:val="24"/>
        </w:rPr>
        <w:t xml:space="preserve">.  </w:t>
      </w:r>
    </w:p>
    <w:p w14:paraId="041EF3A2" w14:textId="77777777" w:rsidR="00123C21" w:rsidRPr="00FE211F" w:rsidRDefault="00123C21" w:rsidP="00123C21">
      <w:pPr>
        <w:rPr>
          <w:rFonts w:eastAsia="Arial" w:cs="Arial"/>
          <w:szCs w:val="24"/>
        </w:rPr>
      </w:pPr>
      <w:r w:rsidRPr="707B71A6">
        <w:rPr>
          <w:rFonts w:eastAsia="Arial" w:cs="Arial"/>
          <w:szCs w:val="24"/>
        </w:rPr>
        <w:t xml:space="preserve">The Secretary of State additionally commissioned the GBR Transition Team (GBRTT) to undertake work on simplifying and improving industry </w:t>
      </w:r>
      <w:proofErr w:type="gramStart"/>
      <w:r w:rsidRPr="707B71A6">
        <w:rPr>
          <w:rFonts w:eastAsia="Arial" w:cs="Arial"/>
          <w:szCs w:val="24"/>
        </w:rPr>
        <w:t>processes, and</w:t>
      </w:r>
      <w:proofErr w:type="gramEnd"/>
      <w:r w:rsidRPr="707B71A6">
        <w:rPr>
          <w:rFonts w:eastAsia="Arial" w:cs="Arial"/>
          <w:szCs w:val="24"/>
        </w:rPr>
        <w:t xml:space="preserve"> asked that ORR support this work.  Copies of the letter setting out the scope of this work is available </w:t>
      </w:r>
      <w:hyperlink r:id="rId24">
        <w:r w:rsidRPr="707B71A6">
          <w:rPr>
            <w:rStyle w:val="Hyperlink"/>
            <w:rFonts w:eastAsia="Arial" w:cs="Arial"/>
          </w:rPr>
          <w:t>here</w:t>
        </w:r>
      </w:hyperlink>
      <w:r w:rsidRPr="707B71A6">
        <w:rPr>
          <w:rFonts w:eastAsia="Arial" w:cs="Arial"/>
          <w:szCs w:val="24"/>
        </w:rPr>
        <w:t xml:space="preserve">.  ORR’s work on the commission is being led by our Access Reform team. The Access Reform Team has recently been established within ORR and seeks to support GBRTT in fulfilling </w:t>
      </w:r>
      <w:r>
        <w:rPr>
          <w:rFonts w:eastAsia="Arial" w:cs="Arial"/>
          <w:szCs w:val="24"/>
        </w:rPr>
        <w:t>DfT’s</w:t>
      </w:r>
      <w:r w:rsidRPr="707B71A6">
        <w:rPr>
          <w:rFonts w:eastAsia="Arial" w:cs="Arial"/>
          <w:szCs w:val="24"/>
        </w:rPr>
        <w:t xml:space="preserve"> policy objectives.</w:t>
      </w:r>
    </w:p>
    <w:p w14:paraId="32753BC9" w14:textId="77777777" w:rsidR="00123C21" w:rsidRPr="00FE211F" w:rsidRDefault="00123C21" w:rsidP="00123C21">
      <w:pPr>
        <w:rPr>
          <w:rFonts w:eastAsia="Arial" w:cs="Arial"/>
        </w:rPr>
      </w:pPr>
      <w:r w:rsidRPr="7E19949B">
        <w:rPr>
          <w:rFonts w:eastAsia="Arial" w:cs="Arial"/>
        </w:rPr>
        <w:t xml:space="preserve">The GBRTT commission team have developed four workstreams – access &amp; use of the railway, performance &amp; operations, stations &amp; </w:t>
      </w:r>
      <w:proofErr w:type="gramStart"/>
      <w:r w:rsidRPr="7E19949B">
        <w:rPr>
          <w:rFonts w:eastAsia="Arial" w:cs="Arial"/>
        </w:rPr>
        <w:t>depots</w:t>
      </w:r>
      <w:proofErr w:type="gramEnd"/>
      <w:r w:rsidRPr="7E19949B">
        <w:rPr>
          <w:rFonts w:eastAsia="Arial" w:cs="Arial"/>
        </w:rPr>
        <w:t xml:space="preserve"> and cross-cutting issues.  The workstream on access &amp; use of the railway is developing proposals on strategic planning, service specification, timetable development and the sale of access to the network. Long term or strategic planning is a crucial element in these proposals, and ORR is therefore seeking advice on how to evaluate and regulate strategic planning undertaken by GBR on behalf of funders and the wider rail industry. These proposals will be shared more fully with the successful bidder and members of the project team will have access to ORR and GBRTT team members who are involved in the access &amp; use of the railway workstream.</w:t>
      </w:r>
    </w:p>
    <w:p w14:paraId="70442D15" w14:textId="77777777" w:rsidR="00123C21" w:rsidRPr="00123C21" w:rsidRDefault="00123C21" w:rsidP="00123C21">
      <w:pPr>
        <w:pStyle w:val="NormalNoSpace"/>
        <w:rPr>
          <w:b/>
          <w:bCs/>
        </w:rPr>
      </w:pPr>
      <w:r w:rsidRPr="00123C21">
        <w:rPr>
          <w:b/>
          <w:bCs/>
        </w:rPr>
        <w:t xml:space="preserve">Strategic planning is already a requirement of the Network Rail network licence.  As there are some uncertainties around rail reform and timescales, we are seeking </w:t>
      </w:r>
      <w:r w:rsidRPr="00123C21">
        <w:rPr>
          <w:b/>
          <w:bCs/>
        </w:rPr>
        <w:lastRenderedPageBreak/>
        <w:t xml:space="preserve">advice which is robust to a continuation of current industry structures as well as the creation of GBR.  </w:t>
      </w:r>
    </w:p>
    <w:p w14:paraId="74919ACA" w14:textId="182F7911" w:rsidR="00F20E70" w:rsidRDefault="00F20E70" w:rsidP="00123C21">
      <w:pPr>
        <w:pStyle w:val="Heading3"/>
      </w:pPr>
      <w:r>
        <w:t>2.2 Project Objectives and Scope</w:t>
      </w:r>
      <w:bookmarkEnd w:id="15"/>
    </w:p>
    <w:p w14:paraId="41E8246F" w14:textId="77777777" w:rsidR="00123C21" w:rsidRDefault="00123C21" w:rsidP="00123C21">
      <w:pPr>
        <w:rPr>
          <w:rFonts w:eastAsia="Arial" w:cs="Arial"/>
        </w:rPr>
      </w:pPr>
      <w:bookmarkStart w:id="16" w:name="_Toc111551921"/>
      <w:r w:rsidRPr="7E19949B">
        <w:rPr>
          <w:rFonts w:eastAsia="Arial" w:cs="Arial"/>
          <w:color w:val="222222"/>
        </w:rPr>
        <w:t xml:space="preserve">ORR is seeking advice on its approach to understanding and regulating the Infrastructure Manager’s (IM) delivery of strategic planning.   </w:t>
      </w:r>
    </w:p>
    <w:p w14:paraId="01CA9DA8" w14:textId="77777777" w:rsidR="00123C21" w:rsidRDefault="00123C21" w:rsidP="00123C21">
      <w:pPr>
        <w:rPr>
          <w:rFonts w:eastAsia="Arial" w:cs="Arial"/>
        </w:rPr>
      </w:pPr>
      <w:r w:rsidRPr="7E19949B">
        <w:rPr>
          <w:rFonts w:eastAsia="Arial" w:cs="Arial"/>
        </w:rPr>
        <w:t xml:space="preserve">ORR has previously more directly involved with strategic planning, but during CP6 our engagement with NR’s System Operator has focused more strongly on other issues such as timetabling. We consider that strategic planning is likely to need a stronger regulatory focus during CP7 and would therefore like to consider our capabilities and approach.  </w:t>
      </w:r>
    </w:p>
    <w:p w14:paraId="550ED5A6" w14:textId="77777777" w:rsidR="00123C21" w:rsidRDefault="00123C21" w:rsidP="00123C21">
      <w:pPr>
        <w:rPr>
          <w:rFonts w:eastAsia="Arial" w:cs="Arial"/>
        </w:rPr>
      </w:pPr>
      <w:r w:rsidRPr="7E19949B">
        <w:rPr>
          <w:rFonts w:eastAsia="Arial" w:cs="Arial"/>
        </w:rPr>
        <w:t xml:space="preserve">We are seeking </w:t>
      </w:r>
      <w:r w:rsidRPr="7E19949B">
        <w:rPr>
          <w:rFonts w:eastAsia="Arial" w:cs="Arial"/>
          <w:b/>
          <w:bCs/>
        </w:rPr>
        <w:t>advice and recommendations</w:t>
      </w:r>
      <w:r w:rsidRPr="7E19949B">
        <w:rPr>
          <w:rFonts w:eastAsia="Arial" w:cs="Arial"/>
        </w:rPr>
        <w:t xml:space="preserve"> on the following:</w:t>
      </w:r>
    </w:p>
    <w:p w14:paraId="3527342C" w14:textId="77777777" w:rsidR="00123C21" w:rsidRDefault="00123C21" w:rsidP="00123C21">
      <w:pPr>
        <w:pStyle w:val="ListParagraph"/>
        <w:numPr>
          <w:ilvl w:val="0"/>
          <w:numId w:val="33"/>
        </w:numPr>
        <w:spacing w:line="240" w:lineRule="auto"/>
        <w:rPr>
          <w:rFonts w:eastAsia="Arial" w:cs="Arial"/>
          <w:color w:val="000000" w:themeColor="text1"/>
        </w:rPr>
      </w:pPr>
      <w:r w:rsidRPr="7E19949B">
        <w:rPr>
          <w:rFonts w:eastAsia="Arial" w:cs="Arial"/>
        </w:rPr>
        <w:t>What characteristics and qualities the IM’s strategic planning processes will need to support the public interest and private sector use of the network (freight and open access).</w:t>
      </w:r>
    </w:p>
    <w:p w14:paraId="3C0957EC" w14:textId="77777777" w:rsidR="00123C21" w:rsidRDefault="00123C21" w:rsidP="00123C21">
      <w:pPr>
        <w:pStyle w:val="ListParagraph"/>
        <w:numPr>
          <w:ilvl w:val="0"/>
          <w:numId w:val="33"/>
        </w:numPr>
        <w:spacing w:line="240" w:lineRule="auto"/>
        <w:rPr>
          <w:rFonts w:eastAsia="Arial" w:cs="Arial"/>
          <w:color w:val="000000" w:themeColor="text1"/>
        </w:rPr>
      </w:pPr>
      <w:r w:rsidRPr="293429CA">
        <w:rPr>
          <w:rFonts w:eastAsia="Arial" w:cs="Arial"/>
        </w:rPr>
        <w:t xml:space="preserve">Evaluative commentary on Network Rail’s previous approaches to strategic planning, including: </w:t>
      </w:r>
    </w:p>
    <w:p w14:paraId="4D7ECDB4" w14:textId="77777777" w:rsidR="00123C21" w:rsidRDefault="00123C21" w:rsidP="00123C21">
      <w:pPr>
        <w:pStyle w:val="ListParagraph"/>
        <w:numPr>
          <w:ilvl w:val="1"/>
          <w:numId w:val="33"/>
        </w:numPr>
        <w:spacing w:line="240" w:lineRule="auto"/>
        <w:rPr>
          <w:rFonts w:eastAsia="Arial" w:cs="Arial"/>
          <w:color w:val="000000" w:themeColor="text1"/>
          <w:szCs w:val="24"/>
        </w:rPr>
      </w:pPr>
      <w:r w:rsidRPr="707B71A6">
        <w:rPr>
          <w:rFonts w:eastAsia="Arial" w:cs="Arial"/>
          <w:szCs w:val="24"/>
        </w:rPr>
        <w:t xml:space="preserve">An assessment of what characteristics/qualities worked particularly well, or conversely were problematic </w:t>
      </w:r>
    </w:p>
    <w:p w14:paraId="14A64B7C" w14:textId="77777777" w:rsidR="00123C21" w:rsidRDefault="00123C21" w:rsidP="00123C21">
      <w:pPr>
        <w:pStyle w:val="ListParagraph"/>
        <w:numPr>
          <w:ilvl w:val="1"/>
          <w:numId w:val="33"/>
        </w:numPr>
        <w:spacing w:line="240" w:lineRule="auto"/>
        <w:rPr>
          <w:rFonts w:eastAsia="Arial" w:cs="Arial"/>
          <w:color w:val="000000" w:themeColor="text1"/>
          <w:szCs w:val="24"/>
        </w:rPr>
      </w:pPr>
      <w:r w:rsidRPr="707B71A6">
        <w:rPr>
          <w:rFonts w:eastAsia="Arial" w:cs="Arial"/>
          <w:szCs w:val="24"/>
        </w:rPr>
        <w:t>What fostered good engagement and confidence in the outcomes</w:t>
      </w:r>
    </w:p>
    <w:p w14:paraId="4AAA8666" w14:textId="77777777" w:rsidR="00123C21" w:rsidRDefault="00123C21" w:rsidP="00123C21">
      <w:pPr>
        <w:pStyle w:val="ListParagraph"/>
        <w:numPr>
          <w:ilvl w:val="1"/>
          <w:numId w:val="33"/>
        </w:numPr>
        <w:spacing w:line="240" w:lineRule="auto"/>
        <w:rPr>
          <w:rFonts w:eastAsia="Arial" w:cs="Arial"/>
          <w:color w:val="000000" w:themeColor="text1"/>
          <w:szCs w:val="24"/>
        </w:rPr>
      </w:pPr>
      <w:r w:rsidRPr="707B71A6">
        <w:rPr>
          <w:rFonts w:eastAsia="Arial" w:cs="Arial"/>
          <w:szCs w:val="24"/>
        </w:rPr>
        <w:t>Whether there are lessons to be drawn from previous approaches.</w:t>
      </w:r>
    </w:p>
    <w:p w14:paraId="0AF2D34C" w14:textId="77777777" w:rsidR="00123C21" w:rsidRDefault="00123C21" w:rsidP="00123C21">
      <w:pPr>
        <w:pStyle w:val="ListParagraph"/>
        <w:numPr>
          <w:ilvl w:val="0"/>
          <w:numId w:val="33"/>
        </w:numPr>
        <w:spacing w:line="240" w:lineRule="auto"/>
        <w:rPr>
          <w:rFonts w:eastAsia="Arial" w:cs="Arial"/>
          <w:color w:val="000000" w:themeColor="text1"/>
        </w:rPr>
      </w:pPr>
      <w:r w:rsidRPr="293429CA">
        <w:rPr>
          <w:rFonts w:eastAsia="Arial" w:cs="Arial"/>
        </w:rPr>
        <w:t>What types of behaviours need to be encouraged through our regulatory approach, both within IM and by stakeholders; and how these behaviours can be a) assessed and b) supported/incentivised.</w:t>
      </w:r>
    </w:p>
    <w:p w14:paraId="20A0AEBA" w14:textId="77777777" w:rsidR="00123C21" w:rsidRDefault="00123C21" w:rsidP="00123C21">
      <w:pPr>
        <w:pStyle w:val="ListParagraph"/>
        <w:numPr>
          <w:ilvl w:val="0"/>
          <w:numId w:val="33"/>
        </w:numPr>
        <w:spacing w:line="240" w:lineRule="auto"/>
        <w:rPr>
          <w:rFonts w:eastAsia="Arial" w:cs="Arial"/>
        </w:rPr>
      </w:pPr>
      <w:r w:rsidRPr="7E19949B">
        <w:rPr>
          <w:rFonts w:eastAsia="Arial" w:cs="Arial"/>
        </w:rPr>
        <w:t xml:space="preserve">How the strategic planning function of NR and/or GBR can be held </w:t>
      </w:r>
      <w:r w:rsidRPr="7E19949B">
        <w:rPr>
          <w:rFonts w:eastAsia="Arial" w:cs="Arial"/>
          <w:color w:val="222222"/>
        </w:rPr>
        <w:t xml:space="preserve">to account through Control Period 7.  </w:t>
      </w:r>
      <w:r w:rsidRPr="7E19949B">
        <w:rPr>
          <w:rFonts w:eastAsia="Arial" w:cs="Arial"/>
        </w:rPr>
        <w:t xml:space="preserve">This should include consideration of: </w:t>
      </w:r>
    </w:p>
    <w:p w14:paraId="4F5BDE2D" w14:textId="77777777" w:rsidR="00123C21" w:rsidRDefault="00123C21" w:rsidP="00123C21">
      <w:pPr>
        <w:pStyle w:val="ListParagraph"/>
        <w:numPr>
          <w:ilvl w:val="1"/>
          <w:numId w:val="33"/>
        </w:numPr>
        <w:spacing w:line="240" w:lineRule="auto"/>
      </w:pPr>
      <w:r w:rsidRPr="293429CA">
        <w:rPr>
          <w:rFonts w:eastAsia="Arial" w:cs="Arial"/>
        </w:rPr>
        <w:t>How and when in strategic planning process ORR can most effectively evaluate (and if necessary, intervene in) strategic planning to ensure that it delivers government priorities and stakeholder requirements.</w:t>
      </w:r>
    </w:p>
    <w:p w14:paraId="12673E90" w14:textId="77777777" w:rsidR="00123C21" w:rsidRDefault="00123C21" w:rsidP="00123C21">
      <w:pPr>
        <w:pStyle w:val="ListParagraph"/>
        <w:numPr>
          <w:ilvl w:val="1"/>
          <w:numId w:val="33"/>
        </w:numPr>
        <w:spacing w:after="0" w:line="240" w:lineRule="auto"/>
        <w:rPr>
          <w:rFonts w:eastAsia="Arial" w:cs="Arial"/>
        </w:rPr>
      </w:pPr>
      <w:r w:rsidRPr="293429CA">
        <w:rPr>
          <w:rFonts w:eastAsia="Arial" w:cs="Arial"/>
        </w:rPr>
        <w:t>What elements of the strategic planning process ORR could most effectively seek to evaluate (for example, consideration of “input” issues such as stakeholder engagement; process and capability issues; and output quality.)</w:t>
      </w:r>
    </w:p>
    <w:p w14:paraId="1DD7E877" w14:textId="77777777" w:rsidR="00123C21" w:rsidRDefault="00123C21" w:rsidP="00123C21">
      <w:pPr>
        <w:pStyle w:val="ListParagraph"/>
        <w:numPr>
          <w:ilvl w:val="1"/>
          <w:numId w:val="33"/>
        </w:numPr>
        <w:spacing w:after="0" w:line="240" w:lineRule="auto"/>
      </w:pPr>
      <w:r w:rsidRPr="293429CA">
        <w:rPr>
          <w:rFonts w:eastAsia="Arial" w:cs="Arial"/>
          <w:szCs w:val="24"/>
        </w:rPr>
        <w:t>Whether there are lessons to be drawn for ORR’s approach to holding to account on strategic planning, potentially drawing on previous approaches or the approach taken by other regulators.</w:t>
      </w:r>
    </w:p>
    <w:p w14:paraId="7EFDE203" w14:textId="77777777" w:rsidR="00123C21" w:rsidRDefault="00123C21" w:rsidP="00123C21">
      <w:pPr>
        <w:pStyle w:val="ListParagraph"/>
        <w:numPr>
          <w:ilvl w:val="0"/>
          <w:numId w:val="33"/>
        </w:numPr>
        <w:spacing w:line="240" w:lineRule="auto"/>
        <w:rPr>
          <w:rFonts w:eastAsia="Arial" w:cs="Arial"/>
          <w:color w:val="222222"/>
        </w:rPr>
      </w:pPr>
      <w:r w:rsidRPr="293429CA">
        <w:rPr>
          <w:rFonts w:eastAsia="Arial" w:cs="Arial"/>
          <w:color w:val="222222"/>
        </w:rPr>
        <w:t xml:space="preserve">Updating ORR’s guidelines on strategic planning.  Our current guidance is available here: </w:t>
      </w:r>
      <w:hyperlink r:id="rId25">
        <w:r w:rsidRPr="293429CA">
          <w:rPr>
            <w:rStyle w:val="Hyperlink"/>
          </w:rPr>
          <w:t>Long term planning process | Office of Rail and Road (orr.gov.uk)</w:t>
        </w:r>
      </w:hyperlink>
      <w:r w:rsidRPr="293429CA">
        <w:rPr>
          <w:rFonts w:eastAsia="Arial" w:cs="Arial"/>
          <w:color w:val="222222"/>
        </w:rPr>
        <w:t xml:space="preserve"> </w:t>
      </w:r>
    </w:p>
    <w:p w14:paraId="6CD4838D" w14:textId="77777777" w:rsidR="00123C21" w:rsidRDefault="00123C21" w:rsidP="00123C21">
      <w:pPr>
        <w:pStyle w:val="ListParagraph"/>
        <w:numPr>
          <w:ilvl w:val="0"/>
          <w:numId w:val="33"/>
        </w:numPr>
        <w:spacing w:line="240" w:lineRule="auto"/>
        <w:rPr>
          <w:rFonts w:eastAsia="Arial" w:cs="Arial"/>
          <w:color w:val="222222"/>
          <w:szCs w:val="24"/>
        </w:rPr>
      </w:pPr>
      <w:r w:rsidRPr="707B71A6">
        <w:rPr>
          <w:rFonts w:eastAsia="Arial" w:cs="Arial"/>
          <w:color w:val="222222"/>
          <w:szCs w:val="24"/>
        </w:rPr>
        <w:t xml:space="preserve">What capabilities ORR may need to develop or source to support our future capability in holding </w:t>
      </w:r>
      <w:r>
        <w:rPr>
          <w:rFonts w:eastAsia="Arial" w:cs="Arial"/>
          <w:color w:val="222222"/>
          <w:szCs w:val="24"/>
        </w:rPr>
        <w:t>the IM</w:t>
      </w:r>
      <w:r w:rsidRPr="707B71A6">
        <w:rPr>
          <w:rFonts w:eastAsia="Arial" w:cs="Arial"/>
          <w:color w:val="222222"/>
          <w:szCs w:val="24"/>
        </w:rPr>
        <w:t xml:space="preserve"> to account.</w:t>
      </w:r>
    </w:p>
    <w:p w14:paraId="2FC798CE" w14:textId="77777777" w:rsidR="00123C21" w:rsidRDefault="00123C21" w:rsidP="00123C21">
      <w:pPr>
        <w:rPr>
          <w:rFonts w:eastAsia="Arial" w:cs="Arial"/>
          <w:color w:val="222222"/>
          <w:szCs w:val="24"/>
        </w:rPr>
      </w:pPr>
      <w:r w:rsidRPr="707B71A6">
        <w:rPr>
          <w:rFonts w:eastAsia="Arial" w:cs="Arial"/>
          <w:color w:val="222222"/>
          <w:szCs w:val="24"/>
        </w:rPr>
        <w:t xml:space="preserve">Advice and recommendations should </w:t>
      </w:r>
      <w:r>
        <w:rPr>
          <w:rFonts w:eastAsia="Arial" w:cs="Arial"/>
          <w:color w:val="222222"/>
          <w:szCs w:val="24"/>
        </w:rPr>
        <w:t xml:space="preserve">be robust to the </w:t>
      </w:r>
      <w:proofErr w:type="gramStart"/>
      <w:r w:rsidRPr="707B71A6">
        <w:rPr>
          <w:rFonts w:eastAsia="Arial" w:cs="Arial"/>
          <w:color w:val="222222"/>
          <w:szCs w:val="24"/>
        </w:rPr>
        <w:t>particular circumstances</w:t>
      </w:r>
      <w:proofErr w:type="gramEnd"/>
      <w:r w:rsidRPr="707B71A6">
        <w:rPr>
          <w:rFonts w:eastAsia="Arial" w:cs="Arial"/>
          <w:color w:val="222222"/>
          <w:szCs w:val="24"/>
        </w:rPr>
        <w:t xml:space="preserve"> of GBR as an integrated rail body (responsible for both infrastructure and large proportion of train </w:t>
      </w:r>
      <w:r w:rsidRPr="707B71A6">
        <w:rPr>
          <w:rFonts w:eastAsia="Arial" w:cs="Arial"/>
          <w:color w:val="222222"/>
          <w:szCs w:val="24"/>
        </w:rPr>
        <w:lastRenderedPageBreak/>
        <w:t>service specification)</w:t>
      </w:r>
      <w:r>
        <w:rPr>
          <w:rFonts w:eastAsia="Arial" w:cs="Arial"/>
          <w:color w:val="222222"/>
          <w:szCs w:val="24"/>
        </w:rPr>
        <w:t xml:space="preserve"> and the current position of NR as IM but not franchise authority</w:t>
      </w:r>
      <w:r w:rsidRPr="707B71A6">
        <w:rPr>
          <w:rFonts w:eastAsia="Arial" w:cs="Arial"/>
          <w:color w:val="222222"/>
          <w:szCs w:val="24"/>
        </w:rPr>
        <w:t>. It will be critical that all funders, specifiers, all types of train operator and freight operators have confidence in the strategic planning process</w:t>
      </w:r>
      <w:r>
        <w:rPr>
          <w:rFonts w:eastAsia="Arial" w:cs="Arial"/>
          <w:color w:val="222222"/>
          <w:szCs w:val="24"/>
        </w:rPr>
        <w:t xml:space="preserve"> whatever wider industry structure is in place</w:t>
      </w:r>
      <w:r w:rsidRPr="707B71A6">
        <w:rPr>
          <w:rFonts w:eastAsia="Arial" w:cs="Arial"/>
          <w:color w:val="222222"/>
          <w:szCs w:val="24"/>
        </w:rPr>
        <w:t xml:space="preserve">. </w:t>
      </w:r>
    </w:p>
    <w:p w14:paraId="173DF5EC" w14:textId="77777777" w:rsidR="00123C21" w:rsidRDefault="00123C21" w:rsidP="00123C21">
      <w:pPr>
        <w:rPr>
          <w:rFonts w:eastAsia="Arial" w:cs="Arial"/>
          <w:color w:val="222222"/>
        </w:rPr>
      </w:pPr>
      <w:r w:rsidRPr="293429CA">
        <w:rPr>
          <w:rFonts w:eastAsia="Arial" w:cs="Arial"/>
          <w:b/>
          <w:bCs/>
          <w:color w:val="222222"/>
        </w:rPr>
        <w:t xml:space="preserve">We are not seeking advice on what GBR’s strategic planning process should be, or how it is resourced or delivered.  </w:t>
      </w:r>
      <w:r w:rsidRPr="293429CA">
        <w:rPr>
          <w:rFonts w:eastAsia="Arial" w:cs="Arial"/>
          <w:color w:val="222222"/>
        </w:rPr>
        <w:t xml:space="preserve">This is a matter for GBR.  </w:t>
      </w:r>
    </w:p>
    <w:p w14:paraId="69A75C90" w14:textId="36B54133" w:rsidR="003F3CB0" w:rsidRDefault="00123C21" w:rsidP="00123C21">
      <w:r w:rsidRPr="707B71A6">
        <w:t>We anticipate that this project should be completed within a maximum of 7 weeks from the inception meeting. We may require flexibility with timescales to reflect the dynamic nature of the policy development process.</w:t>
      </w:r>
      <w:bookmarkEnd w:id="16"/>
    </w:p>
    <w:p w14:paraId="480D8983" w14:textId="01271A82" w:rsidR="00DB02EF" w:rsidRDefault="448866E9" w:rsidP="00DB02EF">
      <w:pPr>
        <w:pStyle w:val="Heading4"/>
      </w:pPr>
      <w:r>
        <w:t>Project Outputs and Deliverables</w:t>
      </w:r>
    </w:p>
    <w:p w14:paraId="740740F6" w14:textId="77777777" w:rsidR="00123C21" w:rsidRDefault="448866E9" w:rsidP="448866E9">
      <w:pPr>
        <w:rPr>
          <w:rFonts w:eastAsia="Arial" w:cs="Arial"/>
        </w:rPr>
      </w:pPr>
      <w:r w:rsidRPr="448866E9">
        <w:rPr>
          <w:rFonts w:eastAsia="Arial" w:cs="Arial"/>
        </w:rPr>
        <w:t>The following outputs and deliverables are required:</w:t>
      </w:r>
    </w:p>
    <w:p w14:paraId="13FFBE3E" w14:textId="20208AF0" w:rsidR="00123C21" w:rsidRDefault="448866E9" w:rsidP="448866E9">
      <w:pPr>
        <w:pStyle w:val="ListParagraph"/>
        <w:numPr>
          <w:ilvl w:val="0"/>
          <w:numId w:val="35"/>
        </w:numPr>
        <w:spacing w:line="240" w:lineRule="auto"/>
        <w:ind w:left="360"/>
        <w:rPr>
          <w:rFonts w:asciiTheme="minorHAnsi" w:eastAsiaTheme="minorEastAsia" w:hAnsiTheme="minorHAnsi"/>
          <w:color w:val="222222"/>
          <w:szCs w:val="24"/>
        </w:rPr>
      </w:pPr>
      <w:r w:rsidRPr="448866E9">
        <w:rPr>
          <w:rFonts w:eastAsia="Arial" w:cs="Arial"/>
          <w:color w:val="222222"/>
        </w:rPr>
        <w:t xml:space="preserve">Interim report with emerging findings and recommendations and presentation (at project midpoint, to ensure that ORR </w:t>
      </w:r>
      <w:proofErr w:type="gramStart"/>
      <w:r w:rsidRPr="448866E9">
        <w:rPr>
          <w:rFonts w:eastAsia="Arial" w:cs="Arial"/>
          <w:color w:val="222222"/>
        </w:rPr>
        <w:t>has the opportunity to</w:t>
      </w:r>
      <w:proofErr w:type="gramEnd"/>
      <w:r w:rsidRPr="448866E9">
        <w:rPr>
          <w:rFonts w:eastAsia="Arial" w:cs="Arial"/>
          <w:color w:val="222222"/>
        </w:rPr>
        <w:t xml:space="preserve"> provide comments before the report is finalised). </w:t>
      </w:r>
    </w:p>
    <w:p w14:paraId="55321DB3" w14:textId="77777777" w:rsidR="00123C21" w:rsidRDefault="448866E9" w:rsidP="448866E9">
      <w:pPr>
        <w:pStyle w:val="ListParagraph"/>
        <w:numPr>
          <w:ilvl w:val="0"/>
          <w:numId w:val="35"/>
        </w:numPr>
        <w:spacing w:line="240" w:lineRule="auto"/>
        <w:ind w:left="360"/>
        <w:rPr>
          <w:rFonts w:eastAsia="Arial" w:cs="Arial"/>
          <w:color w:val="222222"/>
        </w:rPr>
      </w:pPr>
      <w:r w:rsidRPr="448866E9">
        <w:rPr>
          <w:rFonts w:eastAsia="Arial" w:cs="Arial"/>
          <w:color w:val="222222"/>
        </w:rPr>
        <w:t>Presentation of the draft report, at least one week prior to the project deadline, to ensure time for the incorporation of amendments.</w:t>
      </w:r>
    </w:p>
    <w:p w14:paraId="21E89E22" w14:textId="414D654C" w:rsidR="00123C21" w:rsidRPr="00123C21" w:rsidRDefault="448866E9" w:rsidP="448866E9">
      <w:pPr>
        <w:pStyle w:val="ListParagraph"/>
        <w:numPr>
          <w:ilvl w:val="0"/>
          <w:numId w:val="35"/>
        </w:numPr>
        <w:spacing w:line="240" w:lineRule="auto"/>
        <w:ind w:left="360"/>
        <w:rPr>
          <w:rFonts w:asciiTheme="minorHAnsi" w:eastAsiaTheme="minorEastAsia" w:hAnsiTheme="minorHAnsi"/>
          <w:color w:val="000000" w:themeColor="text1"/>
          <w:szCs w:val="24"/>
        </w:rPr>
      </w:pPr>
      <w:r w:rsidRPr="448866E9">
        <w:rPr>
          <w:rFonts w:eastAsia="Arial" w:cs="Arial"/>
          <w:color w:val="222222"/>
        </w:rPr>
        <w:t>Delivery of the final report with findings and recommendations.</w:t>
      </w:r>
    </w:p>
    <w:p w14:paraId="0D2D18FB" w14:textId="03C46F25" w:rsidR="00DB02EF" w:rsidRDefault="448866E9" w:rsidP="448866E9">
      <w:pPr>
        <w:rPr>
          <w:rFonts w:eastAsia="Arial" w:cs="Arial"/>
        </w:rPr>
      </w:pPr>
      <w:r w:rsidRPr="448866E9">
        <w:rPr>
          <w:rFonts w:eastAsia="Arial" w:cs="Arial"/>
        </w:rPr>
        <w:t xml:space="preserve">ORR will share the report with GBRTT, Network Rail and other stakeholders for their review and use.  We also expect to publish it on our website.  The report must adhere to our accessibility guidelines.  </w:t>
      </w:r>
    </w:p>
    <w:p w14:paraId="30DFB785" w14:textId="498F0960" w:rsidR="00DB02EF" w:rsidRDefault="448866E9" w:rsidP="00DB02EF">
      <w:pPr>
        <w:pStyle w:val="Heading4"/>
      </w:pPr>
      <w:r>
        <w:t>Contract Management Requirements</w:t>
      </w:r>
    </w:p>
    <w:p w14:paraId="484972C7" w14:textId="77777777" w:rsidR="00123C21" w:rsidRDefault="00123C21" w:rsidP="00123C21">
      <w:pPr>
        <w:pStyle w:val="ListParagraph"/>
        <w:numPr>
          <w:ilvl w:val="0"/>
          <w:numId w:val="36"/>
        </w:numPr>
        <w:spacing w:after="0" w:line="240" w:lineRule="auto"/>
        <w:ind w:left="360"/>
        <w:rPr>
          <w:rFonts w:eastAsia="Arial" w:cs="Arial"/>
          <w:color w:val="222222"/>
          <w:szCs w:val="24"/>
        </w:rPr>
      </w:pPr>
      <w:bookmarkStart w:id="17" w:name="_Toc111551922"/>
      <w:r w:rsidRPr="707B71A6">
        <w:rPr>
          <w:rFonts w:eastAsia="Arial" w:cs="Arial"/>
          <w:color w:val="222222"/>
          <w:szCs w:val="24"/>
        </w:rPr>
        <w:t xml:space="preserve">A short weekly (which may be conducted face to face or via teams) update meeting is required each week for the project duration, which will include interim findings at the end of week three or four. </w:t>
      </w:r>
    </w:p>
    <w:p w14:paraId="44C50E7D" w14:textId="77777777" w:rsidR="00123C21" w:rsidRDefault="00123C21" w:rsidP="00123C21">
      <w:pPr>
        <w:pStyle w:val="ListParagraph"/>
        <w:numPr>
          <w:ilvl w:val="0"/>
          <w:numId w:val="36"/>
        </w:numPr>
        <w:spacing w:after="0" w:line="240" w:lineRule="auto"/>
        <w:ind w:left="360"/>
        <w:rPr>
          <w:rFonts w:eastAsia="Arial" w:cs="Arial"/>
          <w:color w:val="222222"/>
          <w:szCs w:val="24"/>
        </w:rPr>
      </w:pPr>
      <w:r w:rsidRPr="707B71A6">
        <w:rPr>
          <w:rFonts w:eastAsia="Arial" w:cs="Arial"/>
          <w:color w:val="222222"/>
          <w:szCs w:val="24"/>
        </w:rPr>
        <w:t>At the end of week six a draft report is expected, with a final report to the agreed specification, including any required amendments being submitted by the end of week seven.</w:t>
      </w:r>
    </w:p>
    <w:p w14:paraId="75F8969E" w14:textId="18013AB0" w:rsidR="00D6160E" w:rsidRDefault="00AF7AF9" w:rsidP="00AF7AF9">
      <w:pPr>
        <w:pStyle w:val="Heading3"/>
      </w:pPr>
      <w:r>
        <w:t>2.4 Project Timescales</w:t>
      </w:r>
      <w:bookmarkEnd w:id="17"/>
    </w:p>
    <w:p w14:paraId="098244AA" w14:textId="77777777" w:rsidR="00697236" w:rsidRPr="0036077E" w:rsidRDefault="00697236" w:rsidP="00697236">
      <w:pPr>
        <w:autoSpaceDE w:val="0"/>
        <w:autoSpaceDN w:val="0"/>
        <w:adjustRightInd w:val="0"/>
        <w:rPr>
          <w:rFonts w:eastAsia="Arial" w:cs="Arial"/>
          <w:color w:val="000000"/>
          <w:szCs w:val="24"/>
          <w:lang w:eastAsia="en-GB"/>
        </w:rPr>
      </w:pPr>
      <w:bookmarkStart w:id="18" w:name="_Toc111551923"/>
      <w:r w:rsidRPr="707B71A6">
        <w:rPr>
          <w:rFonts w:eastAsia="Arial" w:cs="Arial"/>
          <w:color w:val="000000" w:themeColor="text1"/>
          <w:szCs w:val="24"/>
          <w:lang w:eastAsia="en-GB"/>
        </w:rPr>
        <w:t>The provisional project timetable is as follows:</w:t>
      </w:r>
    </w:p>
    <w:p w14:paraId="6590F1DE" w14:textId="624C8076" w:rsidR="00697236" w:rsidRPr="005C4379" w:rsidRDefault="00543393" w:rsidP="00697236">
      <w:pPr>
        <w:numPr>
          <w:ilvl w:val="0"/>
          <w:numId w:val="37"/>
        </w:numPr>
        <w:autoSpaceDE w:val="0"/>
        <w:autoSpaceDN w:val="0"/>
        <w:adjustRightInd w:val="0"/>
        <w:spacing w:after="0"/>
        <w:rPr>
          <w:rFonts w:eastAsia="Arial" w:cs="Arial"/>
          <w:lang w:eastAsia="en-GB"/>
        </w:rPr>
      </w:pPr>
      <w:r w:rsidRPr="005C4379">
        <w:rPr>
          <w:rFonts w:eastAsia="Arial" w:cs="Arial"/>
          <w:lang w:eastAsia="en-GB"/>
        </w:rPr>
        <w:t>Start-up</w:t>
      </w:r>
      <w:r w:rsidR="00697236" w:rsidRPr="005C4379">
        <w:rPr>
          <w:rFonts w:eastAsia="Arial" w:cs="Arial"/>
          <w:lang w:eastAsia="en-GB"/>
        </w:rPr>
        <w:t xml:space="preserve"> meeting and commencement w/c </w:t>
      </w:r>
      <w:r w:rsidRPr="005C4379">
        <w:rPr>
          <w:rFonts w:eastAsia="Arial" w:cs="Arial"/>
          <w:lang w:eastAsia="en-GB"/>
        </w:rPr>
        <w:t>0</w:t>
      </w:r>
      <w:r w:rsidR="00697236" w:rsidRPr="005C4379">
        <w:rPr>
          <w:rFonts w:eastAsia="Arial" w:cs="Arial"/>
          <w:lang w:eastAsia="en-GB"/>
        </w:rPr>
        <w:t>9 January 2023</w:t>
      </w:r>
    </w:p>
    <w:p w14:paraId="049BAFC3" w14:textId="77777777" w:rsidR="00697236" w:rsidRPr="005C4379" w:rsidRDefault="00697236" w:rsidP="00697236">
      <w:pPr>
        <w:numPr>
          <w:ilvl w:val="0"/>
          <w:numId w:val="37"/>
        </w:numPr>
        <w:autoSpaceDE w:val="0"/>
        <w:autoSpaceDN w:val="0"/>
        <w:adjustRightInd w:val="0"/>
        <w:spacing w:after="0"/>
        <w:rPr>
          <w:rFonts w:eastAsia="Arial" w:cs="Arial"/>
          <w:szCs w:val="24"/>
          <w:lang w:eastAsia="en-GB"/>
        </w:rPr>
      </w:pPr>
      <w:r w:rsidRPr="005C4379">
        <w:rPr>
          <w:rFonts w:eastAsia="Arial" w:cs="Arial"/>
          <w:szCs w:val="24"/>
          <w:lang w:eastAsia="en-GB"/>
        </w:rPr>
        <w:t>Monthly updates on progress and any issues</w:t>
      </w:r>
    </w:p>
    <w:p w14:paraId="63B284B5" w14:textId="77777777" w:rsidR="00697236" w:rsidRPr="005C4379" w:rsidRDefault="00697236" w:rsidP="00697236">
      <w:pPr>
        <w:numPr>
          <w:ilvl w:val="0"/>
          <w:numId w:val="37"/>
        </w:numPr>
        <w:autoSpaceDE w:val="0"/>
        <w:autoSpaceDN w:val="0"/>
        <w:adjustRightInd w:val="0"/>
        <w:spacing w:after="0"/>
        <w:rPr>
          <w:rFonts w:asciiTheme="minorHAnsi" w:eastAsiaTheme="minorEastAsia" w:hAnsiTheme="minorHAnsi"/>
          <w:szCs w:val="24"/>
          <w:lang w:eastAsia="en-GB"/>
        </w:rPr>
      </w:pPr>
      <w:r w:rsidRPr="005C4379">
        <w:rPr>
          <w:rFonts w:eastAsia="Arial" w:cs="Arial"/>
          <w:lang w:eastAsia="en-GB"/>
        </w:rPr>
        <w:t>Presentation of interim findings on w/c 30 January 2023</w:t>
      </w:r>
    </w:p>
    <w:p w14:paraId="529A0EC9" w14:textId="32407D4A" w:rsidR="00697236" w:rsidRPr="005C4379" w:rsidRDefault="00697236" w:rsidP="00697236">
      <w:pPr>
        <w:numPr>
          <w:ilvl w:val="0"/>
          <w:numId w:val="37"/>
        </w:numPr>
        <w:autoSpaceDE w:val="0"/>
        <w:autoSpaceDN w:val="0"/>
        <w:adjustRightInd w:val="0"/>
        <w:spacing w:after="0"/>
        <w:rPr>
          <w:rFonts w:eastAsia="Arial" w:cs="Arial"/>
          <w:lang w:eastAsia="en-GB"/>
        </w:rPr>
      </w:pPr>
      <w:r w:rsidRPr="005C4379">
        <w:rPr>
          <w:rFonts w:eastAsia="Arial" w:cs="Arial"/>
          <w:lang w:eastAsia="en-GB"/>
        </w:rPr>
        <w:t xml:space="preserve">Draft report by w/c </w:t>
      </w:r>
      <w:r w:rsidR="00543393" w:rsidRPr="005C4379">
        <w:rPr>
          <w:rFonts w:eastAsia="Arial" w:cs="Arial"/>
          <w:lang w:eastAsia="en-GB"/>
        </w:rPr>
        <w:t>0</w:t>
      </w:r>
      <w:r w:rsidRPr="005C4379">
        <w:rPr>
          <w:rFonts w:eastAsia="Arial" w:cs="Arial"/>
          <w:lang w:eastAsia="en-GB"/>
        </w:rPr>
        <w:t>6 February 2023</w:t>
      </w:r>
    </w:p>
    <w:p w14:paraId="7B361899" w14:textId="7DF99099" w:rsidR="00697236" w:rsidRPr="005C4379" w:rsidRDefault="00697236" w:rsidP="00697236">
      <w:pPr>
        <w:numPr>
          <w:ilvl w:val="0"/>
          <w:numId w:val="37"/>
        </w:numPr>
        <w:autoSpaceDE w:val="0"/>
        <w:autoSpaceDN w:val="0"/>
        <w:adjustRightInd w:val="0"/>
        <w:spacing w:after="0"/>
        <w:rPr>
          <w:rFonts w:eastAsia="Arial" w:cs="Arial"/>
          <w:lang w:eastAsia="en-GB"/>
        </w:rPr>
      </w:pPr>
      <w:r w:rsidRPr="005C4379">
        <w:rPr>
          <w:rFonts w:eastAsia="Arial" w:cs="Arial"/>
          <w:lang w:eastAsia="en-GB"/>
        </w:rPr>
        <w:t xml:space="preserve">Final report by the Friday 25 February </w:t>
      </w:r>
      <w:r w:rsidR="00543393" w:rsidRPr="005C4379">
        <w:rPr>
          <w:rFonts w:eastAsia="Arial" w:cs="Arial"/>
          <w:lang w:eastAsia="en-GB"/>
        </w:rPr>
        <w:t>2023</w:t>
      </w:r>
    </w:p>
    <w:p w14:paraId="76E3EE61" w14:textId="420F91D1" w:rsidR="00AF7AF9" w:rsidRDefault="00AF7AF9" w:rsidP="00AF7AF9">
      <w:pPr>
        <w:pStyle w:val="Heading3"/>
      </w:pPr>
      <w:r w:rsidRPr="00AF7AF9">
        <w:lastRenderedPageBreak/>
        <w:t>2.5 Budget and Payment Schedule</w:t>
      </w:r>
      <w:bookmarkEnd w:id="18"/>
    </w:p>
    <w:p w14:paraId="28B312FD" w14:textId="77777777" w:rsidR="00697236" w:rsidRDefault="00697236" w:rsidP="00697236">
      <w:pPr>
        <w:rPr>
          <w:rFonts w:eastAsia="Arial" w:cs="Arial"/>
          <w:szCs w:val="24"/>
        </w:rPr>
      </w:pPr>
      <w:r w:rsidRPr="707B71A6">
        <w:rPr>
          <w:rFonts w:eastAsia="Arial" w:cs="Arial"/>
          <w:szCs w:val="24"/>
        </w:rPr>
        <w:t xml:space="preserve">The maximum budget for this is £40,000 (inclusive of expenses, excluding VAT). Interested parties are invited to submit their best offers for consideration. </w:t>
      </w:r>
    </w:p>
    <w:p w14:paraId="0FB80C9E" w14:textId="558E89D2" w:rsidR="00D401C8" w:rsidRDefault="00D401C8" w:rsidP="00697236">
      <w:r>
        <w:t>Payment of the total fee will be on the delivery and acceptance by ORR of all required outputs and/or deliverables.</w:t>
      </w:r>
      <w:r w:rsidR="00697236" w:rsidRPr="00697236">
        <w:rPr>
          <w:rFonts w:eastAsia="Arial" w:cs="Arial"/>
          <w:szCs w:val="24"/>
        </w:rPr>
        <w:t xml:space="preserve"> </w:t>
      </w:r>
      <w:r w:rsidR="00697236" w:rsidRPr="707B71A6">
        <w:rPr>
          <w:rFonts w:eastAsia="Arial" w:cs="Arial"/>
          <w:szCs w:val="24"/>
        </w:rPr>
        <w:t>This is a short duration contract so interim payments will not be considered on this occasion</w:t>
      </w:r>
      <w:r w:rsidR="00697236">
        <w:rPr>
          <w:rFonts w:eastAsia="Arial" w:cs="Arial"/>
          <w:szCs w:val="24"/>
        </w:rPr>
        <w:t>.</w:t>
      </w:r>
    </w:p>
    <w:p w14:paraId="3BB5AE4A" w14:textId="4C2DE6EF" w:rsidR="00AF7AF9" w:rsidRDefault="00AF7AF9" w:rsidP="00AF7AF9">
      <w:pPr>
        <w:pStyle w:val="Heading3"/>
      </w:pPr>
      <w:bookmarkStart w:id="19" w:name="_Toc111551924"/>
      <w:r w:rsidRPr="00AF7AF9">
        <w:t>2.6 Further project related information for bidders</w:t>
      </w:r>
      <w:bookmarkEnd w:id="19"/>
    </w:p>
    <w:p w14:paraId="6B0A6F7D" w14:textId="7ED82BFF" w:rsidR="00697236" w:rsidRDefault="00697236" w:rsidP="00697236">
      <w:pPr>
        <w:pStyle w:val="Heading4"/>
      </w:pPr>
      <w:r>
        <w:t>Clarification session within procurement team</w:t>
      </w:r>
    </w:p>
    <w:p w14:paraId="2D1E41E5" w14:textId="6C05A980" w:rsidR="00697236" w:rsidRDefault="00697236" w:rsidP="00697236">
      <w:r w:rsidRPr="00697236">
        <w:t xml:space="preserve">We will host an online session with the procuring team to allow potential bidders to ask clarification questions.  It is not compulsory to </w:t>
      </w:r>
      <w:proofErr w:type="gramStart"/>
      <w:r w:rsidRPr="00697236">
        <w:t>attend</w:t>
      </w:r>
      <w:proofErr w:type="gramEnd"/>
      <w:r w:rsidRPr="00697236">
        <w:t xml:space="preserve"> and attendance will not impact on scoring.  A summary will be added to the procurement portal.</w:t>
      </w:r>
      <w:r>
        <w:t xml:space="preserve">  </w:t>
      </w:r>
    </w:p>
    <w:p w14:paraId="75CB7E4B" w14:textId="584A1541"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6C2AE1B6" w:rsidR="00C26E3E" w:rsidRDefault="6790E52D" w:rsidP="008640BB">
      <w:pPr>
        <w:pStyle w:val="Heading4"/>
      </w:pPr>
      <w:r>
        <w:t>Confidentiality</w:t>
      </w:r>
    </w:p>
    <w:p w14:paraId="0D4F91B8" w14:textId="77777777" w:rsidR="00697236" w:rsidRDefault="6790E52D" w:rsidP="6790E52D">
      <w:pPr>
        <w:pStyle w:val="ListNumber"/>
        <w:numPr>
          <w:ilvl w:val="0"/>
          <w:numId w:val="0"/>
        </w:numPr>
        <w:spacing w:before="0" w:after="0"/>
        <w:jc w:val="both"/>
        <w:rPr>
          <w:rFonts w:eastAsia="Arial" w:cs="Arial"/>
          <w:color w:val="000000" w:themeColor="text1"/>
        </w:rPr>
      </w:pPr>
      <w:r w:rsidRPr="6790E52D">
        <w:rPr>
          <w:rFonts w:eastAsia="Arial" w:cs="Arial"/>
          <w:color w:val="000000" w:themeColor="text1"/>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4C77C528" w14:textId="7C776A81" w:rsidR="6790E52D" w:rsidRDefault="6790E52D" w:rsidP="6790E52D">
      <w:pPr>
        <w:pStyle w:val="Heading4"/>
        <w:spacing w:before="0" w:after="0"/>
        <w:jc w:val="both"/>
        <w:rPr>
          <w:color w:val="000000" w:themeColor="text1"/>
        </w:rPr>
      </w:pPr>
    </w:p>
    <w:p w14:paraId="21235E0B" w14:textId="384F71BD" w:rsidR="00C26E3E" w:rsidRDefault="6790E52D" w:rsidP="6790E52D">
      <w:pPr>
        <w:pStyle w:val="Heading4"/>
        <w:spacing w:before="0" w:after="0"/>
        <w:jc w:val="both"/>
        <w:rPr>
          <w:rFonts w:eastAsia="Arial" w:cs="Arial"/>
        </w:rPr>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8145C91" w14:textId="77777777" w:rsidR="00697236" w:rsidRDefault="00C26E3E" w:rsidP="00C26E3E">
      <w:pPr>
        <w:pStyle w:val="NormalBulletround"/>
      </w:pPr>
      <w:r>
        <w:lastRenderedPageBreak/>
        <w:t xml:space="preserve">That individual sub-contractors are clearly identified, with fee rates and grades made explicit to the same level of detail as for the members of the lead consulting team. </w:t>
      </w:r>
    </w:p>
    <w:p w14:paraId="49610B7E" w14:textId="34E4C989" w:rsidR="00C26E3E" w:rsidRDefault="00C26E3E" w:rsidP="00C26E3E">
      <w:pPr>
        <w:pStyle w:val="NormalBulletround"/>
      </w:pPr>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0" w:name="_Toc111551925"/>
      <w:r>
        <w:lastRenderedPageBreak/>
        <w:t>Tender Response and Evaluation Criteria</w:t>
      </w:r>
      <w:bookmarkEnd w:id="20"/>
    </w:p>
    <w:p w14:paraId="6C9F4B20" w14:textId="5CFF035D" w:rsidR="001768F1" w:rsidRDefault="001768F1" w:rsidP="001768F1">
      <w:pPr>
        <w:pStyle w:val="Heading3"/>
      </w:pPr>
      <w:bookmarkStart w:id="21" w:name="_Toc111551926"/>
      <w:r>
        <w:t>3.1 The Tender Response</w:t>
      </w:r>
      <w:bookmarkEnd w:id="21"/>
    </w:p>
    <w:p w14:paraId="33A2C61B" w14:textId="503011AC"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0B7118A2" w:rsidR="001768F1" w:rsidRDefault="448866E9"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12B80BCB" w:rsidR="001768F1" w:rsidRDefault="001768F1" w:rsidP="001E7C87">
      <w:pPr>
        <w:pStyle w:val="NormalBullet-"/>
      </w:pPr>
      <w:r>
        <w:t>What support bidders will require from ORR</w:t>
      </w:r>
      <w:r w:rsidR="00697236">
        <w:t xml:space="preserve"> AND </w:t>
      </w:r>
      <w:proofErr w:type="gramStart"/>
      <w:r w:rsidR="00697236">
        <w:t>GBRTT</w:t>
      </w:r>
      <w:r>
        <w:t>;</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75239343" w:rsidR="001768F1" w:rsidRDefault="001768F1" w:rsidP="001E7C87">
      <w:pPr>
        <w:pStyle w:val="NormalBullet-"/>
      </w:pPr>
      <w:r>
        <w:lastRenderedPageBreak/>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2" w:name="_Toc111551927"/>
      <w:r>
        <w:t>3.2 Evaluation Criteria</w:t>
      </w:r>
      <w:bookmarkEnd w:id="22"/>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495B78BB" w14:textId="70D56720" w:rsidR="00374BAE" w:rsidRPr="00374BAE" w:rsidRDefault="005C29ED" w:rsidP="00697236">
      <w:pPr>
        <w:rPr>
          <w:b/>
          <w:bCs/>
          <w:color w:val="B1173B"/>
        </w:rPr>
      </w:pPr>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1A315F01" w:rsidR="005C29ED" w:rsidRPr="00697236" w:rsidRDefault="005C29ED" w:rsidP="00D61976">
      <w:pPr>
        <w:pStyle w:val="Heading4"/>
      </w:pPr>
      <w:r w:rsidRPr="00697236">
        <w:t>Methodology (</w:t>
      </w:r>
      <w:r w:rsidR="00697236" w:rsidRPr="00697236">
        <w:t>30</w:t>
      </w:r>
      <w:r w:rsidRPr="00697236">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107F90B9" w:rsidR="005C29ED" w:rsidRPr="00697236" w:rsidRDefault="005C29ED" w:rsidP="00350594">
      <w:pPr>
        <w:pStyle w:val="Heading4"/>
      </w:pPr>
      <w:r w:rsidRPr="00697236">
        <w:t>Delivery (</w:t>
      </w:r>
      <w:r w:rsidR="00697236" w:rsidRPr="00697236">
        <w:t>20</w:t>
      </w:r>
      <w:r w:rsidRPr="00697236">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0B1F463" w:rsidR="005C29ED" w:rsidRPr="00697236" w:rsidRDefault="005C29ED" w:rsidP="00350594">
      <w:pPr>
        <w:pStyle w:val="Heading4"/>
      </w:pPr>
      <w:r w:rsidRPr="00697236">
        <w:t>Experience (</w:t>
      </w:r>
      <w:r w:rsidR="00697236" w:rsidRPr="00697236">
        <w:t>20</w:t>
      </w:r>
      <w:r w:rsidRPr="00697236">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622A9E1F" w:rsidR="005C29ED" w:rsidRDefault="005C29ED" w:rsidP="00350594">
      <w:pPr>
        <w:pStyle w:val="Heading4"/>
      </w:pPr>
      <w:r>
        <w:t xml:space="preserve">Cost / Value for money </w:t>
      </w:r>
      <w:r w:rsidRPr="00697236">
        <w:t>(</w:t>
      </w:r>
      <w:r w:rsidR="00697236" w:rsidRPr="00697236">
        <w:t>30</w:t>
      </w:r>
      <w:r w:rsidRPr="00697236">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3E8E0DD7" w14:textId="77777777" w:rsidR="002B103B" w:rsidRDefault="002B103B">
      <w:pPr>
        <w:spacing w:after="160" w:line="259" w:lineRule="auto"/>
        <w:rPr>
          <w:rFonts w:eastAsiaTheme="majorEastAsia" w:cstheme="majorBidi"/>
          <w:b/>
          <w:iCs/>
          <w:color w:val="253268" w:themeColor="text2"/>
          <w:sz w:val="28"/>
        </w:rPr>
      </w:pPr>
      <w:r>
        <w:br w:type="page"/>
      </w:r>
    </w:p>
    <w:p w14:paraId="00FD59AC" w14:textId="62930E07"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3" w:name="_Toc111551928"/>
      <w:r w:rsidRPr="002D3643">
        <w:lastRenderedPageBreak/>
        <w:t xml:space="preserve">Procurement </w:t>
      </w:r>
      <w:r>
        <w:t>P</w:t>
      </w:r>
      <w:r w:rsidRPr="002D3643">
        <w:t>rocedures</w:t>
      </w:r>
      <w:bookmarkEnd w:id="23"/>
      <w:r w:rsidRPr="002D3643">
        <w:t xml:space="preserve"> </w:t>
      </w:r>
    </w:p>
    <w:p w14:paraId="038D890E" w14:textId="77777777" w:rsidR="00400432" w:rsidRDefault="00400432" w:rsidP="00400432">
      <w:pPr>
        <w:pStyle w:val="Heading3"/>
      </w:pPr>
      <w:bookmarkStart w:id="24" w:name="_Toc111551929"/>
      <w:r>
        <w:t>Tendering Timetable</w:t>
      </w:r>
      <w:bookmarkEnd w:id="24"/>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448866E9">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448866E9">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7CCCC8B4" w:rsidR="00400432" w:rsidRPr="00400432" w:rsidRDefault="00697236" w:rsidP="00400432">
            <w:pPr>
              <w:pStyle w:val="TblText"/>
            </w:pPr>
            <w:r>
              <w:t>1</w:t>
            </w:r>
            <w:r w:rsidR="00EA7D56">
              <w:t>5</w:t>
            </w:r>
            <w:r>
              <w:t xml:space="preserve"> November 2022</w:t>
            </w:r>
          </w:p>
        </w:tc>
      </w:tr>
      <w:tr w:rsidR="00400432" w:rsidRPr="00400432" w14:paraId="42283B80" w14:textId="77777777" w:rsidTr="448866E9">
        <w:tc>
          <w:tcPr>
            <w:tcW w:w="5569" w:type="dxa"/>
            <w:tcBorders>
              <w:bottom w:val="single" w:sz="12" w:space="0" w:color="FFFFFF" w:themeColor="background2"/>
            </w:tcBorders>
            <w:shd w:val="clear" w:color="auto" w:fill="E4E7F5"/>
          </w:tcPr>
          <w:p w14:paraId="52F2ADF7" w14:textId="10BAF11B" w:rsidR="00400432" w:rsidRPr="005C4379" w:rsidRDefault="00697236" w:rsidP="00400432">
            <w:pPr>
              <w:pStyle w:val="TblText"/>
            </w:pPr>
            <w:r w:rsidRPr="005C4379">
              <w:t>Online clarification session with procurement team to answer any questions – this will be open to all potential bidders</w:t>
            </w:r>
          </w:p>
        </w:tc>
        <w:tc>
          <w:tcPr>
            <w:tcW w:w="4069" w:type="dxa"/>
            <w:tcBorders>
              <w:bottom w:val="single" w:sz="12" w:space="0" w:color="FFFFFF" w:themeColor="background2"/>
            </w:tcBorders>
            <w:shd w:val="clear" w:color="auto" w:fill="E4E7F5"/>
          </w:tcPr>
          <w:p w14:paraId="4308C2DC" w14:textId="5C309848" w:rsidR="00400432" w:rsidRPr="005C4379" w:rsidRDefault="00697236" w:rsidP="00400432">
            <w:pPr>
              <w:pStyle w:val="TblText"/>
            </w:pPr>
            <w:r w:rsidRPr="005C4379">
              <w:t>24 November 2022 10:00hrs</w:t>
            </w:r>
          </w:p>
        </w:tc>
      </w:tr>
      <w:tr w:rsidR="00400432" w:rsidRPr="00400432" w14:paraId="66301268" w14:textId="77777777" w:rsidTr="448866E9">
        <w:tc>
          <w:tcPr>
            <w:tcW w:w="5569" w:type="dxa"/>
            <w:tcBorders>
              <w:bottom w:val="single" w:sz="12" w:space="0" w:color="FFFFFF" w:themeColor="background2"/>
            </w:tcBorders>
            <w:shd w:val="clear" w:color="auto" w:fill="FFFFFF" w:themeFill="background2"/>
          </w:tcPr>
          <w:p w14:paraId="1C7F8594" w14:textId="4CE8C9AD" w:rsidR="00400432" w:rsidRPr="005C4379" w:rsidRDefault="00697236" w:rsidP="00400432">
            <w:pPr>
              <w:pStyle w:val="TblText"/>
            </w:pPr>
            <w:r w:rsidRPr="005C4379">
              <w:t>Deadline for the submission of clarification questions</w:t>
            </w:r>
          </w:p>
        </w:tc>
        <w:tc>
          <w:tcPr>
            <w:tcW w:w="4069" w:type="dxa"/>
            <w:tcBorders>
              <w:bottom w:val="single" w:sz="12" w:space="0" w:color="FFFFFF" w:themeColor="background2"/>
            </w:tcBorders>
            <w:shd w:val="clear" w:color="auto" w:fill="FFFFFF" w:themeFill="background2"/>
          </w:tcPr>
          <w:p w14:paraId="63343DB4" w14:textId="2AF867F1" w:rsidR="00400432" w:rsidRPr="005C4379" w:rsidRDefault="448866E9" w:rsidP="00400432">
            <w:pPr>
              <w:pStyle w:val="TblText"/>
            </w:pPr>
            <w:r>
              <w:t xml:space="preserve">28 November 2022 </w:t>
            </w:r>
          </w:p>
        </w:tc>
      </w:tr>
      <w:tr w:rsidR="00697236" w:rsidRPr="00400432" w14:paraId="4B08FCC5" w14:textId="77777777" w:rsidTr="448866E9">
        <w:tc>
          <w:tcPr>
            <w:tcW w:w="5569" w:type="dxa"/>
            <w:tcBorders>
              <w:bottom w:val="single" w:sz="12" w:space="0" w:color="FFFFFF" w:themeColor="background2"/>
            </w:tcBorders>
            <w:shd w:val="clear" w:color="auto" w:fill="E4E7F5"/>
          </w:tcPr>
          <w:p w14:paraId="5D3F0ED3" w14:textId="4D845763" w:rsidR="00697236" w:rsidRPr="00400432" w:rsidRDefault="00697236" w:rsidP="00697236">
            <w:pPr>
              <w:pStyle w:val="TblText"/>
            </w:pPr>
            <w:r w:rsidRPr="00400432">
              <w:t>Deadline for submission of proposals</w:t>
            </w:r>
          </w:p>
        </w:tc>
        <w:tc>
          <w:tcPr>
            <w:tcW w:w="4069" w:type="dxa"/>
            <w:tcBorders>
              <w:bottom w:val="single" w:sz="12" w:space="0" w:color="FFFFFF" w:themeColor="background2"/>
            </w:tcBorders>
            <w:shd w:val="clear" w:color="auto" w:fill="E4E7F5"/>
          </w:tcPr>
          <w:p w14:paraId="572895D5" w14:textId="4B553E72" w:rsidR="00697236" w:rsidRPr="00400432" w:rsidRDefault="00543393" w:rsidP="00697236">
            <w:pPr>
              <w:pStyle w:val="TblText"/>
            </w:pPr>
            <w:r>
              <w:t>0</w:t>
            </w:r>
            <w:r w:rsidR="00EA7D56">
              <w:t>5</w:t>
            </w:r>
            <w:r>
              <w:t xml:space="preserve"> December 2022 10:00hrs</w:t>
            </w:r>
          </w:p>
        </w:tc>
      </w:tr>
      <w:tr w:rsidR="00697236" w:rsidRPr="00400432" w14:paraId="0217C7BB" w14:textId="77777777" w:rsidTr="448866E9">
        <w:tc>
          <w:tcPr>
            <w:tcW w:w="5569" w:type="dxa"/>
            <w:tcBorders>
              <w:bottom w:val="single" w:sz="12" w:space="0" w:color="FFFFFF" w:themeColor="background2"/>
            </w:tcBorders>
            <w:shd w:val="clear" w:color="auto" w:fill="FFFFFF" w:themeFill="background2"/>
          </w:tcPr>
          <w:p w14:paraId="32D5FD17" w14:textId="12B30997" w:rsidR="00697236" w:rsidRPr="00400432" w:rsidRDefault="00697236" w:rsidP="00697236">
            <w:pPr>
              <w:pStyle w:val="TblText"/>
            </w:pPr>
            <w:r w:rsidRPr="00400432">
              <w:t>Shortlisted suppliers notified</w:t>
            </w:r>
          </w:p>
        </w:tc>
        <w:tc>
          <w:tcPr>
            <w:tcW w:w="4069" w:type="dxa"/>
            <w:tcBorders>
              <w:bottom w:val="single" w:sz="12" w:space="0" w:color="FFFFFF" w:themeColor="background2"/>
            </w:tcBorders>
            <w:shd w:val="clear" w:color="auto" w:fill="FFFFFF" w:themeFill="background2"/>
          </w:tcPr>
          <w:p w14:paraId="565B27EE" w14:textId="6AB5CF23" w:rsidR="00697236" w:rsidRPr="00400432" w:rsidRDefault="00543393" w:rsidP="00543393">
            <w:pPr>
              <w:pStyle w:val="TblText"/>
              <w:ind w:left="0"/>
            </w:pPr>
            <w:r>
              <w:t xml:space="preserve"> </w:t>
            </w:r>
            <w:r w:rsidR="002B103B">
              <w:t xml:space="preserve"> </w:t>
            </w:r>
            <w:r>
              <w:t>09 December 2022</w:t>
            </w:r>
          </w:p>
        </w:tc>
      </w:tr>
      <w:tr w:rsidR="00697236" w:rsidRPr="00400432" w14:paraId="2D3D0936" w14:textId="77777777" w:rsidTr="448866E9">
        <w:tc>
          <w:tcPr>
            <w:tcW w:w="5569" w:type="dxa"/>
            <w:tcBorders>
              <w:bottom w:val="single" w:sz="12" w:space="0" w:color="FFFFFF" w:themeColor="background2"/>
            </w:tcBorders>
            <w:shd w:val="clear" w:color="auto" w:fill="E4E7F5"/>
          </w:tcPr>
          <w:p w14:paraId="6556047B" w14:textId="77777777" w:rsidR="00697236" w:rsidRPr="00400432" w:rsidRDefault="00697236" w:rsidP="00697236">
            <w:pPr>
              <w:pStyle w:val="TblText"/>
            </w:pPr>
            <w:r w:rsidRPr="00400432">
              <w:t>Award contract</w:t>
            </w:r>
          </w:p>
        </w:tc>
        <w:tc>
          <w:tcPr>
            <w:tcW w:w="4069" w:type="dxa"/>
            <w:tcBorders>
              <w:bottom w:val="single" w:sz="12" w:space="0" w:color="FFFFFF" w:themeColor="background2"/>
            </w:tcBorders>
            <w:shd w:val="clear" w:color="auto" w:fill="E4E7F5"/>
          </w:tcPr>
          <w:p w14:paraId="2FF6E1B1" w14:textId="5B515ADF" w:rsidR="00697236" w:rsidRPr="00400432" w:rsidRDefault="00543393" w:rsidP="00697236">
            <w:pPr>
              <w:pStyle w:val="TblText"/>
            </w:pPr>
            <w:r>
              <w:t>w/c 19 December 2022</w:t>
            </w:r>
          </w:p>
        </w:tc>
      </w:tr>
      <w:tr w:rsidR="00697236" w:rsidRPr="00400432" w14:paraId="3E83975E" w14:textId="77777777" w:rsidTr="448866E9">
        <w:tc>
          <w:tcPr>
            <w:tcW w:w="5569" w:type="dxa"/>
            <w:shd w:val="clear" w:color="auto" w:fill="FFFFFF" w:themeFill="background2"/>
          </w:tcPr>
          <w:p w14:paraId="19972227" w14:textId="5DD578EE" w:rsidR="00697236" w:rsidRPr="00400432" w:rsidRDefault="00697236" w:rsidP="00697236">
            <w:pPr>
              <w:pStyle w:val="TblText"/>
            </w:pPr>
            <w:r w:rsidRPr="00400432">
              <w:t xml:space="preserve">Project </w:t>
            </w:r>
            <w:r w:rsidR="002B103B">
              <w:t>i</w:t>
            </w:r>
            <w:r w:rsidRPr="00400432">
              <w:t xml:space="preserve">nception </w:t>
            </w:r>
            <w:r w:rsidR="002B103B">
              <w:t>m</w:t>
            </w:r>
            <w:r w:rsidRPr="00400432">
              <w:t>eeting</w:t>
            </w:r>
          </w:p>
        </w:tc>
        <w:tc>
          <w:tcPr>
            <w:tcW w:w="4069" w:type="dxa"/>
            <w:shd w:val="clear" w:color="auto" w:fill="FFFFFF" w:themeFill="background2"/>
          </w:tcPr>
          <w:p w14:paraId="5605FB39" w14:textId="48254B7D" w:rsidR="00697236" w:rsidRPr="00400432" w:rsidRDefault="00543393" w:rsidP="00697236">
            <w:pPr>
              <w:pStyle w:val="TblText"/>
            </w:pPr>
            <w:r>
              <w:t>09 January 2023</w:t>
            </w:r>
          </w:p>
        </w:tc>
      </w:tr>
    </w:tbl>
    <w:p w14:paraId="3DFADB3D" w14:textId="77777777" w:rsidR="00433557" w:rsidRDefault="00433557" w:rsidP="000A0438">
      <w:pPr>
        <w:pStyle w:val="Heading3"/>
      </w:pPr>
      <w:bookmarkStart w:id="25" w:name="_Toc111551930"/>
      <w:r>
        <w:t>Tendering Instructions and Guidance</w:t>
      </w:r>
      <w:bookmarkEnd w:id="25"/>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6"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lastRenderedPageBreak/>
        <w:t>Please use the following matrix: to list such information:</w:t>
      </w:r>
    </w:p>
    <w:tbl>
      <w:tblPr>
        <w:tblW w:w="973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61"/>
        <w:gridCol w:w="4108"/>
        <w:gridCol w:w="4062"/>
      </w:tblGrid>
      <w:tr w:rsidR="009757DA" w:rsidRPr="009757DA" w14:paraId="7E61A305" w14:textId="77777777" w:rsidTr="00EA7D56">
        <w:trPr>
          <w:trHeight w:val="1866"/>
          <w:tblHeader/>
        </w:trPr>
        <w:tc>
          <w:tcPr>
            <w:tcW w:w="1561" w:type="dxa"/>
            <w:tcBorders>
              <w:bottom w:val="single" w:sz="12" w:space="0" w:color="FFFFFF" w:themeColor="background2"/>
            </w:tcBorders>
            <w:shd w:val="clear" w:color="auto" w:fill="253268" w:themeFill="text2"/>
          </w:tcPr>
          <w:p w14:paraId="41CB7D4C" w14:textId="77777777" w:rsidR="009757DA" w:rsidRPr="009757DA" w:rsidRDefault="009757DA" w:rsidP="009757DA">
            <w:pPr>
              <w:pStyle w:val="TblHeading"/>
            </w:pPr>
            <w:r w:rsidRPr="009757DA">
              <w:t>Para. No.</w:t>
            </w:r>
          </w:p>
        </w:tc>
        <w:tc>
          <w:tcPr>
            <w:tcW w:w="4108" w:type="dxa"/>
            <w:tcBorders>
              <w:bottom w:val="single" w:sz="12" w:space="0" w:color="FFFFFF" w:themeColor="background2"/>
            </w:tcBorders>
            <w:shd w:val="clear" w:color="auto" w:fill="253268" w:themeFill="text2"/>
          </w:tcPr>
          <w:p w14:paraId="3692A061" w14:textId="77777777" w:rsidR="009757DA" w:rsidRPr="009757DA" w:rsidRDefault="009757DA" w:rsidP="009757DA">
            <w:pPr>
              <w:pStyle w:val="TblHeading"/>
            </w:pPr>
            <w:r w:rsidRPr="009757DA">
              <w:t>Description</w:t>
            </w:r>
          </w:p>
        </w:tc>
        <w:tc>
          <w:tcPr>
            <w:tcW w:w="4062" w:type="dxa"/>
            <w:tcBorders>
              <w:bottom w:val="single" w:sz="12" w:space="0" w:color="FFFFFF" w:themeColor="background2"/>
            </w:tcBorders>
            <w:shd w:val="clear" w:color="auto" w:fill="253268" w:themeFill="text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EA7D56">
        <w:trPr>
          <w:trHeight w:val="1252"/>
        </w:trPr>
        <w:tc>
          <w:tcPr>
            <w:tcW w:w="1561" w:type="dxa"/>
            <w:tcBorders>
              <w:bottom w:val="single" w:sz="12" w:space="0" w:color="FFFFFF" w:themeColor="background2"/>
            </w:tcBorders>
            <w:shd w:val="clear" w:color="auto" w:fill="FFFFFF" w:themeFill="background2"/>
          </w:tcPr>
          <w:p w14:paraId="02B7F36D" w14:textId="77777777" w:rsidR="009757DA" w:rsidRPr="009757DA" w:rsidRDefault="009757DA" w:rsidP="009757DA">
            <w:pPr>
              <w:pStyle w:val="TblText"/>
            </w:pPr>
          </w:p>
        </w:tc>
        <w:tc>
          <w:tcPr>
            <w:tcW w:w="4108" w:type="dxa"/>
            <w:tcBorders>
              <w:bottom w:val="single" w:sz="12" w:space="0" w:color="FFFFFF" w:themeColor="background2"/>
            </w:tcBorders>
            <w:shd w:val="clear" w:color="auto" w:fill="FFFFFF" w:themeFill="background2"/>
          </w:tcPr>
          <w:p w14:paraId="660252C5" w14:textId="77777777" w:rsidR="009757DA" w:rsidRPr="009757DA" w:rsidRDefault="009757DA" w:rsidP="009757DA">
            <w:pPr>
              <w:pStyle w:val="TblText"/>
            </w:pPr>
          </w:p>
        </w:tc>
        <w:tc>
          <w:tcPr>
            <w:tcW w:w="4062" w:type="dxa"/>
            <w:tcBorders>
              <w:bottom w:val="single" w:sz="12" w:space="0" w:color="FFFFFF" w:themeColor="background2"/>
            </w:tcBorders>
            <w:shd w:val="clear" w:color="auto" w:fill="FFFFFF" w:themeFill="background2"/>
          </w:tcPr>
          <w:p w14:paraId="022E35ED" w14:textId="77777777" w:rsidR="009757DA" w:rsidRPr="009757DA" w:rsidRDefault="009757DA" w:rsidP="009757DA">
            <w:pPr>
              <w:pStyle w:val="TblText"/>
            </w:pPr>
          </w:p>
        </w:tc>
      </w:tr>
      <w:tr w:rsidR="009757DA" w:rsidRPr="009757DA" w14:paraId="41399DD7" w14:textId="77777777" w:rsidTr="00EA7D56">
        <w:trPr>
          <w:trHeight w:val="1252"/>
        </w:trPr>
        <w:tc>
          <w:tcPr>
            <w:tcW w:w="1561" w:type="dxa"/>
            <w:tcBorders>
              <w:bottom w:val="single" w:sz="12" w:space="0" w:color="FFFFFF" w:themeColor="background2"/>
            </w:tcBorders>
            <w:shd w:val="clear" w:color="auto" w:fill="E4E7F5"/>
          </w:tcPr>
          <w:p w14:paraId="009E6393" w14:textId="77777777" w:rsidR="009757DA" w:rsidRPr="009757DA" w:rsidRDefault="009757DA" w:rsidP="00EA7D56">
            <w:pPr>
              <w:pStyle w:val="TblText"/>
              <w:ind w:left="0"/>
            </w:pPr>
          </w:p>
        </w:tc>
        <w:tc>
          <w:tcPr>
            <w:tcW w:w="4108" w:type="dxa"/>
            <w:tcBorders>
              <w:bottom w:val="single" w:sz="12" w:space="0" w:color="FFFFFF" w:themeColor="background2"/>
            </w:tcBorders>
            <w:shd w:val="clear" w:color="auto" w:fill="E4E7F5"/>
          </w:tcPr>
          <w:p w14:paraId="575EAFEE" w14:textId="77777777" w:rsidR="009757DA" w:rsidRPr="009757DA" w:rsidRDefault="009757DA" w:rsidP="009757DA">
            <w:pPr>
              <w:pStyle w:val="TblText"/>
            </w:pPr>
          </w:p>
        </w:tc>
        <w:tc>
          <w:tcPr>
            <w:tcW w:w="4062" w:type="dxa"/>
            <w:tcBorders>
              <w:bottom w:val="single" w:sz="12" w:space="0" w:color="FFFFFF" w:themeColor="background2"/>
            </w:tcBorders>
            <w:shd w:val="clear" w:color="auto" w:fill="E4E7F5"/>
          </w:tcPr>
          <w:p w14:paraId="669019C6" w14:textId="77777777" w:rsidR="009757DA" w:rsidRPr="009757DA" w:rsidRDefault="009757DA" w:rsidP="009757DA">
            <w:pPr>
              <w:pStyle w:val="TblText"/>
            </w:pPr>
          </w:p>
        </w:tc>
      </w:tr>
      <w:tr w:rsidR="009757DA" w:rsidRPr="009757DA" w14:paraId="50836AA8" w14:textId="77777777" w:rsidTr="00EA7D56">
        <w:trPr>
          <w:trHeight w:val="1252"/>
        </w:trPr>
        <w:tc>
          <w:tcPr>
            <w:tcW w:w="1561" w:type="dxa"/>
            <w:shd w:val="clear" w:color="auto" w:fill="FFFFFF" w:themeFill="background2"/>
          </w:tcPr>
          <w:p w14:paraId="5A6923EF" w14:textId="77777777" w:rsidR="009757DA" w:rsidRPr="009757DA" w:rsidRDefault="009757DA" w:rsidP="00EA7D56">
            <w:pPr>
              <w:pStyle w:val="TblText"/>
              <w:ind w:left="0"/>
            </w:pPr>
          </w:p>
        </w:tc>
        <w:tc>
          <w:tcPr>
            <w:tcW w:w="4108" w:type="dxa"/>
            <w:shd w:val="clear" w:color="auto" w:fill="FFFFFF" w:themeFill="background2"/>
          </w:tcPr>
          <w:p w14:paraId="0E947812" w14:textId="77777777" w:rsidR="009757DA" w:rsidRPr="009757DA" w:rsidRDefault="009757DA" w:rsidP="009757DA">
            <w:pPr>
              <w:pStyle w:val="TblText"/>
            </w:pPr>
          </w:p>
        </w:tc>
        <w:tc>
          <w:tcPr>
            <w:tcW w:w="4062" w:type="dxa"/>
            <w:shd w:val="clear" w:color="auto" w:fill="FFFFFF" w:themeFill="background2"/>
          </w:tcPr>
          <w:p w14:paraId="70CF01C2" w14:textId="77777777" w:rsidR="009757DA" w:rsidRPr="009757DA" w:rsidRDefault="009757DA" w:rsidP="009757DA">
            <w:pPr>
              <w:pStyle w:val="TblText"/>
            </w:pPr>
          </w:p>
        </w:tc>
      </w:tr>
    </w:tbl>
    <w:p w14:paraId="53967A76" w14:textId="77777777" w:rsidR="00AF7AF9" w:rsidRDefault="00AF7AF9" w:rsidP="003F3CB0"/>
    <w:p w14:paraId="130553C4" w14:textId="1DE1AEB8" w:rsidR="003F3CB0" w:rsidRPr="003F3CB0" w:rsidRDefault="003F3CB0" w:rsidP="448866E9">
      <w:pPr>
        <w:pStyle w:val="Numberedparagraphdouble"/>
        <w:numPr>
          <w:ilvl w:val="1"/>
          <w:numId w:val="0"/>
        </w:numPr>
        <w:sectPr w:rsidR="003F3CB0" w:rsidRPr="003F3CB0" w:rsidSect="00C567EC">
          <w:headerReference w:type="even" r:id="rId27"/>
          <w:headerReference w:type="default" r:id="rId28"/>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0"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1"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2" w:history="1">
        <w:r w:rsidR="008F0B87" w:rsidRPr="00C9621C">
          <w:rPr>
            <w:rStyle w:val="Hyperlink"/>
          </w:rPr>
          <w:t>procurementteam@orr.gov.uk</w:t>
        </w:r>
      </w:hyperlink>
      <w:r w:rsidR="008F0B87">
        <w:t xml:space="preserve"> </w:t>
      </w:r>
    </w:p>
    <w:sectPr w:rsidR="00D25F7E" w:rsidRPr="00D25F7E" w:rsidSect="00D25F7E">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6" w:name="bmkBackPage"/>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96852"/>
    <w:multiLevelType w:val="multilevel"/>
    <w:tmpl w:val="D79C245A"/>
    <w:numStyleLink w:val="ORRNormalList"/>
  </w:abstractNum>
  <w:abstractNum w:abstractNumId="11" w15:restartNumberingAfterBreak="0">
    <w:nsid w:val="39A76BCC"/>
    <w:multiLevelType w:val="multilevel"/>
    <w:tmpl w:val="D79C245A"/>
    <w:numStyleLink w:val="ORRNormalList"/>
  </w:abstractNum>
  <w:abstractNum w:abstractNumId="1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895ABC"/>
    <w:multiLevelType w:val="hybridMultilevel"/>
    <w:tmpl w:val="6B04122A"/>
    <w:lvl w:ilvl="0" w:tplc="2D5C8AFA">
      <w:start w:val="1"/>
      <w:numFmt w:val="bullet"/>
      <w:lvlText w:val=""/>
      <w:lvlJc w:val="left"/>
      <w:pPr>
        <w:ind w:left="720" w:hanging="360"/>
      </w:pPr>
      <w:rPr>
        <w:rFonts w:ascii="Symbol" w:hAnsi="Symbol" w:hint="default"/>
      </w:rPr>
    </w:lvl>
    <w:lvl w:ilvl="1" w:tplc="0DEC83E8">
      <w:start w:val="1"/>
      <w:numFmt w:val="bullet"/>
      <w:lvlText w:val="o"/>
      <w:lvlJc w:val="left"/>
      <w:pPr>
        <w:ind w:left="1440" w:hanging="360"/>
      </w:pPr>
      <w:rPr>
        <w:rFonts w:ascii="Courier New" w:hAnsi="Courier New" w:hint="default"/>
      </w:rPr>
    </w:lvl>
    <w:lvl w:ilvl="2" w:tplc="BD5268D4">
      <w:start w:val="1"/>
      <w:numFmt w:val="bullet"/>
      <w:lvlText w:val=""/>
      <w:lvlJc w:val="left"/>
      <w:pPr>
        <w:ind w:left="2160" w:hanging="360"/>
      </w:pPr>
      <w:rPr>
        <w:rFonts w:ascii="Wingdings" w:hAnsi="Wingdings" w:hint="default"/>
      </w:rPr>
    </w:lvl>
    <w:lvl w:ilvl="3" w:tplc="ED72E066">
      <w:start w:val="1"/>
      <w:numFmt w:val="bullet"/>
      <w:lvlText w:val=""/>
      <w:lvlJc w:val="left"/>
      <w:pPr>
        <w:ind w:left="2880" w:hanging="360"/>
      </w:pPr>
      <w:rPr>
        <w:rFonts w:ascii="Symbol" w:hAnsi="Symbol" w:hint="default"/>
      </w:rPr>
    </w:lvl>
    <w:lvl w:ilvl="4" w:tplc="52DE9D28">
      <w:start w:val="1"/>
      <w:numFmt w:val="bullet"/>
      <w:lvlText w:val="o"/>
      <w:lvlJc w:val="left"/>
      <w:pPr>
        <w:ind w:left="3600" w:hanging="360"/>
      </w:pPr>
      <w:rPr>
        <w:rFonts w:ascii="Courier New" w:hAnsi="Courier New" w:hint="default"/>
      </w:rPr>
    </w:lvl>
    <w:lvl w:ilvl="5" w:tplc="70169ACC">
      <w:start w:val="1"/>
      <w:numFmt w:val="bullet"/>
      <w:lvlText w:val=""/>
      <w:lvlJc w:val="left"/>
      <w:pPr>
        <w:ind w:left="4320" w:hanging="360"/>
      </w:pPr>
      <w:rPr>
        <w:rFonts w:ascii="Wingdings" w:hAnsi="Wingdings" w:hint="default"/>
      </w:rPr>
    </w:lvl>
    <w:lvl w:ilvl="6" w:tplc="EC6EF000">
      <w:start w:val="1"/>
      <w:numFmt w:val="bullet"/>
      <w:lvlText w:val=""/>
      <w:lvlJc w:val="left"/>
      <w:pPr>
        <w:ind w:left="5040" w:hanging="360"/>
      </w:pPr>
      <w:rPr>
        <w:rFonts w:ascii="Symbol" w:hAnsi="Symbol" w:hint="default"/>
      </w:rPr>
    </w:lvl>
    <w:lvl w:ilvl="7" w:tplc="E222F3FA">
      <w:start w:val="1"/>
      <w:numFmt w:val="bullet"/>
      <w:lvlText w:val="o"/>
      <w:lvlJc w:val="left"/>
      <w:pPr>
        <w:ind w:left="5760" w:hanging="360"/>
      </w:pPr>
      <w:rPr>
        <w:rFonts w:ascii="Courier New" w:hAnsi="Courier New" w:hint="default"/>
      </w:rPr>
    </w:lvl>
    <w:lvl w:ilvl="8" w:tplc="7FC29EC0">
      <w:start w:val="1"/>
      <w:numFmt w:val="bullet"/>
      <w:lvlText w:val=""/>
      <w:lvlJc w:val="left"/>
      <w:pPr>
        <w:ind w:left="6480" w:hanging="360"/>
      </w:pPr>
      <w:rPr>
        <w:rFonts w:ascii="Wingdings" w:hAnsi="Wingdings" w:hint="default"/>
      </w:r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F25D37"/>
    <w:multiLevelType w:val="hybridMultilevel"/>
    <w:tmpl w:val="9F064C18"/>
    <w:lvl w:ilvl="0" w:tplc="CCBE512A">
      <w:start w:val="1"/>
      <w:numFmt w:val="decimal"/>
      <w:lvlText w:val="%1)"/>
      <w:lvlJc w:val="left"/>
      <w:pPr>
        <w:ind w:left="720" w:hanging="360"/>
      </w:pPr>
    </w:lvl>
    <w:lvl w:ilvl="1" w:tplc="1C2E67D4">
      <w:start w:val="1"/>
      <w:numFmt w:val="lowerLetter"/>
      <w:lvlText w:val="%2."/>
      <w:lvlJc w:val="left"/>
      <w:pPr>
        <w:ind w:left="1440" w:hanging="360"/>
      </w:pPr>
    </w:lvl>
    <w:lvl w:ilvl="2" w:tplc="C8829A04">
      <w:start w:val="1"/>
      <w:numFmt w:val="lowerRoman"/>
      <w:lvlText w:val="%3."/>
      <w:lvlJc w:val="right"/>
      <w:pPr>
        <w:ind w:left="2160" w:hanging="180"/>
      </w:pPr>
    </w:lvl>
    <w:lvl w:ilvl="3" w:tplc="15C22162">
      <w:start w:val="1"/>
      <w:numFmt w:val="decimal"/>
      <w:lvlText w:val="%4."/>
      <w:lvlJc w:val="left"/>
      <w:pPr>
        <w:ind w:left="2880" w:hanging="360"/>
      </w:pPr>
    </w:lvl>
    <w:lvl w:ilvl="4" w:tplc="059C6B12">
      <w:start w:val="1"/>
      <w:numFmt w:val="lowerLetter"/>
      <w:lvlText w:val="%5."/>
      <w:lvlJc w:val="left"/>
      <w:pPr>
        <w:ind w:left="3600" w:hanging="360"/>
      </w:pPr>
    </w:lvl>
    <w:lvl w:ilvl="5" w:tplc="34504138">
      <w:start w:val="1"/>
      <w:numFmt w:val="lowerRoman"/>
      <w:lvlText w:val="%6."/>
      <w:lvlJc w:val="right"/>
      <w:pPr>
        <w:ind w:left="4320" w:hanging="180"/>
      </w:pPr>
    </w:lvl>
    <w:lvl w:ilvl="6" w:tplc="60A04BF6">
      <w:start w:val="1"/>
      <w:numFmt w:val="decimal"/>
      <w:lvlText w:val="%7."/>
      <w:lvlJc w:val="left"/>
      <w:pPr>
        <w:ind w:left="5040" w:hanging="360"/>
      </w:pPr>
    </w:lvl>
    <w:lvl w:ilvl="7" w:tplc="8FAAFB26">
      <w:start w:val="1"/>
      <w:numFmt w:val="lowerLetter"/>
      <w:lvlText w:val="%8."/>
      <w:lvlJc w:val="left"/>
      <w:pPr>
        <w:ind w:left="5760" w:hanging="360"/>
      </w:pPr>
    </w:lvl>
    <w:lvl w:ilvl="8" w:tplc="A912BEEC">
      <w:start w:val="1"/>
      <w:numFmt w:val="lowerRoman"/>
      <w:lvlText w:val="%9."/>
      <w:lvlJc w:val="right"/>
      <w:pPr>
        <w:ind w:left="6480" w:hanging="180"/>
      </w:p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9" w15:restartNumberingAfterBreak="0">
    <w:nsid w:val="62FA4F5C"/>
    <w:multiLevelType w:val="hybridMultilevel"/>
    <w:tmpl w:val="80944288"/>
    <w:lvl w:ilvl="0" w:tplc="CF8240FC">
      <w:start w:val="1"/>
      <w:numFmt w:val="bullet"/>
      <w:lvlText w:val=""/>
      <w:lvlJc w:val="left"/>
      <w:pPr>
        <w:ind w:left="360" w:hanging="360"/>
      </w:pPr>
      <w:rPr>
        <w:rFonts w:ascii="Symbol" w:hAnsi="Symbol" w:hint="default"/>
      </w:rPr>
    </w:lvl>
    <w:lvl w:ilvl="1" w:tplc="88A23DAE">
      <w:start w:val="1"/>
      <w:numFmt w:val="bullet"/>
      <w:lvlText w:val="o"/>
      <w:lvlJc w:val="left"/>
      <w:pPr>
        <w:ind w:left="1080" w:hanging="360"/>
      </w:pPr>
      <w:rPr>
        <w:rFonts w:ascii="Courier New" w:hAnsi="Courier New" w:hint="default"/>
      </w:rPr>
    </w:lvl>
    <w:lvl w:ilvl="2" w:tplc="9CD4EC5A">
      <w:start w:val="1"/>
      <w:numFmt w:val="bullet"/>
      <w:lvlText w:val=""/>
      <w:lvlJc w:val="left"/>
      <w:pPr>
        <w:ind w:left="1800" w:hanging="360"/>
      </w:pPr>
      <w:rPr>
        <w:rFonts w:ascii="Wingdings" w:hAnsi="Wingdings" w:hint="default"/>
      </w:rPr>
    </w:lvl>
    <w:lvl w:ilvl="3" w:tplc="F05A3392">
      <w:start w:val="1"/>
      <w:numFmt w:val="bullet"/>
      <w:lvlText w:val=""/>
      <w:lvlJc w:val="left"/>
      <w:pPr>
        <w:ind w:left="2520" w:hanging="360"/>
      </w:pPr>
      <w:rPr>
        <w:rFonts w:ascii="Symbol" w:hAnsi="Symbol" w:hint="default"/>
      </w:rPr>
    </w:lvl>
    <w:lvl w:ilvl="4" w:tplc="E08C1B54">
      <w:start w:val="1"/>
      <w:numFmt w:val="bullet"/>
      <w:lvlText w:val="o"/>
      <w:lvlJc w:val="left"/>
      <w:pPr>
        <w:ind w:left="3240" w:hanging="360"/>
      </w:pPr>
      <w:rPr>
        <w:rFonts w:ascii="Courier New" w:hAnsi="Courier New" w:hint="default"/>
      </w:rPr>
    </w:lvl>
    <w:lvl w:ilvl="5" w:tplc="D83860CE">
      <w:start w:val="1"/>
      <w:numFmt w:val="bullet"/>
      <w:lvlText w:val=""/>
      <w:lvlJc w:val="left"/>
      <w:pPr>
        <w:ind w:left="3960" w:hanging="360"/>
      </w:pPr>
      <w:rPr>
        <w:rFonts w:ascii="Wingdings" w:hAnsi="Wingdings" w:hint="default"/>
      </w:rPr>
    </w:lvl>
    <w:lvl w:ilvl="6" w:tplc="5900EB54">
      <w:start w:val="1"/>
      <w:numFmt w:val="bullet"/>
      <w:lvlText w:val=""/>
      <w:lvlJc w:val="left"/>
      <w:pPr>
        <w:ind w:left="4680" w:hanging="360"/>
      </w:pPr>
      <w:rPr>
        <w:rFonts w:ascii="Symbol" w:hAnsi="Symbol" w:hint="default"/>
      </w:rPr>
    </w:lvl>
    <w:lvl w:ilvl="7" w:tplc="97065634">
      <w:start w:val="1"/>
      <w:numFmt w:val="bullet"/>
      <w:lvlText w:val="o"/>
      <w:lvlJc w:val="left"/>
      <w:pPr>
        <w:ind w:left="5400" w:hanging="360"/>
      </w:pPr>
      <w:rPr>
        <w:rFonts w:ascii="Courier New" w:hAnsi="Courier New" w:hint="default"/>
      </w:rPr>
    </w:lvl>
    <w:lvl w:ilvl="8" w:tplc="78142C26">
      <w:start w:val="1"/>
      <w:numFmt w:val="bullet"/>
      <w:lvlText w:val=""/>
      <w:lvlJc w:val="left"/>
      <w:pPr>
        <w:ind w:left="6120" w:hanging="360"/>
      </w:pPr>
      <w:rPr>
        <w:rFonts w:ascii="Wingdings" w:hAnsi="Wingdings" w:hint="default"/>
      </w:rPr>
    </w:lvl>
  </w:abstractNum>
  <w:abstractNum w:abstractNumId="20" w15:restartNumberingAfterBreak="0">
    <w:nsid w:val="66C60275"/>
    <w:multiLevelType w:val="hybridMultilevel"/>
    <w:tmpl w:val="C338B5F0"/>
    <w:lvl w:ilvl="0" w:tplc="6A18B9AA">
      <w:start w:val="1"/>
      <w:numFmt w:val="bullet"/>
      <w:lvlText w:val=""/>
      <w:lvlJc w:val="left"/>
      <w:pPr>
        <w:ind w:left="720" w:hanging="360"/>
      </w:pPr>
      <w:rPr>
        <w:rFonts w:ascii="Symbol" w:hAnsi="Symbol" w:hint="default"/>
      </w:rPr>
    </w:lvl>
    <w:lvl w:ilvl="1" w:tplc="2A682624">
      <w:start w:val="1"/>
      <w:numFmt w:val="bullet"/>
      <w:lvlText w:val="o"/>
      <w:lvlJc w:val="left"/>
      <w:pPr>
        <w:ind w:left="1440" w:hanging="360"/>
      </w:pPr>
      <w:rPr>
        <w:rFonts w:ascii="Courier New" w:hAnsi="Courier New" w:hint="default"/>
      </w:rPr>
    </w:lvl>
    <w:lvl w:ilvl="2" w:tplc="900E0A6C">
      <w:start w:val="1"/>
      <w:numFmt w:val="bullet"/>
      <w:lvlText w:val=""/>
      <w:lvlJc w:val="left"/>
      <w:pPr>
        <w:ind w:left="2160" w:hanging="360"/>
      </w:pPr>
      <w:rPr>
        <w:rFonts w:ascii="Wingdings" w:hAnsi="Wingdings" w:hint="default"/>
      </w:rPr>
    </w:lvl>
    <w:lvl w:ilvl="3" w:tplc="39087304">
      <w:start w:val="1"/>
      <w:numFmt w:val="bullet"/>
      <w:lvlText w:val=""/>
      <w:lvlJc w:val="left"/>
      <w:pPr>
        <w:ind w:left="2880" w:hanging="360"/>
      </w:pPr>
      <w:rPr>
        <w:rFonts w:ascii="Symbol" w:hAnsi="Symbol" w:hint="default"/>
      </w:rPr>
    </w:lvl>
    <w:lvl w:ilvl="4" w:tplc="0186A9D0">
      <w:start w:val="1"/>
      <w:numFmt w:val="bullet"/>
      <w:lvlText w:val="o"/>
      <w:lvlJc w:val="left"/>
      <w:pPr>
        <w:ind w:left="3600" w:hanging="360"/>
      </w:pPr>
      <w:rPr>
        <w:rFonts w:ascii="Courier New" w:hAnsi="Courier New" w:hint="default"/>
      </w:rPr>
    </w:lvl>
    <w:lvl w:ilvl="5" w:tplc="FF5E71EE">
      <w:start w:val="1"/>
      <w:numFmt w:val="bullet"/>
      <w:lvlText w:val=""/>
      <w:lvlJc w:val="left"/>
      <w:pPr>
        <w:ind w:left="4320" w:hanging="360"/>
      </w:pPr>
      <w:rPr>
        <w:rFonts w:ascii="Wingdings" w:hAnsi="Wingdings" w:hint="default"/>
      </w:rPr>
    </w:lvl>
    <w:lvl w:ilvl="6" w:tplc="22CC441C">
      <w:start w:val="1"/>
      <w:numFmt w:val="bullet"/>
      <w:lvlText w:val=""/>
      <w:lvlJc w:val="left"/>
      <w:pPr>
        <w:ind w:left="5040" w:hanging="360"/>
      </w:pPr>
      <w:rPr>
        <w:rFonts w:ascii="Symbol" w:hAnsi="Symbol" w:hint="default"/>
      </w:rPr>
    </w:lvl>
    <w:lvl w:ilvl="7" w:tplc="75E2FEF0">
      <w:start w:val="1"/>
      <w:numFmt w:val="bullet"/>
      <w:lvlText w:val="o"/>
      <w:lvlJc w:val="left"/>
      <w:pPr>
        <w:ind w:left="5760" w:hanging="360"/>
      </w:pPr>
      <w:rPr>
        <w:rFonts w:ascii="Courier New" w:hAnsi="Courier New" w:hint="default"/>
      </w:rPr>
    </w:lvl>
    <w:lvl w:ilvl="8" w:tplc="C53866D6">
      <w:start w:val="1"/>
      <w:numFmt w:val="bullet"/>
      <w:lvlText w:val=""/>
      <w:lvlJc w:val="left"/>
      <w:pPr>
        <w:ind w:left="6480" w:hanging="360"/>
      </w:pPr>
      <w:rPr>
        <w:rFonts w:ascii="Wingdings" w:hAnsi="Wingdings" w:hint="default"/>
      </w:rPr>
    </w:lvl>
  </w:abstractNum>
  <w:abstractNum w:abstractNumId="21" w15:restartNumberingAfterBreak="0">
    <w:nsid w:val="68BD5682"/>
    <w:multiLevelType w:val="multilevel"/>
    <w:tmpl w:val="EAD453D0"/>
    <w:numStyleLink w:val="NumbListHighlight"/>
  </w:abstractNum>
  <w:abstractNum w:abstractNumId="2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15:restartNumberingAfterBreak="0">
    <w:nsid w:val="774C62AB"/>
    <w:multiLevelType w:val="multilevel"/>
    <w:tmpl w:val="6B204466"/>
    <w:numStyleLink w:val="ORRAnnex"/>
  </w:abstractNum>
  <w:abstractNum w:abstractNumId="25" w15:restartNumberingAfterBreak="0">
    <w:nsid w:val="7DDA5CB4"/>
    <w:multiLevelType w:val="multilevel"/>
    <w:tmpl w:val="6B204466"/>
    <w:numStyleLink w:val="ORRAnnex"/>
  </w:abstractNum>
  <w:num w:numId="1" w16cid:durableId="123300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3"/>
  </w:num>
  <w:num w:numId="3" w16cid:durableId="615990203">
    <w:abstractNumId w:val="6"/>
  </w:num>
  <w:num w:numId="4" w16cid:durableId="1539008159">
    <w:abstractNumId w:val="17"/>
  </w:num>
  <w:num w:numId="5" w16cid:durableId="1334801291">
    <w:abstractNumId w:val="7"/>
  </w:num>
  <w:num w:numId="6" w16cid:durableId="116142554">
    <w:abstractNumId w:val="11"/>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21"/>
  </w:num>
  <w:num w:numId="12" w16cid:durableId="435447028">
    <w:abstractNumId w:val="18"/>
  </w:num>
  <w:num w:numId="13" w16cid:durableId="2048019962">
    <w:abstractNumId w:val="24"/>
  </w:num>
  <w:num w:numId="14" w16cid:durableId="2025738407">
    <w:abstractNumId w:val="21"/>
  </w:num>
  <w:num w:numId="15" w16cid:durableId="150879135">
    <w:abstractNumId w:val="21"/>
  </w:num>
  <w:num w:numId="16" w16cid:durableId="891042484">
    <w:abstractNumId w:val="21"/>
  </w:num>
  <w:num w:numId="17" w16cid:durableId="727414043">
    <w:abstractNumId w:val="18"/>
  </w:num>
  <w:num w:numId="18" w16cid:durableId="1027833524">
    <w:abstractNumId w:val="1"/>
  </w:num>
  <w:num w:numId="19" w16cid:durableId="50661355">
    <w:abstractNumId w:val="5"/>
  </w:num>
  <w:num w:numId="20" w16cid:durableId="1446195555">
    <w:abstractNumId w:val="3"/>
  </w:num>
  <w:num w:numId="21" w16cid:durableId="558327301">
    <w:abstractNumId w:val="25"/>
  </w:num>
  <w:num w:numId="22" w16cid:durableId="463500638">
    <w:abstractNumId w:val="14"/>
  </w:num>
  <w:num w:numId="23" w16cid:durableId="1527019102">
    <w:abstractNumId w:val="2"/>
  </w:num>
  <w:num w:numId="24" w16cid:durableId="199210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22"/>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6"/>
  </w:num>
  <w:num w:numId="33" w16cid:durableId="2101483406">
    <w:abstractNumId w:val="19"/>
  </w:num>
  <w:num w:numId="34" w16cid:durableId="1789815627">
    <w:abstractNumId w:val="15"/>
  </w:num>
  <w:num w:numId="35" w16cid:durableId="2105488581">
    <w:abstractNumId w:val="13"/>
  </w:num>
  <w:num w:numId="36" w16cid:durableId="414278319">
    <w:abstractNumId w:val="20"/>
  </w:num>
  <w:num w:numId="37" w16cid:durableId="1137934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3C21"/>
    <w:rsid w:val="00124D1D"/>
    <w:rsid w:val="00137015"/>
    <w:rsid w:val="00141746"/>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103B"/>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3393"/>
    <w:rsid w:val="00544099"/>
    <w:rsid w:val="00546AF7"/>
    <w:rsid w:val="00555144"/>
    <w:rsid w:val="00555585"/>
    <w:rsid w:val="005612F3"/>
    <w:rsid w:val="005635FA"/>
    <w:rsid w:val="00574B16"/>
    <w:rsid w:val="00580A77"/>
    <w:rsid w:val="00585CEE"/>
    <w:rsid w:val="00591161"/>
    <w:rsid w:val="00596F73"/>
    <w:rsid w:val="005B27FB"/>
    <w:rsid w:val="005B3ED1"/>
    <w:rsid w:val="005B621F"/>
    <w:rsid w:val="005B7791"/>
    <w:rsid w:val="005C0E21"/>
    <w:rsid w:val="005C29ED"/>
    <w:rsid w:val="005C4379"/>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013E"/>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97236"/>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3FB2"/>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90826"/>
    <w:rsid w:val="00A93476"/>
    <w:rsid w:val="00A95FB0"/>
    <w:rsid w:val="00AB3000"/>
    <w:rsid w:val="00AB6599"/>
    <w:rsid w:val="00AC3F17"/>
    <w:rsid w:val="00AD3D82"/>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A783B"/>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A7D56"/>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448866E9"/>
    <w:rsid w:val="6790E5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orr.gov.uk/media/23638" TargetMode="External"/><Relationship Id="rId39" Type="http://schemas.openxmlformats.org/officeDocument/2006/relationships/fontTable" Target="fontTable.xml"/><Relationship Id="rId21" Type="http://schemas.openxmlformats.org/officeDocument/2006/relationships/hyperlink" Target="https://www.networkrail.co.uk/running-the-railway/long-term-planning/" TargetMode="External"/><Relationship Id="rId34"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sites/default/files/om/netwrk_licence.pdf"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orr.gov.uk/sites/default/files/2022-08/delivering-simpler-efficient-more-integrated-railway.pdf" TargetMode="External"/><Relationship Id="rId32" Type="http://schemas.openxmlformats.org/officeDocument/2006/relationships/hyperlink" Target="mailto:procurementteam@orr.gov.uk" TargetMode="External"/><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gov.uk/government/consultations/williams-shapps-plan-for-rail-legislative-changes-to-implement-rail-reform" TargetMode="External"/><Relationship Id="rId28" Type="http://schemas.openxmlformats.org/officeDocument/2006/relationships/header" Target="header7.xm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yperlink" Target="https://www.gov.uk/contracts-finde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gov.uk/government/publications/great-british-railways-williams-shapps-plan-for-rail" TargetMode="External"/><Relationship Id="rId27" Type="http://schemas.openxmlformats.org/officeDocument/2006/relationships/header" Target="header6.xml"/><Relationship Id="rId30" Type="http://schemas.openxmlformats.org/officeDocument/2006/relationships/hyperlink" Target="http:\\www.nationalarchives.gov.uk/doc/open-government-licence/version/3" TargetMode="Externa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orr.gov.uk/monitoring-regulation/rail/networks/network-rail/network-licence/long-term-planning-process" TargetMode="External"/><Relationship Id="rId33" Type="http://schemas.openxmlformats.org/officeDocument/2006/relationships/header" Target="header8.xml"/><Relationship Id="rId38"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843948"/>
    <w:rsid w:val="008B528C"/>
    <w:rsid w:val="009E0644"/>
    <w:rsid w:val="00A257DF"/>
    <w:rsid w:val="00A72823"/>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6</TotalTime>
  <Pages>24</Pages>
  <Words>5132</Words>
  <Characters>29259</Characters>
  <Application>Microsoft Office Word</Application>
  <DocSecurity>0</DocSecurity>
  <Lines>243</Lines>
  <Paragraphs>68</Paragraphs>
  <ScaleCrop>false</ScaleCrop>
  <Company>HP</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Advice on evaluating and regulating rail strategic planning</dc:subject>
  <dc:creator>Angeriz-Santos, Paula</dc:creator>
  <cp:keywords/>
  <dc:description/>
  <cp:lastModifiedBy>Dinkele, Harriet</cp:lastModifiedBy>
  <cp:revision>2</cp:revision>
  <cp:lastPrinted>2021-02-24T15:29:00Z</cp:lastPrinted>
  <dcterms:created xsi:type="dcterms:W3CDTF">2022-11-15T14:28:00Z</dcterms:created>
  <dcterms:modified xsi:type="dcterms:W3CDTF">2022-11-15T14:28:00Z</dcterms:modified>
</cp:coreProperties>
</file>