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4755F4C8" w:rsidR="006568B3" w:rsidRDefault="006568B3" w:rsidP="00854A0D">
      <w:pPr>
        <w:pStyle w:val="MRParties"/>
        <w:numPr>
          <w:ilvl w:val="0"/>
          <w:numId w:val="0"/>
        </w:numPr>
        <w:spacing w:line="240" w:lineRule="auto"/>
        <w:ind w:left="2880" w:hanging="2880"/>
        <w:jc w:val="left"/>
        <w:rPr>
          <w:rFonts w:ascii="Arial" w:hAnsi="Arial" w:cs="Arial"/>
          <w:sz w:val="20"/>
        </w:rPr>
      </w:pPr>
      <w:r>
        <w:rPr>
          <w:rFonts w:ascii="Arial" w:hAnsi="Arial" w:cs="Arial"/>
          <w:sz w:val="20"/>
        </w:rPr>
        <w:t>Contract Title</w:t>
      </w:r>
      <w:r>
        <w:rPr>
          <w:rFonts w:ascii="Arial" w:hAnsi="Arial" w:cs="Arial"/>
          <w:sz w:val="20"/>
        </w:rPr>
        <w:tab/>
      </w:r>
      <w:r w:rsidR="00854A0D" w:rsidRPr="00854A0D">
        <w:rPr>
          <w:rFonts w:ascii="Arial" w:hAnsi="Arial" w:cs="Arial"/>
          <w:sz w:val="20"/>
        </w:rPr>
        <w:t xml:space="preserve">External </w:t>
      </w:r>
      <w:r w:rsidR="00854A0D">
        <w:rPr>
          <w:rFonts w:ascii="Arial" w:hAnsi="Arial" w:cs="Arial"/>
          <w:sz w:val="20"/>
        </w:rPr>
        <w:t>A</w:t>
      </w:r>
      <w:r w:rsidR="00854A0D" w:rsidRPr="00854A0D">
        <w:rPr>
          <w:rFonts w:ascii="Arial" w:hAnsi="Arial" w:cs="Arial"/>
          <w:sz w:val="20"/>
        </w:rPr>
        <w:t xml:space="preserve">dvice to Railway Safety Division on the </w:t>
      </w:r>
      <w:r w:rsidR="00854A0D">
        <w:rPr>
          <w:rFonts w:ascii="Arial" w:hAnsi="Arial" w:cs="Arial"/>
          <w:sz w:val="20"/>
        </w:rPr>
        <w:t>O</w:t>
      </w:r>
      <w:r w:rsidR="00854A0D" w:rsidRPr="00854A0D">
        <w:rPr>
          <w:rFonts w:ascii="Arial" w:hAnsi="Arial" w:cs="Arial"/>
          <w:sz w:val="20"/>
        </w:rPr>
        <w:t xml:space="preserve">verlap </w:t>
      </w:r>
      <w:r w:rsidR="00854A0D">
        <w:rPr>
          <w:rFonts w:ascii="Arial" w:hAnsi="Arial" w:cs="Arial"/>
          <w:sz w:val="20"/>
        </w:rPr>
        <w:t>B</w:t>
      </w:r>
      <w:r w:rsidR="00854A0D" w:rsidRPr="00854A0D">
        <w:rPr>
          <w:rFonts w:ascii="Arial" w:hAnsi="Arial" w:cs="Arial"/>
          <w:sz w:val="20"/>
        </w:rPr>
        <w:t xml:space="preserve">etween </w:t>
      </w:r>
      <w:r w:rsidR="00854A0D">
        <w:rPr>
          <w:rFonts w:ascii="Arial" w:hAnsi="Arial" w:cs="Arial"/>
          <w:sz w:val="20"/>
        </w:rPr>
        <w:t>C</w:t>
      </w:r>
      <w:r w:rsidR="00854A0D" w:rsidRPr="00854A0D">
        <w:rPr>
          <w:rFonts w:ascii="Arial" w:hAnsi="Arial" w:cs="Arial"/>
          <w:sz w:val="20"/>
        </w:rPr>
        <w:t xml:space="preserve">yber </w:t>
      </w:r>
      <w:r w:rsidR="00854A0D">
        <w:rPr>
          <w:rFonts w:ascii="Arial" w:hAnsi="Arial" w:cs="Arial"/>
          <w:sz w:val="20"/>
        </w:rPr>
        <w:t>S</w:t>
      </w:r>
      <w:r w:rsidR="00854A0D" w:rsidRPr="00854A0D">
        <w:rPr>
          <w:rFonts w:ascii="Arial" w:hAnsi="Arial" w:cs="Arial"/>
          <w:sz w:val="20"/>
        </w:rPr>
        <w:t xml:space="preserve">ecurity and </w:t>
      </w:r>
      <w:r w:rsidR="00854A0D">
        <w:rPr>
          <w:rFonts w:ascii="Arial" w:hAnsi="Arial" w:cs="Arial"/>
          <w:sz w:val="20"/>
        </w:rPr>
        <w:t>S</w:t>
      </w:r>
      <w:r w:rsidR="00854A0D" w:rsidRPr="00854A0D">
        <w:rPr>
          <w:rFonts w:ascii="Arial" w:hAnsi="Arial" w:cs="Arial"/>
          <w:sz w:val="20"/>
        </w:rPr>
        <w:t>afety</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79378B2B"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854A0D">
        <w:rPr>
          <w:rFonts w:ascii="Arial" w:hAnsi="Arial" w:cs="Arial"/>
          <w:sz w:val="20"/>
        </w:rPr>
        <w:t>ORR/CT/22-05</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02603C4"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w:t>
            </w:r>
            <w:r w:rsidRPr="003930C8">
              <w:rPr>
                <w:rFonts w:ascii="Arial" w:hAnsi="Arial" w:cs="Arial"/>
                <w:sz w:val="20"/>
              </w:rPr>
              <w:t xml:space="preserve">to </w:t>
            </w:r>
            <w:r w:rsidR="003930C8" w:rsidRPr="003930C8">
              <w:rPr>
                <w:rFonts w:ascii="Arial" w:hAnsi="Arial" w:cs="Arial"/>
                <w:sz w:val="20"/>
              </w:rPr>
              <w:t>3</w:t>
            </w:r>
            <w:r w:rsidRPr="003930C8">
              <w:rPr>
                <w:rFonts w:ascii="Arial" w:hAnsi="Arial" w:cs="Arial"/>
                <w:sz w:val="20"/>
              </w:rPr>
              <w:t xml:space="preserve"> months by</w:t>
            </w:r>
            <w:r w:rsidRPr="00AC088A">
              <w:rPr>
                <w:rFonts w:ascii="Arial" w:hAnsi="Arial" w:cs="Arial"/>
                <w:sz w:val="20"/>
              </w:rPr>
              <w:t xml:space="preserve">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16F333A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 xml:space="preserve">The Contactor shall </w:t>
            </w:r>
            <w:r w:rsidRPr="003930C8">
              <w:rPr>
                <w:rFonts w:ascii="Arial" w:hAnsi="Arial" w:cs="Arial"/>
                <w:sz w:val="20"/>
              </w:rPr>
              <w:t xml:space="preserve">provide </w:t>
            </w:r>
            <w:r w:rsidR="003930C8" w:rsidRPr="003930C8">
              <w:rPr>
                <w:rFonts w:ascii="Arial" w:hAnsi="Arial" w:cs="Arial"/>
                <w:sz w:val="20"/>
              </w:rPr>
              <w:t>the</w:t>
            </w:r>
            <w:r w:rsidRPr="003930C8">
              <w:rPr>
                <w:rFonts w:ascii="Arial" w:hAnsi="Arial" w:cs="Arial"/>
                <w:sz w:val="20"/>
              </w:rPr>
              <w:t xml:space="preserve"> services as further</w:t>
            </w:r>
            <w:r w:rsidRPr="00AC088A">
              <w:rPr>
                <w:rFonts w:ascii="Arial" w:hAnsi="Arial" w:cs="Arial"/>
                <w:sz w:val="20"/>
              </w:rPr>
              <w:t xml:space="preserve">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F5BAC3F" w14:textId="0A7518F2" w:rsidR="003930C8" w:rsidRPr="00AC088A" w:rsidRDefault="006568B3" w:rsidP="003930C8">
            <w:pPr>
              <w:pStyle w:val="MRParties"/>
              <w:numPr>
                <w:ilvl w:val="0"/>
                <w:numId w:val="0"/>
              </w:numPr>
              <w:spacing w:line="240" w:lineRule="auto"/>
              <w:rPr>
                <w:rFonts w:ascii="Arial" w:hAnsi="Arial" w:cs="Arial"/>
                <w:sz w:val="20"/>
              </w:rPr>
            </w:pPr>
            <w:r w:rsidRPr="003930C8">
              <w:rPr>
                <w:rFonts w:ascii="Arial" w:hAnsi="Arial" w:cs="Arial"/>
                <w:sz w:val="20"/>
              </w:rPr>
              <w:t>The CONTRACT PRICE and payment schedule are set out in Schedule 3</w:t>
            </w:r>
          </w:p>
          <w:p w14:paraId="3AEBD5A3" w14:textId="75387F22"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6431D4E3"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3930C8">
        <w:rPr>
          <w:rFonts w:ascii="Arial" w:hAnsi="Arial" w:cs="Arial"/>
          <w:szCs w:val="22"/>
        </w:rPr>
        <w:t xml:space="preserve">The </w:t>
      </w:r>
      <w:r w:rsidR="00292DF5" w:rsidRPr="003930C8">
        <w:rPr>
          <w:rFonts w:ascii="Arial" w:hAnsi="Arial" w:cs="Arial"/>
          <w:szCs w:val="22"/>
        </w:rPr>
        <w:t>Supplier</w:t>
      </w:r>
      <w:r w:rsidRPr="003930C8">
        <w:rPr>
          <w:rFonts w:ascii="Arial" w:hAnsi="Arial" w:cs="Arial"/>
          <w:szCs w:val="22"/>
        </w:rPr>
        <w:t xml:space="preserve"> shall use reasonable </w:t>
      </w:r>
      <w:r w:rsidRPr="003930C8">
        <w:rPr>
          <w:rFonts w:ascii="Arial" w:hAnsi="Arial" w:cs="Arial"/>
        </w:rPr>
        <w:t>endeavours</w:t>
      </w:r>
      <w:r w:rsidRPr="003930C8">
        <w:rPr>
          <w:rFonts w:ascii="Arial" w:hAnsi="Arial" w:cs="Arial"/>
          <w:szCs w:val="22"/>
        </w:rPr>
        <w:t xml:space="preserve"> to ensure the accuracy and completeness of information provided to it by third parties in relation to the subject matter of the Contract.  In addition,</w:t>
      </w:r>
      <w:r w:rsidRPr="003930C8">
        <w:rPr>
          <w:rFonts w:ascii="Arial" w:hAnsi="Arial" w:cs="Arial"/>
          <w:color w:val="FF0000"/>
          <w:szCs w:val="22"/>
        </w:rPr>
        <w:t xml:space="preserve"> </w:t>
      </w:r>
      <w:r w:rsidRPr="003930C8">
        <w:rPr>
          <w:rFonts w:ascii="Arial" w:hAnsi="Arial" w:cs="Arial"/>
          <w:szCs w:val="22"/>
        </w:rPr>
        <w:t>the</w:t>
      </w:r>
      <w:r>
        <w:rPr>
          <w:rFonts w:ascii="Arial" w:hAnsi="Arial" w:cs="Arial"/>
          <w:szCs w:val="22"/>
        </w:rPr>
        <w:t xml:space="preserve"> </w:t>
      </w:r>
      <w:r w:rsidR="00292DF5">
        <w:rPr>
          <w:rFonts w:ascii="Arial" w:hAnsi="Arial" w:cs="Arial"/>
          <w:szCs w:val="22"/>
        </w:rPr>
        <w:t>Supplier</w:t>
      </w:r>
      <w:r>
        <w:rPr>
          <w:rFonts w:ascii="Arial" w:hAnsi="Arial" w:cs="Arial"/>
          <w:szCs w:val="22"/>
        </w:rPr>
        <w:t xml:space="preserve"> shall be responsible for the accuracy and completeness of all drawings, 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5F4CC9CC"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5B4A8F">
        <w:rPr>
          <w:rFonts w:ascii="Arial" w:hAnsi="Arial" w:cs="Arial"/>
          <w:szCs w:val="22"/>
        </w:rPr>
        <w:t>120</w:t>
      </w:r>
      <w:r w:rsidRPr="005B4A8F">
        <w:rPr>
          <w:rFonts w:ascii="Arial" w:hAnsi="Arial" w:cs="Arial"/>
          <w:szCs w:val="22"/>
        </w:rPr>
        <w:t>%</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19A31BEF"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w:t>
      </w:r>
      <w:r w:rsidRPr="005B4A8F">
        <w:rPr>
          <w:rFonts w:ascii="Arial" w:hAnsi="Arial" w:cs="Arial"/>
          <w:szCs w:val="22"/>
        </w:rPr>
        <w:t xml:space="preserve">of five hundred thousand pounds (£500,000) or </w:t>
      </w:r>
      <w:r w:rsidR="005B4A8F" w:rsidRPr="005B4A8F">
        <w:rPr>
          <w:rFonts w:ascii="Arial" w:hAnsi="Arial" w:cs="Arial"/>
          <w:szCs w:val="22"/>
        </w:rPr>
        <w:t>one hundred and twenty five</w:t>
      </w:r>
      <w:r w:rsidRPr="005B4A8F">
        <w:rPr>
          <w:rFonts w:ascii="Arial" w:hAnsi="Arial" w:cs="Arial"/>
          <w:szCs w:val="22"/>
        </w:rPr>
        <w:t xml:space="preserve"> per cent (</w:t>
      </w:r>
      <w:r w:rsidR="005B4A8F" w:rsidRPr="005B4A8F">
        <w:rPr>
          <w:rFonts w:ascii="Arial" w:hAnsi="Arial" w:cs="Arial"/>
          <w:szCs w:val="22"/>
        </w:rPr>
        <w:t>125</w:t>
      </w:r>
      <w:r w:rsidRPr="005B4A8F">
        <w:rPr>
          <w:rFonts w:ascii="Arial" w:hAnsi="Arial" w:cs="Arial"/>
          <w:szCs w:val="22"/>
        </w:rPr>
        <w:t>%) of the amount paid and payable by ORR for the Services (as determined at the date on</w:t>
      </w:r>
      <w:r>
        <w:rPr>
          <w:rFonts w:ascii="Arial" w:hAnsi="Arial" w:cs="Arial"/>
          <w:szCs w:val="22"/>
        </w:rPr>
        <w:t xml:space="preserve">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1BA9F90D" w:rsidR="006568B3" w:rsidRDefault="006568B3">
      <w:pPr>
        <w:jc w:val="center"/>
        <w:rPr>
          <w:rFonts w:ascii="Arial" w:hAnsi="Arial" w:cs="Arial"/>
          <w:i/>
          <w:iCs/>
          <w:szCs w:val="22"/>
          <w:highlight w:val="yellow"/>
        </w:rPr>
      </w:pP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4B8E4AAF" w14:textId="0727AA8A" w:rsidR="006568B3" w:rsidRDefault="006568B3">
      <w:pPr>
        <w:ind w:hanging="4"/>
        <w:jc w:val="center"/>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12F7480A" w:rsidR="006568B3" w:rsidRDefault="005B4A8F" w:rsidP="005B4A8F">
      <w:pPr>
        <w:rPr>
          <w:rFonts w:ascii="Arial" w:hAnsi="Arial" w:cs="Arial"/>
          <w:szCs w:val="22"/>
        </w:rPr>
      </w:pPr>
      <w:r>
        <w:rPr>
          <w:rFonts w:ascii="Arial" w:hAnsi="Arial" w:cs="Arial"/>
          <w:szCs w:val="22"/>
        </w:rPr>
        <w:t>The ORR may pass Confidantial Information to the Supplier as part of a Call Off task.  Where this occurs the ORR will notify th</w:t>
      </w:r>
      <w:r w:rsidR="002B16DF">
        <w:rPr>
          <w:rFonts w:ascii="Arial" w:hAnsi="Arial" w:cs="Arial"/>
          <w:szCs w:val="22"/>
        </w:rPr>
        <w:t>e</w:t>
      </w:r>
      <w:r>
        <w:rPr>
          <w:rFonts w:ascii="Arial" w:hAnsi="Arial" w:cs="Arial"/>
          <w:szCs w:val="22"/>
        </w:rPr>
        <w:t xml:space="preserve"> supplier what infornation is demmed Confidential Information.</w:t>
      </w:r>
      <w:r w:rsidR="006568B3">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1316EA73" w14:textId="74E2979E" w:rsidR="006568B3" w:rsidRDefault="002B16DF" w:rsidP="002B16DF">
      <w:pPr>
        <w:pStyle w:val="BodyText"/>
        <w:jc w:val="center"/>
      </w:pPr>
      <w:r>
        <w:t>N/A</w:t>
      </w: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70B622E2"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2B16DF">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2B16DF">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448665013">
    <w:abstractNumId w:val="16"/>
  </w:num>
  <w:num w:numId="2" w16cid:durableId="583610522">
    <w:abstractNumId w:val="4"/>
  </w:num>
  <w:num w:numId="3" w16cid:durableId="1876236206">
    <w:abstractNumId w:val="12"/>
  </w:num>
  <w:num w:numId="4" w16cid:durableId="445933127">
    <w:abstractNumId w:val="14"/>
  </w:num>
  <w:num w:numId="5" w16cid:durableId="726992146">
    <w:abstractNumId w:val="13"/>
  </w:num>
  <w:num w:numId="6" w16cid:durableId="213275066">
    <w:abstractNumId w:val="15"/>
  </w:num>
  <w:num w:numId="7" w16cid:durableId="818810450">
    <w:abstractNumId w:val="1"/>
  </w:num>
  <w:num w:numId="8" w16cid:durableId="522791246">
    <w:abstractNumId w:val="7"/>
  </w:num>
  <w:num w:numId="9" w16cid:durableId="687679173">
    <w:abstractNumId w:val="11"/>
  </w:num>
  <w:num w:numId="10" w16cid:durableId="1261331088">
    <w:abstractNumId w:val="0"/>
  </w:num>
  <w:num w:numId="11" w16cid:durableId="928195161">
    <w:abstractNumId w:val="5"/>
  </w:num>
  <w:num w:numId="12" w16cid:durableId="1136921154">
    <w:abstractNumId w:val="9"/>
  </w:num>
  <w:num w:numId="13" w16cid:durableId="1892418572">
    <w:abstractNumId w:val="8"/>
  </w:num>
  <w:num w:numId="14" w16cid:durableId="1414548052">
    <w:abstractNumId w:val="2"/>
  </w:num>
  <w:num w:numId="15" w16cid:durableId="582105352">
    <w:abstractNumId w:val="3"/>
  </w:num>
  <w:num w:numId="16" w16cid:durableId="348261823">
    <w:abstractNumId w:val="10"/>
  </w:num>
  <w:num w:numId="17" w16cid:durableId="1850487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B16DF"/>
    <w:rsid w:val="002C20F5"/>
    <w:rsid w:val="0033168E"/>
    <w:rsid w:val="00341027"/>
    <w:rsid w:val="003930C8"/>
    <w:rsid w:val="003B1433"/>
    <w:rsid w:val="003E75C9"/>
    <w:rsid w:val="00461929"/>
    <w:rsid w:val="004622B7"/>
    <w:rsid w:val="00487EE5"/>
    <w:rsid w:val="004E52A2"/>
    <w:rsid w:val="00504D8A"/>
    <w:rsid w:val="00593E94"/>
    <w:rsid w:val="005B4A8F"/>
    <w:rsid w:val="00622E57"/>
    <w:rsid w:val="0064781E"/>
    <w:rsid w:val="006568B3"/>
    <w:rsid w:val="00662175"/>
    <w:rsid w:val="006B6540"/>
    <w:rsid w:val="00707217"/>
    <w:rsid w:val="007D7C2C"/>
    <w:rsid w:val="008306C8"/>
    <w:rsid w:val="00854A0D"/>
    <w:rsid w:val="00887201"/>
    <w:rsid w:val="008957F8"/>
    <w:rsid w:val="008D0B16"/>
    <w:rsid w:val="008E4DBA"/>
    <w:rsid w:val="00A02AFA"/>
    <w:rsid w:val="00A153E2"/>
    <w:rsid w:val="00A17A55"/>
    <w:rsid w:val="00A32CCD"/>
    <w:rsid w:val="00A53407"/>
    <w:rsid w:val="00AD0A8F"/>
    <w:rsid w:val="00B6334D"/>
    <w:rsid w:val="00BD2C75"/>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383152"/>
    <w:rsid w:val="0078061B"/>
    <w:rsid w:val="0082595B"/>
    <w:rsid w:val="00922E6B"/>
    <w:rsid w:val="00937086"/>
    <w:rsid w:val="009B3C84"/>
    <w:rsid w:val="00B83F65"/>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15220</Words>
  <Characters>79259</Characters>
  <Application>Microsoft Office Word</Application>
  <DocSecurity>0</DocSecurity>
  <Lines>660</Lines>
  <Paragraphs>188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Webster, Gayle</cp:lastModifiedBy>
  <cp:revision>2</cp:revision>
  <cp:lastPrinted>2019-02-06T14:49:00Z</cp:lastPrinted>
  <dcterms:created xsi:type="dcterms:W3CDTF">2022-06-08T13:53:00Z</dcterms:created>
  <dcterms:modified xsi:type="dcterms:W3CDTF">2022-06-08T13:53:00Z</dcterms:modified>
  <cp:category/>
</cp:coreProperties>
</file>