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545EE" w14:textId="77777777" w:rsidR="00B17AF8" w:rsidRPr="00976747" w:rsidRDefault="00B17AF8" w:rsidP="00976747">
      <w:pPr>
        <w:rPr>
          <w:sz w:val="2"/>
          <w:szCs w:val="2"/>
        </w:rPr>
      </w:pPr>
    </w:p>
    <w:tbl>
      <w:tblPr>
        <w:tblStyle w:val="TableGrid"/>
        <w:tblW w:w="0" w:type="auto"/>
        <w:jc w:val="center"/>
        <w:tblLook w:val="04A0" w:firstRow="1" w:lastRow="0" w:firstColumn="1" w:lastColumn="0" w:noHBand="0" w:noVBand="1"/>
      </w:tblPr>
      <w:tblGrid>
        <w:gridCol w:w="9242"/>
      </w:tblGrid>
      <w:tr w:rsidR="00B17AF8" w14:paraId="58BC4835" w14:textId="77777777" w:rsidTr="00FB3065">
        <w:trPr>
          <w:jc w:val="center"/>
        </w:trPr>
        <w:tc>
          <w:tcPr>
            <w:tcW w:w="9242" w:type="dxa"/>
            <w:tcBorders>
              <w:top w:val="nil"/>
              <w:left w:val="nil"/>
              <w:bottom w:val="nil"/>
              <w:right w:val="nil"/>
            </w:tcBorders>
            <w:shd w:val="clear" w:color="auto" w:fill="A8D08D" w:themeFill="accent6" w:themeFillTint="99"/>
          </w:tcPr>
          <w:p w14:paraId="2C33C293" w14:textId="2E817478" w:rsidR="00B17AF8" w:rsidRDefault="00B17AF8" w:rsidP="00B17AF8">
            <w:pPr>
              <w:spacing w:line="259" w:lineRule="auto"/>
              <w:jc w:val="center"/>
              <w:rPr>
                <w:rFonts w:ascii="Gill Sans MT" w:hAnsi="Gill Sans MT"/>
                <w:sz w:val="36"/>
                <w:szCs w:val="36"/>
              </w:rPr>
            </w:pPr>
            <w:r>
              <w:rPr>
                <w:rFonts w:ascii="Gill Sans MT" w:hAnsi="Gill Sans MT"/>
                <w:sz w:val="36"/>
                <w:szCs w:val="36"/>
              </w:rPr>
              <w:t>TENDER NOTICE</w:t>
            </w:r>
          </w:p>
        </w:tc>
      </w:tr>
    </w:tbl>
    <w:p w14:paraId="077C96D3" w14:textId="77777777" w:rsidR="00B17AF8" w:rsidRDefault="00B17AF8" w:rsidP="00E47D44">
      <w:pPr>
        <w:rPr>
          <w:rFonts w:ascii="Gill Sans MT" w:hAnsi="Gill Sans MT"/>
          <w:sz w:val="36"/>
          <w:szCs w:val="36"/>
        </w:rPr>
      </w:pPr>
    </w:p>
    <w:p w14:paraId="2BA42415" w14:textId="21F9CF90" w:rsidR="00B17AF8" w:rsidRDefault="00B17AF8" w:rsidP="00B17AF8">
      <w:pPr>
        <w:rPr>
          <w:rFonts w:ascii="Gill Sans MT" w:hAnsi="Gill Sans MT"/>
          <w:sz w:val="28"/>
          <w:szCs w:val="28"/>
        </w:rPr>
      </w:pPr>
      <w:r>
        <w:rPr>
          <w:rFonts w:ascii="Gill Sans MT" w:hAnsi="Gill Sans MT"/>
          <w:sz w:val="28"/>
          <w:szCs w:val="28"/>
        </w:rPr>
        <w:t>Purchase, Delivery and installation of:</w:t>
      </w:r>
    </w:p>
    <w:p w14:paraId="1D4CB8F3" w14:textId="133F3FCC" w:rsidR="00B17AF8" w:rsidRDefault="00B17AF8" w:rsidP="00B17AF8">
      <w:pPr>
        <w:jc w:val="center"/>
        <w:rPr>
          <w:rFonts w:ascii="Gill Sans MT" w:hAnsi="Gill Sans MT"/>
          <w:sz w:val="28"/>
          <w:szCs w:val="28"/>
        </w:rPr>
      </w:pPr>
      <w:r>
        <w:rPr>
          <w:rFonts w:ascii="Gill Sans MT" w:hAnsi="Gill Sans MT"/>
          <w:sz w:val="28"/>
          <w:szCs w:val="28"/>
        </w:rPr>
        <w:t>An Inclusive Play Area in Bexhill-on-Sea, East Sussex</w:t>
      </w:r>
    </w:p>
    <w:p w14:paraId="2828E5EF" w14:textId="77777777" w:rsidR="00957587" w:rsidRDefault="00957587" w:rsidP="00957587">
      <w:pPr>
        <w:rPr>
          <w:rFonts w:ascii="Gill Sans MT" w:hAnsi="Gill Sans MT"/>
          <w:sz w:val="28"/>
          <w:szCs w:val="28"/>
        </w:rPr>
      </w:pPr>
      <w:r>
        <w:rPr>
          <w:rFonts w:ascii="Gill Sans MT" w:hAnsi="Gill Sans MT"/>
          <w:sz w:val="28"/>
          <w:szCs w:val="28"/>
        </w:rPr>
        <w:t xml:space="preserve">Address:  Seabourne Road Recreation Ground, Pebsham, Bexhill-on-Sea, </w:t>
      </w:r>
    </w:p>
    <w:p w14:paraId="53C774FA" w14:textId="2EF7BFA8" w:rsidR="00957587" w:rsidRDefault="00957587" w:rsidP="00957587">
      <w:pPr>
        <w:rPr>
          <w:rFonts w:ascii="Gill Sans MT" w:hAnsi="Gill Sans MT"/>
          <w:sz w:val="28"/>
          <w:szCs w:val="28"/>
        </w:rPr>
      </w:pPr>
      <w:r>
        <w:rPr>
          <w:rFonts w:ascii="Gill Sans MT" w:hAnsi="Gill Sans MT"/>
          <w:sz w:val="28"/>
          <w:szCs w:val="28"/>
        </w:rPr>
        <w:t xml:space="preserve">               East Sussex. TN40 2SN.</w:t>
      </w:r>
    </w:p>
    <w:p w14:paraId="642E5B6B" w14:textId="75CFEBCE" w:rsidR="00957587" w:rsidRDefault="00957587" w:rsidP="00957587">
      <w:pPr>
        <w:rPr>
          <w:rFonts w:ascii="Gill Sans MT" w:hAnsi="Gill Sans MT"/>
          <w:sz w:val="28"/>
          <w:szCs w:val="28"/>
        </w:rPr>
      </w:pPr>
      <w:r>
        <w:rPr>
          <w:rFonts w:ascii="Gill Sans MT" w:hAnsi="Gill Sans MT"/>
          <w:sz w:val="28"/>
          <w:szCs w:val="28"/>
        </w:rPr>
        <w:t>Reference: PIPA-2024-06-01</w:t>
      </w:r>
    </w:p>
    <w:p w14:paraId="6D488350" w14:textId="77777777" w:rsidR="00957587" w:rsidRDefault="00957587" w:rsidP="00957587">
      <w:pPr>
        <w:rPr>
          <w:rFonts w:ascii="Gill Sans MT" w:hAnsi="Gill Sans MT"/>
          <w:sz w:val="28"/>
          <w:szCs w:val="28"/>
        </w:rPr>
      </w:pPr>
      <w:r>
        <w:rPr>
          <w:rFonts w:ascii="Gill Sans MT" w:hAnsi="Gill Sans MT"/>
          <w:sz w:val="28"/>
          <w:szCs w:val="28"/>
        </w:rPr>
        <w:t xml:space="preserve">Description: Purchase, </w:t>
      </w:r>
      <w:proofErr w:type="gramStart"/>
      <w:r>
        <w:rPr>
          <w:rFonts w:ascii="Gill Sans MT" w:hAnsi="Gill Sans MT"/>
          <w:sz w:val="28"/>
          <w:szCs w:val="28"/>
        </w:rPr>
        <w:t>delivery</w:t>
      </w:r>
      <w:proofErr w:type="gramEnd"/>
      <w:r>
        <w:rPr>
          <w:rFonts w:ascii="Gill Sans MT" w:hAnsi="Gill Sans MT"/>
          <w:sz w:val="28"/>
          <w:szCs w:val="28"/>
        </w:rPr>
        <w:t xml:space="preserve"> and installation of inclusive play equipment as                               </w:t>
      </w:r>
      <w:r w:rsidRPr="00957587">
        <w:rPr>
          <w:rFonts w:ascii="Gill Sans MT" w:hAnsi="Gill Sans MT"/>
          <w:color w:val="FFFFFF" w:themeColor="background1"/>
          <w:sz w:val="28"/>
          <w:szCs w:val="28"/>
        </w:rPr>
        <w:t>-------------</w:t>
      </w:r>
      <w:r>
        <w:rPr>
          <w:rFonts w:ascii="Gill Sans MT" w:hAnsi="Gill Sans MT"/>
          <w:sz w:val="28"/>
          <w:szCs w:val="28"/>
        </w:rPr>
        <w:t xml:space="preserve">listed in Appendix 1.  </w:t>
      </w:r>
    </w:p>
    <w:p w14:paraId="04FD8E01" w14:textId="42DE3FF6" w:rsidR="00446C32" w:rsidRDefault="00957587" w:rsidP="00957587">
      <w:pPr>
        <w:rPr>
          <w:rFonts w:ascii="Gill Sans MT" w:hAnsi="Gill Sans MT"/>
          <w:sz w:val="28"/>
          <w:szCs w:val="28"/>
        </w:rPr>
      </w:pPr>
      <w:r>
        <w:rPr>
          <w:rFonts w:ascii="Gill Sans MT" w:hAnsi="Gill Sans MT"/>
          <w:sz w:val="28"/>
          <w:szCs w:val="28"/>
        </w:rPr>
        <w:t>Deadline</w:t>
      </w:r>
      <w:r w:rsidR="00446C32">
        <w:rPr>
          <w:rFonts w:ascii="Gill Sans MT" w:hAnsi="Gill Sans MT"/>
          <w:sz w:val="28"/>
          <w:szCs w:val="28"/>
        </w:rPr>
        <w:t xml:space="preserve"> date for submissions: June 1</w:t>
      </w:r>
      <w:r w:rsidR="00446C32" w:rsidRPr="00446C32">
        <w:rPr>
          <w:rFonts w:ascii="Gill Sans MT" w:hAnsi="Gill Sans MT"/>
          <w:sz w:val="28"/>
          <w:szCs w:val="28"/>
          <w:vertAlign w:val="superscript"/>
        </w:rPr>
        <w:t>st</w:t>
      </w:r>
      <w:r w:rsidR="00446C32">
        <w:rPr>
          <w:rFonts w:ascii="Gill Sans MT" w:hAnsi="Gill Sans MT"/>
          <w:sz w:val="28"/>
          <w:szCs w:val="28"/>
        </w:rPr>
        <w:t>, 2024</w:t>
      </w:r>
    </w:p>
    <w:p w14:paraId="693EC2A2" w14:textId="67A87188" w:rsidR="00957587" w:rsidRDefault="00446C32" w:rsidP="00957587">
      <w:pPr>
        <w:rPr>
          <w:rFonts w:ascii="Gill Sans MT" w:hAnsi="Gill Sans MT"/>
          <w:sz w:val="28"/>
          <w:szCs w:val="28"/>
        </w:rPr>
      </w:pPr>
      <w:r>
        <w:rPr>
          <w:rFonts w:ascii="Gill Sans MT" w:hAnsi="Gill Sans MT"/>
          <w:sz w:val="28"/>
          <w:szCs w:val="28"/>
        </w:rPr>
        <w:t>Posting date:  April 2024</w:t>
      </w:r>
    </w:p>
    <w:p w14:paraId="158B219E" w14:textId="77777777" w:rsidR="00B17AF8" w:rsidRDefault="00B17AF8" w:rsidP="00B17AF8">
      <w:pPr>
        <w:jc w:val="center"/>
        <w:rPr>
          <w:rFonts w:ascii="Gill Sans MT" w:hAnsi="Gill Sans MT"/>
          <w:sz w:val="28"/>
          <w:szCs w:val="28"/>
        </w:rPr>
      </w:pPr>
    </w:p>
    <w:tbl>
      <w:tblPr>
        <w:tblStyle w:val="TableGrid"/>
        <w:tblW w:w="0" w:type="auto"/>
        <w:jc w:val="center"/>
        <w:tblLook w:val="04A0" w:firstRow="1" w:lastRow="0" w:firstColumn="1" w:lastColumn="0" w:noHBand="0" w:noVBand="1"/>
      </w:tblPr>
      <w:tblGrid>
        <w:gridCol w:w="3045"/>
        <w:gridCol w:w="3479"/>
        <w:gridCol w:w="2466"/>
      </w:tblGrid>
      <w:tr w:rsidR="00D84E98" w14:paraId="5E8B916A" w14:textId="77777777" w:rsidTr="00FB3065">
        <w:trPr>
          <w:trHeight w:val="733"/>
          <w:jc w:val="center"/>
        </w:trPr>
        <w:tc>
          <w:tcPr>
            <w:tcW w:w="3045" w:type="dxa"/>
            <w:shd w:val="clear" w:color="auto" w:fill="A8D08D" w:themeFill="accent6" w:themeFillTint="99"/>
          </w:tcPr>
          <w:p w14:paraId="6BBE6082" w14:textId="213AB001" w:rsidR="00D84E98" w:rsidRDefault="00D84E98" w:rsidP="00B17AF8">
            <w:pPr>
              <w:jc w:val="center"/>
              <w:rPr>
                <w:rFonts w:ascii="Gill Sans MT" w:hAnsi="Gill Sans MT"/>
                <w:sz w:val="28"/>
                <w:szCs w:val="28"/>
              </w:rPr>
            </w:pPr>
            <w:r>
              <w:rPr>
                <w:rFonts w:ascii="Gill Sans MT" w:hAnsi="Gill Sans MT"/>
                <w:sz w:val="28"/>
                <w:szCs w:val="28"/>
              </w:rPr>
              <w:t>Category</w:t>
            </w:r>
          </w:p>
        </w:tc>
        <w:tc>
          <w:tcPr>
            <w:tcW w:w="3479" w:type="dxa"/>
            <w:shd w:val="clear" w:color="auto" w:fill="A8D08D" w:themeFill="accent6" w:themeFillTint="99"/>
          </w:tcPr>
          <w:p w14:paraId="0189475A" w14:textId="09B69748" w:rsidR="00D84E98" w:rsidRDefault="00D84E98" w:rsidP="00B17AF8">
            <w:pPr>
              <w:jc w:val="center"/>
              <w:rPr>
                <w:rFonts w:ascii="Gill Sans MT" w:hAnsi="Gill Sans MT"/>
                <w:sz w:val="28"/>
                <w:szCs w:val="28"/>
              </w:rPr>
            </w:pPr>
            <w:r>
              <w:rPr>
                <w:rFonts w:ascii="Gill Sans MT" w:hAnsi="Gill Sans MT"/>
                <w:sz w:val="28"/>
                <w:szCs w:val="28"/>
              </w:rPr>
              <w:t>Earnest Money</w:t>
            </w:r>
          </w:p>
        </w:tc>
        <w:tc>
          <w:tcPr>
            <w:tcW w:w="2466" w:type="dxa"/>
            <w:shd w:val="clear" w:color="auto" w:fill="A8D08D" w:themeFill="accent6" w:themeFillTint="99"/>
          </w:tcPr>
          <w:p w14:paraId="0A82FF5F" w14:textId="73CF0BC4" w:rsidR="00D84E98" w:rsidRDefault="00D84E98" w:rsidP="00B17AF8">
            <w:pPr>
              <w:jc w:val="center"/>
              <w:rPr>
                <w:rFonts w:ascii="Gill Sans MT" w:hAnsi="Gill Sans MT"/>
                <w:sz w:val="28"/>
                <w:szCs w:val="28"/>
              </w:rPr>
            </w:pPr>
            <w:r>
              <w:rPr>
                <w:rFonts w:ascii="Gill Sans MT" w:hAnsi="Gill Sans MT"/>
                <w:sz w:val="28"/>
                <w:szCs w:val="28"/>
              </w:rPr>
              <w:t>Date for Receipt of Sealed Bids</w:t>
            </w:r>
          </w:p>
        </w:tc>
      </w:tr>
      <w:tr w:rsidR="00D84E98" w14:paraId="542EA36F" w14:textId="77777777" w:rsidTr="00FB3065">
        <w:trPr>
          <w:trHeight w:val="366"/>
          <w:jc w:val="center"/>
        </w:trPr>
        <w:tc>
          <w:tcPr>
            <w:tcW w:w="3045" w:type="dxa"/>
          </w:tcPr>
          <w:p w14:paraId="2EA54B00" w14:textId="30D1797B" w:rsidR="00D84E98" w:rsidRDefault="00D84E98" w:rsidP="00B17AF8">
            <w:pPr>
              <w:jc w:val="center"/>
              <w:rPr>
                <w:rFonts w:ascii="Gill Sans MT" w:hAnsi="Gill Sans MT"/>
                <w:sz w:val="28"/>
                <w:szCs w:val="28"/>
              </w:rPr>
            </w:pPr>
            <w:r>
              <w:rPr>
                <w:rFonts w:ascii="Gill Sans MT" w:hAnsi="Gill Sans MT"/>
                <w:sz w:val="28"/>
                <w:szCs w:val="28"/>
              </w:rPr>
              <w:t>Construction</w:t>
            </w:r>
          </w:p>
        </w:tc>
        <w:tc>
          <w:tcPr>
            <w:tcW w:w="3479" w:type="dxa"/>
            <w:vMerge w:val="restart"/>
          </w:tcPr>
          <w:p w14:paraId="163B1C70" w14:textId="4D24F7A9" w:rsidR="00D84E98" w:rsidRDefault="00D84E98" w:rsidP="00B17AF8">
            <w:pPr>
              <w:jc w:val="center"/>
              <w:rPr>
                <w:rFonts w:ascii="Gill Sans MT" w:hAnsi="Gill Sans MT"/>
                <w:sz w:val="28"/>
                <w:szCs w:val="28"/>
              </w:rPr>
            </w:pPr>
            <w:r>
              <w:rPr>
                <w:rFonts w:ascii="Gill Sans MT" w:hAnsi="Gill Sans MT"/>
                <w:sz w:val="28"/>
                <w:szCs w:val="28"/>
              </w:rPr>
              <w:t>2% of Quoted Rate</w:t>
            </w:r>
          </w:p>
        </w:tc>
        <w:tc>
          <w:tcPr>
            <w:tcW w:w="2466" w:type="dxa"/>
          </w:tcPr>
          <w:p w14:paraId="74BEBB91" w14:textId="361F53FD" w:rsidR="00D84E98" w:rsidRDefault="00D84E98" w:rsidP="00B17AF8">
            <w:pPr>
              <w:jc w:val="center"/>
              <w:rPr>
                <w:rFonts w:ascii="Gill Sans MT" w:hAnsi="Gill Sans MT"/>
                <w:sz w:val="28"/>
                <w:szCs w:val="28"/>
              </w:rPr>
            </w:pPr>
            <w:r>
              <w:rPr>
                <w:rFonts w:ascii="Gill Sans MT" w:hAnsi="Gill Sans MT"/>
                <w:sz w:val="28"/>
                <w:szCs w:val="28"/>
              </w:rPr>
              <w:t>June 1</w:t>
            </w:r>
            <w:r w:rsidRPr="00BE776C">
              <w:rPr>
                <w:rFonts w:ascii="Gill Sans MT" w:hAnsi="Gill Sans MT"/>
                <w:sz w:val="28"/>
                <w:szCs w:val="28"/>
                <w:vertAlign w:val="superscript"/>
              </w:rPr>
              <w:t>st</w:t>
            </w:r>
            <w:r>
              <w:rPr>
                <w:rFonts w:ascii="Gill Sans MT" w:hAnsi="Gill Sans MT"/>
                <w:sz w:val="28"/>
                <w:szCs w:val="28"/>
              </w:rPr>
              <w:t xml:space="preserve"> 2024</w:t>
            </w:r>
          </w:p>
        </w:tc>
      </w:tr>
      <w:tr w:rsidR="00D84E98" w14:paraId="5D87B397" w14:textId="77777777" w:rsidTr="00FB3065">
        <w:trPr>
          <w:trHeight w:val="366"/>
          <w:jc w:val="center"/>
        </w:trPr>
        <w:tc>
          <w:tcPr>
            <w:tcW w:w="3045" w:type="dxa"/>
          </w:tcPr>
          <w:p w14:paraId="7A1D58CE" w14:textId="1E5C2FCA" w:rsidR="00D84E98" w:rsidRDefault="00D84E98" w:rsidP="00B17AF8">
            <w:pPr>
              <w:jc w:val="center"/>
              <w:rPr>
                <w:rFonts w:ascii="Gill Sans MT" w:hAnsi="Gill Sans MT"/>
                <w:sz w:val="28"/>
                <w:szCs w:val="28"/>
              </w:rPr>
            </w:pPr>
            <w:r>
              <w:rPr>
                <w:rFonts w:ascii="Gill Sans MT" w:hAnsi="Gill Sans MT"/>
                <w:sz w:val="28"/>
                <w:szCs w:val="28"/>
              </w:rPr>
              <w:t>Recreational services</w:t>
            </w:r>
          </w:p>
        </w:tc>
        <w:tc>
          <w:tcPr>
            <w:tcW w:w="3479" w:type="dxa"/>
            <w:vMerge/>
          </w:tcPr>
          <w:p w14:paraId="52E4CD72" w14:textId="77777777" w:rsidR="00D84E98" w:rsidRDefault="00D84E98" w:rsidP="00B17AF8">
            <w:pPr>
              <w:jc w:val="center"/>
              <w:rPr>
                <w:rFonts w:ascii="Gill Sans MT" w:hAnsi="Gill Sans MT"/>
                <w:sz w:val="28"/>
                <w:szCs w:val="28"/>
              </w:rPr>
            </w:pPr>
          </w:p>
        </w:tc>
        <w:tc>
          <w:tcPr>
            <w:tcW w:w="2466" w:type="dxa"/>
          </w:tcPr>
          <w:p w14:paraId="2EAA7CEF" w14:textId="77777777" w:rsidR="00D84E98" w:rsidRDefault="00D84E98" w:rsidP="00B17AF8">
            <w:pPr>
              <w:jc w:val="center"/>
              <w:rPr>
                <w:rFonts w:ascii="Gill Sans MT" w:hAnsi="Gill Sans MT"/>
                <w:sz w:val="28"/>
                <w:szCs w:val="28"/>
              </w:rPr>
            </w:pPr>
          </w:p>
        </w:tc>
      </w:tr>
      <w:tr w:rsidR="00D84E98" w14:paraId="57503139" w14:textId="77777777" w:rsidTr="00FB3065">
        <w:trPr>
          <w:trHeight w:val="423"/>
          <w:jc w:val="center"/>
        </w:trPr>
        <w:tc>
          <w:tcPr>
            <w:tcW w:w="3045" w:type="dxa"/>
          </w:tcPr>
          <w:p w14:paraId="68CD84D5" w14:textId="362ADD70" w:rsidR="00D84E98" w:rsidRDefault="00D84E98" w:rsidP="00B17AF8">
            <w:pPr>
              <w:jc w:val="center"/>
              <w:rPr>
                <w:rFonts w:ascii="Gill Sans MT" w:hAnsi="Gill Sans MT"/>
                <w:sz w:val="28"/>
                <w:szCs w:val="28"/>
              </w:rPr>
            </w:pPr>
            <w:r>
              <w:rPr>
                <w:rFonts w:ascii="Gill Sans MT" w:hAnsi="Gill Sans MT"/>
                <w:sz w:val="28"/>
                <w:szCs w:val="28"/>
              </w:rPr>
              <w:t>Construction Structures</w:t>
            </w:r>
          </w:p>
        </w:tc>
        <w:tc>
          <w:tcPr>
            <w:tcW w:w="3479" w:type="dxa"/>
            <w:vMerge/>
          </w:tcPr>
          <w:p w14:paraId="2F6DC49C" w14:textId="77777777" w:rsidR="00D84E98" w:rsidRDefault="00D84E98" w:rsidP="00B17AF8">
            <w:pPr>
              <w:jc w:val="center"/>
              <w:rPr>
                <w:rFonts w:ascii="Gill Sans MT" w:hAnsi="Gill Sans MT"/>
                <w:sz w:val="28"/>
                <w:szCs w:val="28"/>
              </w:rPr>
            </w:pPr>
          </w:p>
        </w:tc>
        <w:tc>
          <w:tcPr>
            <w:tcW w:w="2466" w:type="dxa"/>
          </w:tcPr>
          <w:p w14:paraId="211C575C" w14:textId="77777777" w:rsidR="00D84E98" w:rsidRDefault="00D84E98" w:rsidP="00B17AF8">
            <w:pPr>
              <w:jc w:val="center"/>
              <w:rPr>
                <w:rFonts w:ascii="Gill Sans MT" w:hAnsi="Gill Sans MT"/>
                <w:sz w:val="28"/>
                <w:szCs w:val="28"/>
              </w:rPr>
            </w:pPr>
          </w:p>
        </w:tc>
      </w:tr>
    </w:tbl>
    <w:p w14:paraId="7732F588" w14:textId="77777777" w:rsidR="00446C32" w:rsidRDefault="00446C32" w:rsidP="00B17AF8">
      <w:pPr>
        <w:jc w:val="center"/>
        <w:rPr>
          <w:rFonts w:ascii="Gill Sans MT" w:hAnsi="Gill Sans MT"/>
          <w:sz w:val="28"/>
          <w:szCs w:val="28"/>
        </w:rPr>
      </w:pPr>
    </w:p>
    <w:p w14:paraId="1629DFF2" w14:textId="77777777" w:rsidR="00BF79A2" w:rsidRPr="00600C4F" w:rsidRDefault="00BF79A2" w:rsidP="00BF79A2">
      <w:pPr>
        <w:rPr>
          <w:rFonts w:ascii="Gill Sans MT" w:hAnsi="Gill Sans MT"/>
          <w:sz w:val="32"/>
          <w:szCs w:val="32"/>
        </w:rPr>
      </w:pPr>
      <w:r w:rsidRPr="00600C4F">
        <w:rPr>
          <w:rFonts w:ascii="Gill Sans MT" w:hAnsi="Gill Sans MT"/>
          <w:sz w:val="32"/>
          <w:szCs w:val="32"/>
        </w:rPr>
        <w:t>Scope of Tender</w:t>
      </w:r>
    </w:p>
    <w:p w14:paraId="5F810178" w14:textId="22CE1EED" w:rsidR="00BF79A2" w:rsidRPr="00FB488F" w:rsidRDefault="00600C4F" w:rsidP="00FB488F">
      <w:pPr>
        <w:pStyle w:val="ListParagraph"/>
        <w:numPr>
          <w:ilvl w:val="0"/>
          <w:numId w:val="8"/>
        </w:numPr>
        <w:rPr>
          <w:rFonts w:ascii="Gill Sans MT" w:hAnsi="Gill Sans MT"/>
          <w:sz w:val="32"/>
          <w:szCs w:val="32"/>
        </w:rPr>
      </w:pPr>
      <w:r w:rsidRPr="00FB488F">
        <w:rPr>
          <w:rFonts w:ascii="Gill Sans MT" w:hAnsi="Gill Sans MT"/>
          <w:sz w:val="28"/>
          <w:szCs w:val="28"/>
        </w:rPr>
        <w:t>Bexhill-on-Sea Town Council</w:t>
      </w:r>
      <w:r w:rsidR="00BF79A2" w:rsidRPr="00FB488F">
        <w:rPr>
          <w:rFonts w:ascii="Gill Sans MT" w:hAnsi="Gill Sans MT"/>
          <w:sz w:val="28"/>
          <w:szCs w:val="28"/>
        </w:rPr>
        <w:t xml:space="preserve"> reserves the right to cancel the call and consider the bids as null without prejudice and without the need to provide any justification to the bidders.</w:t>
      </w:r>
    </w:p>
    <w:p w14:paraId="732243C7" w14:textId="1F457508" w:rsidR="00BF79A2" w:rsidRPr="00FB488F" w:rsidRDefault="00BF79A2" w:rsidP="00FB488F">
      <w:pPr>
        <w:pStyle w:val="ListParagraph"/>
        <w:numPr>
          <w:ilvl w:val="0"/>
          <w:numId w:val="8"/>
        </w:numPr>
        <w:rPr>
          <w:rFonts w:ascii="Gill Sans MT" w:hAnsi="Gill Sans MT"/>
          <w:sz w:val="32"/>
          <w:szCs w:val="32"/>
        </w:rPr>
      </w:pPr>
      <w:r w:rsidRPr="00FB488F">
        <w:rPr>
          <w:rFonts w:ascii="Gill Sans MT" w:hAnsi="Gill Sans MT"/>
          <w:sz w:val="28"/>
          <w:szCs w:val="28"/>
        </w:rPr>
        <w:t xml:space="preserve">Please note that it is entirely the Tenderer’s responsibility to ascertain that the quote is received BEFORE the deadline for submission of quotes. Thus, the </w:t>
      </w:r>
      <w:r w:rsidR="00BE2118" w:rsidRPr="00FB488F">
        <w:rPr>
          <w:rFonts w:ascii="Gill Sans MT" w:hAnsi="Gill Sans MT"/>
          <w:sz w:val="28"/>
          <w:szCs w:val="28"/>
        </w:rPr>
        <w:t>council</w:t>
      </w:r>
      <w:r w:rsidRPr="00FB488F">
        <w:rPr>
          <w:rFonts w:ascii="Gill Sans MT" w:hAnsi="Gill Sans MT"/>
          <w:sz w:val="28"/>
          <w:szCs w:val="28"/>
        </w:rPr>
        <w:t xml:space="preserve"> cannot be held responsible for quotes which are not recorded on the Schedule of Offers sheet after the tender opening session because these were received after the expiry of the above deadline.</w:t>
      </w:r>
    </w:p>
    <w:p w14:paraId="048F1019" w14:textId="1ABB1333" w:rsidR="00BF79A2" w:rsidRPr="00FB488F" w:rsidRDefault="00BF79A2" w:rsidP="00FB488F">
      <w:pPr>
        <w:pStyle w:val="ListParagraph"/>
        <w:numPr>
          <w:ilvl w:val="0"/>
          <w:numId w:val="8"/>
        </w:numPr>
        <w:rPr>
          <w:rFonts w:ascii="Gill Sans MT" w:hAnsi="Gill Sans MT"/>
          <w:sz w:val="28"/>
          <w:szCs w:val="28"/>
        </w:rPr>
      </w:pPr>
      <w:r w:rsidRPr="00FB488F">
        <w:rPr>
          <w:rFonts w:ascii="Gill Sans MT" w:hAnsi="Gill Sans MT"/>
          <w:sz w:val="28"/>
          <w:szCs w:val="28"/>
        </w:rPr>
        <w:t>All quotations and literature submitted must be in English.</w:t>
      </w:r>
    </w:p>
    <w:p w14:paraId="53BA79C6" w14:textId="3E9CD746" w:rsidR="00094F5C" w:rsidRPr="00FB488F" w:rsidRDefault="00094F5C" w:rsidP="00FB488F">
      <w:pPr>
        <w:pStyle w:val="ListParagraph"/>
        <w:numPr>
          <w:ilvl w:val="0"/>
          <w:numId w:val="8"/>
        </w:numPr>
        <w:rPr>
          <w:rFonts w:ascii="Gill Sans MT" w:hAnsi="Gill Sans MT"/>
          <w:b/>
          <w:bCs/>
          <w:sz w:val="28"/>
          <w:szCs w:val="28"/>
        </w:rPr>
      </w:pPr>
      <w:r w:rsidRPr="00FB488F">
        <w:rPr>
          <w:rFonts w:ascii="Gill Sans MT" w:hAnsi="Gill Sans MT"/>
          <w:sz w:val="28"/>
          <w:szCs w:val="28"/>
        </w:rPr>
        <w:t xml:space="preserve">All tenders should be in a sealed envelope and sent to </w:t>
      </w:r>
      <w:r w:rsidRPr="00FB488F">
        <w:rPr>
          <w:rFonts w:ascii="Gill Sans MT" w:hAnsi="Gill Sans MT"/>
          <w:b/>
          <w:bCs/>
          <w:sz w:val="28"/>
          <w:szCs w:val="28"/>
        </w:rPr>
        <w:t xml:space="preserve">35 Western Rd, Bexhill-on-Sea TN40 </w:t>
      </w:r>
      <w:proofErr w:type="gramStart"/>
      <w:r w:rsidRPr="00FB488F">
        <w:rPr>
          <w:rFonts w:ascii="Gill Sans MT" w:hAnsi="Gill Sans MT"/>
          <w:b/>
          <w:bCs/>
          <w:sz w:val="28"/>
          <w:szCs w:val="28"/>
        </w:rPr>
        <w:t>1DU</w:t>
      </w:r>
      <w:proofErr w:type="gramEnd"/>
    </w:p>
    <w:p w14:paraId="7F694AA5" w14:textId="27AE45E9" w:rsidR="00BF79A2" w:rsidRPr="00FB488F" w:rsidRDefault="00BF79A2" w:rsidP="00FB488F">
      <w:pPr>
        <w:pStyle w:val="ListParagraph"/>
        <w:numPr>
          <w:ilvl w:val="0"/>
          <w:numId w:val="8"/>
        </w:numPr>
        <w:rPr>
          <w:rFonts w:ascii="Gill Sans MT" w:hAnsi="Gill Sans MT"/>
          <w:sz w:val="32"/>
          <w:szCs w:val="32"/>
        </w:rPr>
      </w:pPr>
      <w:r w:rsidRPr="00FB488F">
        <w:rPr>
          <w:rFonts w:ascii="Gill Sans MT" w:hAnsi="Gill Sans MT"/>
          <w:sz w:val="28"/>
          <w:szCs w:val="28"/>
        </w:rPr>
        <w:t>Clarifications can be sought up to Three Working Days before the closing date.</w:t>
      </w:r>
    </w:p>
    <w:p w14:paraId="0561ABA8" w14:textId="77A66FC5" w:rsidR="00BF79A2" w:rsidRPr="00FB488F" w:rsidRDefault="00BF79A2" w:rsidP="00FB488F">
      <w:pPr>
        <w:pStyle w:val="ListParagraph"/>
        <w:numPr>
          <w:ilvl w:val="0"/>
          <w:numId w:val="8"/>
        </w:numPr>
        <w:rPr>
          <w:rFonts w:ascii="Gill Sans MT" w:hAnsi="Gill Sans MT"/>
          <w:sz w:val="32"/>
          <w:szCs w:val="32"/>
        </w:rPr>
      </w:pPr>
      <w:r w:rsidRPr="00FB488F">
        <w:rPr>
          <w:rFonts w:ascii="Gill Sans MT" w:hAnsi="Gill Sans MT"/>
          <w:sz w:val="28"/>
          <w:szCs w:val="28"/>
        </w:rPr>
        <w:t>Suppliers can bid for individual items or all items.</w:t>
      </w:r>
    </w:p>
    <w:p w14:paraId="0F030E7F" w14:textId="2DD7E1E8" w:rsidR="00BF79A2" w:rsidRPr="00FB488F" w:rsidRDefault="00BF79A2" w:rsidP="00FB488F">
      <w:pPr>
        <w:pStyle w:val="ListParagraph"/>
        <w:numPr>
          <w:ilvl w:val="0"/>
          <w:numId w:val="8"/>
        </w:numPr>
        <w:rPr>
          <w:rFonts w:ascii="Gill Sans MT" w:hAnsi="Gill Sans MT"/>
          <w:sz w:val="32"/>
          <w:szCs w:val="32"/>
        </w:rPr>
      </w:pPr>
      <w:r w:rsidRPr="00FB488F">
        <w:rPr>
          <w:rFonts w:ascii="Gill Sans MT" w:hAnsi="Gill Sans MT"/>
          <w:sz w:val="28"/>
          <w:szCs w:val="28"/>
        </w:rPr>
        <w:t xml:space="preserve">Tenderers must quote all components of the price inclusive of </w:t>
      </w:r>
      <w:proofErr w:type="gramStart"/>
      <w:r w:rsidRPr="00FB488F">
        <w:rPr>
          <w:rFonts w:ascii="Gill Sans MT" w:hAnsi="Gill Sans MT"/>
          <w:sz w:val="28"/>
          <w:szCs w:val="28"/>
        </w:rPr>
        <w:t xml:space="preserve">taxes, </w:t>
      </w:r>
      <w:r w:rsidR="00ED2B4A" w:rsidRPr="00FB488F">
        <w:rPr>
          <w:rFonts w:ascii="Gill Sans MT" w:hAnsi="Gill Sans MT"/>
          <w:sz w:val="28"/>
          <w:szCs w:val="28"/>
        </w:rPr>
        <w:t xml:space="preserve"> </w:t>
      </w:r>
      <w:r w:rsidRPr="00FB488F">
        <w:rPr>
          <w:rFonts w:ascii="Gill Sans MT" w:hAnsi="Gill Sans MT"/>
          <w:sz w:val="28"/>
          <w:szCs w:val="28"/>
        </w:rPr>
        <w:t>customs</w:t>
      </w:r>
      <w:proofErr w:type="gramEnd"/>
      <w:r w:rsidRPr="00FB488F">
        <w:rPr>
          <w:rFonts w:ascii="Gill Sans MT" w:hAnsi="Gill Sans MT"/>
          <w:sz w:val="28"/>
          <w:szCs w:val="28"/>
        </w:rPr>
        <w:t xml:space="preserve"> and import duties and any discounts but Exclusive of VAT. Tenderers not registered with the VAT authority in </w:t>
      </w:r>
      <w:r w:rsidR="00600C4F" w:rsidRPr="00FB488F">
        <w:rPr>
          <w:rFonts w:ascii="Gill Sans MT" w:hAnsi="Gill Sans MT"/>
          <w:sz w:val="28"/>
          <w:szCs w:val="28"/>
        </w:rPr>
        <w:t>Great Britain</w:t>
      </w:r>
      <w:r w:rsidRPr="00FB488F">
        <w:rPr>
          <w:rFonts w:ascii="Gill Sans MT" w:hAnsi="Gill Sans MT"/>
          <w:sz w:val="28"/>
          <w:szCs w:val="28"/>
        </w:rPr>
        <w:t xml:space="preserve">, must still include in their </w:t>
      </w:r>
      <w:r w:rsidRPr="00FB488F">
        <w:rPr>
          <w:rFonts w:ascii="Gill Sans MT" w:hAnsi="Gill Sans MT"/>
          <w:sz w:val="32"/>
          <w:szCs w:val="32"/>
        </w:rPr>
        <w:t xml:space="preserve">financial </w:t>
      </w:r>
      <w:r w:rsidRPr="00FB488F">
        <w:rPr>
          <w:rFonts w:ascii="Gill Sans MT" w:hAnsi="Gill Sans MT"/>
          <w:sz w:val="28"/>
          <w:szCs w:val="28"/>
        </w:rPr>
        <w:t>offer any VAT that the contracting authority may have to pay</w:t>
      </w:r>
      <w:r w:rsidR="00DB0287">
        <w:rPr>
          <w:rFonts w:ascii="Gill Sans MT" w:hAnsi="Gill Sans MT"/>
          <w:sz w:val="28"/>
          <w:szCs w:val="28"/>
        </w:rPr>
        <w:t>.</w:t>
      </w:r>
      <w:r w:rsidRPr="00FB488F">
        <w:rPr>
          <w:rFonts w:ascii="Gill Sans MT" w:hAnsi="Gill Sans MT"/>
          <w:sz w:val="28"/>
          <w:szCs w:val="28"/>
        </w:rPr>
        <w:t xml:space="preserve"> </w:t>
      </w:r>
    </w:p>
    <w:p w14:paraId="257C8EA2" w14:textId="18004B47" w:rsidR="00BF79A2" w:rsidRDefault="00BF79A2" w:rsidP="00E47D44">
      <w:pPr>
        <w:pStyle w:val="ListParagraph"/>
        <w:numPr>
          <w:ilvl w:val="0"/>
          <w:numId w:val="8"/>
        </w:numPr>
        <w:rPr>
          <w:rFonts w:ascii="Gill Sans MT" w:hAnsi="Gill Sans MT"/>
          <w:sz w:val="28"/>
          <w:szCs w:val="28"/>
        </w:rPr>
      </w:pPr>
      <w:r w:rsidRPr="00FB488F">
        <w:rPr>
          <w:rFonts w:ascii="Gill Sans MT" w:hAnsi="Gill Sans MT"/>
          <w:sz w:val="28"/>
          <w:szCs w:val="28"/>
        </w:rPr>
        <w:lastRenderedPageBreak/>
        <w:t>Payment for the delivered items should be within 60 to 90 days from presentation of invoice.</w:t>
      </w:r>
    </w:p>
    <w:p w14:paraId="6748CC07" w14:textId="31AC55DE" w:rsidR="004F303B" w:rsidRDefault="005966C2" w:rsidP="00E47D44">
      <w:pPr>
        <w:pStyle w:val="ListParagraph"/>
        <w:numPr>
          <w:ilvl w:val="0"/>
          <w:numId w:val="8"/>
        </w:numPr>
        <w:rPr>
          <w:rFonts w:ascii="Gill Sans MT" w:hAnsi="Gill Sans MT"/>
          <w:sz w:val="28"/>
          <w:szCs w:val="28"/>
        </w:rPr>
      </w:pPr>
      <w:r>
        <w:rPr>
          <w:rFonts w:ascii="Gill Sans MT" w:hAnsi="Gill Sans MT"/>
          <w:sz w:val="28"/>
          <w:szCs w:val="28"/>
        </w:rPr>
        <w:t xml:space="preserve">The winning tender will be </w:t>
      </w:r>
      <w:proofErr w:type="gramStart"/>
      <w:r>
        <w:rPr>
          <w:rFonts w:ascii="Gill Sans MT" w:hAnsi="Gill Sans MT"/>
          <w:sz w:val="28"/>
          <w:szCs w:val="28"/>
        </w:rPr>
        <w:t>selected</w:t>
      </w:r>
      <w:proofErr w:type="gramEnd"/>
      <w:r>
        <w:rPr>
          <w:rFonts w:ascii="Gill Sans MT" w:hAnsi="Gill Sans MT"/>
          <w:sz w:val="28"/>
          <w:szCs w:val="28"/>
        </w:rPr>
        <w:t xml:space="preserve"> and notifications issued </w:t>
      </w:r>
      <w:r w:rsidR="006D5ADB">
        <w:rPr>
          <w:rFonts w:ascii="Gill Sans MT" w:hAnsi="Gill Sans MT"/>
          <w:sz w:val="28"/>
          <w:szCs w:val="28"/>
        </w:rPr>
        <w:t>by 1</w:t>
      </w:r>
      <w:r w:rsidR="006D5ADB" w:rsidRPr="006D5ADB">
        <w:rPr>
          <w:rFonts w:ascii="Gill Sans MT" w:hAnsi="Gill Sans MT"/>
          <w:sz w:val="28"/>
          <w:szCs w:val="28"/>
          <w:vertAlign w:val="superscript"/>
        </w:rPr>
        <w:t>st</w:t>
      </w:r>
      <w:r w:rsidR="006D5ADB">
        <w:rPr>
          <w:rFonts w:ascii="Gill Sans MT" w:hAnsi="Gill Sans MT"/>
          <w:sz w:val="28"/>
          <w:szCs w:val="28"/>
        </w:rPr>
        <w:t xml:space="preserve"> July 2024</w:t>
      </w:r>
    </w:p>
    <w:p w14:paraId="7A6F840D" w14:textId="77777777" w:rsidR="006D5ADB" w:rsidRPr="005219A7" w:rsidRDefault="006D5ADB" w:rsidP="006D5ADB">
      <w:pPr>
        <w:pStyle w:val="ListParagraph"/>
        <w:ind w:left="1440"/>
        <w:rPr>
          <w:rFonts w:ascii="Gill Sans MT" w:hAnsi="Gill Sans MT"/>
          <w:sz w:val="28"/>
          <w:szCs w:val="28"/>
        </w:rPr>
      </w:pPr>
    </w:p>
    <w:p w14:paraId="4FE8B744" w14:textId="77777777" w:rsidR="00BF79A2" w:rsidRPr="00BF79A2" w:rsidRDefault="00BF79A2" w:rsidP="00BF79A2">
      <w:pPr>
        <w:jc w:val="center"/>
        <w:rPr>
          <w:rFonts w:ascii="Gill Sans MT" w:hAnsi="Gill Sans MT"/>
          <w:sz w:val="28"/>
          <w:szCs w:val="28"/>
        </w:rPr>
      </w:pPr>
    </w:p>
    <w:p w14:paraId="2DCB87F1" w14:textId="73D4A429" w:rsidR="00BF79A2" w:rsidRDefault="00ED2B4A" w:rsidP="00ED2B4A">
      <w:pPr>
        <w:jc w:val="right"/>
        <w:rPr>
          <w:rFonts w:ascii="Gill Sans MT" w:hAnsi="Gill Sans MT"/>
          <w:sz w:val="28"/>
          <w:szCs w:val="28"/>
        </w:rPr>
      </w:pPr>
      <w:r>
        <w:rPr>
          <w:rFonts w:ascii="Gill Sans MT" w:hAnsi="Gill Sans MT"/>
          <w:sz w:val="28"/>
          <w:szCs w:val="28"/>
        </w:rPr>
        <w:t>………………………………..</w:t>
      </w:r>
    </w:p>
    <w:p w14:paraId="0FE2AFFE" w14:textId="12A44C41" w:rsidR="00ED2B4A" w:rsidRPr="00BF79A2" w:rsidRDefault="00ED2B4A" w:rsidP="00ED2B4A">
      <w:pPr>
        <w:jc w:val="right"/>
        <w:rPr>
          <w:rFonts w:ascii="Gill Sans MT" w:hAnsi="Gill Sans MT"/>
          <w:sz w:val="28"/>
          <w:szCs w:val="28"/>
        </w:rPr>
      </w:pPr>
      <w:r>
        <w:rPr>
          <w:rFonts w:ascii="Gill Sans MT" w:hAnsi="Gill Sans MT"/>
          <w:sz w:val="28"/>
          <w:szCs w:val="28"/>
        </w:rPr>
        <w:t>Julie Miller</w:t>
      </w:r>
    </w:p>
    <w:p w14:paraId="4BB04168" w14:textId="13F845A0" w:rsidR="00BF79A2" w:rsidRDefault="00ED2B4A" w:rsidP="00ED2B4A">
      <w:pPr>
        <w:jc w:val="right"/>
        <w:rPr>
          <w:rFonts w:ascii="Gill Sans MT" w:hAnsi="Gill Sans MT"/>
          <w:sz w:val="28"/>
          <w:szCs w:val="28"/>
        </w:rPr>
      </w:pPr>
      <w:r>
        <w:rPr>
          <w:rFonts w:ascii="Gill Sans MT" w:hAnsi="Gill Sans MT"/>
          <w:sz w:val="28"/>
          <w:szCs w:val="28"/>
        </w:rPr>
        <w:t>Town Clerk</w:t>
      </w:r>
    </w:p>
    <w:p w14:paraId="5DECC124" w14:textId="2DE5ACB5" w:rsidR="00ED2B4A" w:rsidRDefault="00ED2B4A" w:rsidP="00ED2B4A">
      <w:pPr>
        <w:jc w:val="right"/>
        <w:rPr>
          <w:rFonts w:ascii="Gill Sans MT" w:hAnsi="Gill Sans MT"/>
          <w:sz w:val="28"/>
          <w:szCs w:val="28"/>
        </w:rPr>
      </w:pPr>
      <w:r>
        <w:rPr>
          <w:rFonts w:ascii="Gill Sans MT" w:hAnsi="Gill Sans MT"/>
          <w:sz w:val="28"/>
          <w:szCs w:val="28"/>
        </w:rPr>
        <w:t>Bexhill-on-Sea Town Council</w:t>
      </w:r>
    </w:p>
    <w:p w14:paraId="71A217F0" w14:textId="77777777" w:rsidR="00ED2B4A" w:rsidRDefault="00ED2B4A" w:rsidP="00E47D44">
      <w:pPr>
        <w:rPr>
          <w:rFonts w:ascii="Gill Sans MT" w:hAnsi="Gill Sans MT"/>
          <w:sz w:val="28"/>
          <w:szCs w:val="28"/>
        </w:rPr>
      </w:pPr>
    </w:p>
    <w:p w14:paraId="4CF6D644" w14:textId="691D8429" w:rsidR="00ED2B4A" w:rsidRDefault="00ED2B4A" w:rsidP="00ED2B4A">
      <w:pPr>
        <w:rPr>
          <w:rFonts w:ascii="Gill Sans MT" w:hAnsi="Gill Sans MT"/>
          <w:sz w:val="28"/>
          <w:szCs w:val="28"/>
        </w:rPr>
      </w:pPr>
      <w:r w:rsidRPr="00E47D44">
        <w:rPr>
          <w:rFonts w:ascii="Gill Sans MT" w:hAnsi="Gill Sans MT"/>
          <w:b/>
          <w:bCs/>
          <w:sz w:val="28"/>
          <w:szCs w:val="28"/>
        </w:rPr>
        <w:t xml:space="preserve">APPENDIX </w:t>
      </w:r>
      <w:r w:rsidR="00E47D44" w:rsidRPr="00E47D44">
        <w:rPr>
          <w:rFonts w:ascii="Gill Sans MT" w:hAnsi="Gill Sans MT"/>
          <w:b/>
          <w:bCs/>
          <w:sz w:val="28"/>
          <w:szCs w:val="28"/>
        </w:rPr>
        <w:t>1:</w:t>
      </w:r>
      <w:r>
        <w:rPr>
          <w:rFonts w:ascii="Gill Sans MT" w:hAnsi="Gill Sans MT"/>
          <w:sz w:val="28"/>
          <w:szCs w:val="28"/>
        </w:rPr>
        <w:t xml:space="preserve"> Specific Equipment Requirements</w:t>
      </w:r>
    </w:p>
    <w:p w14:paraId="3B6713FA" w14:textId="41ABB063" w:rsidR="00E47D44" w:rsidRDefault="00E47D44" w:rsidP="00ED2B4A">
      <w:pPr>
        <w:rPr>
          <w:rFonts w:ascii="Gill Sans MT" w:hAnsi="Gill Sans MT"/>
          <w:sz w:val="28"/>
          <w:szCs w:val="28"/>
        </w:rPr>
      </w:pPr>
      <w:r>
        <w:rPr>
          <w:rFonts w:ascii="Gill Sans MT" w:hAnsi="Gill Sans MT"/>
          <w:sz w:val="28"/>
          <w:szCs w:val="28"/>
        </w:rPr>
        <w:t>The play park should include:</w:t>
      </w:r>
    </w:p>
    <w:p w14:paraId="4CFE5C1B" w14:textId="5DD52CE4" w:rsidR="00ED2B4A" w:rsidRPr="00E47D44" w:rsidRDefault="00ED2B4A" w:rsidP="00E47D44">
      <w:pPr>
        <w:pStyle w:val="ListParagraph"/>
        <w:numPr>
          <w:ilvl w:val="0"/>
          <w:numId w:val="1"/>
        </w:numPr>
        <w:rPr>
          <w:rFonts w:ascii="Gill Sans MT" w:hAnsi="Gill Sans MT"/>
          <w:sz w:val="28"/>
          <w:szCs w:val="28"/>
        </w:rPr>
      </w:pPr>
      <w:r w:rsidRPr="00E47D44">
        <w:rPr>
          <w:rFonts w:ascii="Gill Sans MT" w:hAnsi="Gill Sans MT"/>
          <w:sz w:val="28"/>
          <w:szCs w:val="28"/>
        </w:rPr>
        <w:t>A shelter from the rain/Sun</w:t>
      </w:r>
      <w:r w:rsidR="00E47D44" w:rsidRPr="00E47D44">
        <w:rPr>
          <w:rFonts w:ascii="Gill Sans MT" w:hAnsi="Gill Sans MT"/>
          <w:sz w:val="28"/>
          <w:szCs w:val="28"/>
        </w:rPr>
        <w:t>.</w:t>
      </w:r>
    </w:p>
    <w:p w14:paraId="7491C95B" w14:textId="5627FE6B" w:rsidR="00ED2B4A" w:rsidRPr="00E47D44" w:rsidRDefault="00ED2B4A" w:rsidP="00E47D44">
      <w:pPr>
        <w:pStyle w:val="ListParagraph"/>
        <w:numPr>
          <w:ilvl w:val="0"/>
          <w:numId w:val="1"/>
        </w:numPr>
        <w:rPr>
          <w:rFonts w:ascii="Gill Sans MT" w:hAnsi="Gill Sans MT"/>
          <w:sz w:val="28"/>
          <w:szCs w:val="28"/>
        </w:rPr>
      </w:pPr>
      <w:r w:rsidRPr="00E47D44">
        <w:rPr>
          <w:rFonts w:ascii="Gill Sans MT" w:hAnsi="Gill Sans MT"/>
          <w:sz w:val="28"/>
          <w:szCs w:val="28"/>
        </w:rPr>
        <w:t>A wheelchair accessible Roundabout</w:t>
      </w:r>
      <w:r w:rsidR="00E47D44" w:rsidRPr="00E47D44">
        <w:rPr>
          <w:rFonts w:ascii="Gill Sans MT" w:hAnsi="Gill Sans MT"/>
          <w:sz w:val="28"/>
          <w:szCs w:val="28"/>
        </w:rPr>
        <w:t>.</w:t>
      </w:r>
    </w:p>
    <w:p w14:paraId="5BD53E4E" w14:textId="575835AC" w:rsidR="00ED2B4A" w:rsidRPr="00E47D44" w:rsidRDefault="00ED2B4A" w:rsidP="00E47D44">
      <w:pPr>
        <w:pStyle w:val="ListParagraph"/>
        <w:numPr>
          <w:ilvl w:val="0"/>
          <w:numId w:val="1"/>
        </w:numPr>
        <w:rPr>
          <w:rFonts w:ascii="Gill Sans MT" w:hAnsi="Gill Sans MT"/>
          <w:sz w:val="28"/>
          <w:szCs w:val="28"/>
        </w:rPr>
      </w:pPr>
      <w:r w:rsidRPr="00E47D44">
        <w:rPr>
          <w:rFonts w:ascii="Gill Sans MT" w:hAnsi="Gill Sans MT"/>
          <w:sz w:val="28"/>
          <w:szCs w:val="28"/>
        </w:rPr>
        <w:t>A wheelchair accessible swing</w:t>
      </w:r>
      <w:r w:rsidR="00E47D44" w:rsidRPr="00E47D44">
        <w:rPr>
          <w:rFonts w:ascii="Gill Sans MT" w:hAnsi="Gill Sans MT"/>
          <w:sz w:val="28"/>
          <w:szCs w:val="28"/>
        </w:rPr>
        <w:t>.</w:t>
      </w:r>
    </w:p>
    <w:p w14:paraId="58ED7D36" w14:textId="6E0FE96A" w:rsidR="00ED2B4A" w:rsidRPr="00E47D44" w:rsidRDefault="00ED2B4A" w:rsidP="00E47D44">
      <w:pPr>
        <w:pStyle w:val="ListParagraph"/>
        <w:numPr>
          <w:ilvl w:val="0"/>
          <w:numId w:val="1"/>
        </w:numPr>
        <w:rPr>
          <w:rFonts w:ascii="Gill Sans MT" w:hAnsi="Gill Sans MT"/>
          <w:sz w:val="28"/>
          <w:szCs w:val="28"/>
        </w:rPr>
      </w:pPr>
      <w:r w:rsidRPr="00E47D44">
        <w:rPr>
          <w:rFonts w:ascii="Gill Sans MT" w:hAnsi="Gill Sans MT"/>
          <w:sz w:val="28"/>
          <w:szCs w:val="28"/>
        </w:rPr>
        <w:t>A net swing</w:t>
      </w:r>
      <w:r w:rsidR="00E47D44" w:rsidRPr="00E47D44">
        <w:rPr>
          <w:rFonts w:ascii="Gill Sans MT" w:hAnsi="Gill Sans MT"/>
          <w:sz w:val="28"/>
          <w:szCs w:val="28"/>
        </w:rPr>
        <w:t>.</w:t>
      </w:r>
    </w:p>
    <w:p w14:paraId="3160DE32" w14:textId="16BF717A" w:rsidR="00ED2B4A" w:rsidRPr="00E47D44" w:rsidRDefault="00ED2B4A" w:rsidP="00E47D44">
      <w:pPr>
        <w:pStyle w:val="ListParagraph"/>
        <w:numPr>
          <w:ilvl w:val="0"/>
          <w:numId w:val="1"/>
        </w:numPr>
        <w:rPr>
          <w:rFonts w:ascii="Gill Sans MT" w:hAnsi="Gill Sans MT"/>
          <w:sz w:val="28"/>
          <w:szCs w:val="28"/>
        </w:rPr>
      </w:pPr>
      <w:r w:rsidRPr="00E47D44">
        <w:rPr>
          <w:rFonts w:ascii="Gill Sans MT" w:hAnsi="Gill Sans MT"/>
          <w:sz w:val="28"/>
          <w:szCs w:val="28"/>
        </w:rPr>
        <w:t>A</w:t>
      </w:r>
      <w:r w:rsidR="00E47D44" w:rsidRPr="00E47D44">
        <w:rPr>
          <w:rFonts w:ascii="Gill Sans MT" w:hAnsi="Gill Sans MT"/>
          <w:sz w:val="28"/>
          <w:szCs w:val="28"/>
        </w:rPr>
        <w:t xml:space="preserve"> </w:t>
      </w:r>
      <w:r w:rsidRPr="00E47D44">
        <w:rPr>
          <w:rFonts w:ascii="Gill Sans MT" w:hAnsi="Gill Sans MT"/>
          <w:sz w:val="28"/>
          <w:szCs w:val="28"/>
        </w:rPr>
        <w:t>main feature</w:t>
      </w:r>
      <w:r w:rsidR="00E47D44" w:rsidRPr="00E47D44">
        <w:rPr>
          <w:rFonts w:ascii="Gill Sans MT" w:hAnsi="Gill Sans MT"/>
          <w:sz w:val="28"/>
          <w:szCs w:val="28"/>
        </w:rPr>
        <w:t>/structure that should be</w:t>
      </w:r>
      <w:r w:rsidR="001E7449">
        <w:rPr>
          <w:rFonts w:ascii="Gill Sans MT" w:hAnsi="Gill Sans MT"/>
          <w:sz w:val="28"/>
          <w:szCs w:val="28"/>
        </w:rPr>
        <w:t xml:space="preserve"> </w:t>
      </w:r>
      <w:r w:rsidR="00E47D44" w:rsidRPr="00E47D44">
        <w:rPr>
          <w:rFonts w:ascii="Gill Sans MT" w:hAnsi="Gill Sans MT"/>
          <w:sz w:val="28"/>
          <w:szCs w:val="28"/>
        </w:rPr>
        <w:t>at least partially accessible for a wheelchair.</w:t>
      </w:r>
    </w:p>
    <w:p w14:paraId="64260FEF" w14:textId="2552D103" w:rsidR="00E47D44" w:rsidRDefault="00E47D44" w:rsidP="00E47D44">
      <w:pPr>
        <w:pStyle w:val="ListParagraph"/>
        <w:numPr>
          <w:ilvl w:val="0"/>
          <w:numId w:val="1"/>
        </w:numPr>
        <w:rPr>
          <w:rFonts w:ascii="Gill Sans MT" w:hAnsi="Gill Sans MT"/>
          <w:sz w:val="28"/>
          <w:szCs w:val="28"/>
        </w:rPr>
      </w:pPr>
      <w:r w:rsidRPr="00E47D44">
        <w:rPr>
          <w:rFonts w:ascii="Gill Sans MT" w:hAnsi="Gill Sans MT"/>
          <w:sz w:val="28"/>
          <w:szCs w:val="28"/>
        </w:rPr>
        <w:t>Appropriate paths, surfacing and/or landscaping.</w:t>
      </w:r>
    </w:p>
    <w:p w14:paraId="3883ACF2" w14:textId="77777777" w:rsidR="00E47D44" w:rsidRDefault="00E47D44" w:rsidP="00E47D44">
      <w:pPr>
        <w:rPr>
          <w:rFonts w:ascii="Gill Sans MT" w:hAnsi="Gill Sans MT"/>
          <w:sz w:val="28"/>
          <w:szCs w:val="28"/>
        </w:rPr>
      </w:pPr>
    </w:p>
    <w:p w14:paraId="660D43B2" w14:textId="57F4D646" w:rsidR="00E47D44" w:rsidRDefault="00E47D44" w:rsidP="00E47D44">
      <w:pPr>
        <w:rPr>
          <w:rFonts w:ascii="Gill Sans MT" w:hAnsi="Gill Sans MT"/>
          <w:sz w:val="28"/>
          <w:szCs w:val="28"/>
        </w:rPr>
      </w:pPr>
      <w:r w:rsidRPr="00E47D44">
        <w:rPr>
          <w:rFonts w:ascii="Gill Sans MT" w:hAnsi="Gill Sans MT"/>
          <w:b/>
          <w:bCs/>
          <w:sz w:val="28"/>
          <w:szCs w:val="28"/>
        </w:rPr>
        <w:t>APPENDIX 2:</w:t>
      </w:r>
      <w:r>
        <w:rPr>
          <w:rFonts w:ascii="Gill Sans MT" w:hAnsi="Gill Sans MT"/>
          <w:sz w:val="28"/>
          <w:szCs w:val="28"/>
        </w:rPr>
        <w:t xml:space="preserve"> Scoring Matrix</w:t>
      </w:r>
    </w:p>
    <w:p w14:paraId="3002DE3E" w14:textId="24C61D34" w:rsidR="00E47D44" w:rsidRDefault="00E47D44" w:rsidP="00E47D44">
      <w:pPr>
        <w:rPr>
          <w:rFonts w:ascii="Gill Sans MT" w:hAnsi="Gill Sans MT"/>
          <w:sz w:val="28"/>
          <w:szCs w:val="28"/>
        </w:rPr>
      </w:pPr>
      <w:r>
        <w:rPr>
          <w:rFonts w:ascii="Gill Sans MT" w:hAnsi="Gill Sans MT"/>
          <w:sz w:val="28"/>
          <w:szCs w:val="28"/>
        </w:rPr>
        <w:t>Scoring on bids will be based on the below factors:</w:t>
      </w:r>
    </w:p>
    <w:tbl>
      <w:tblPr>
        <w:tblStyle w:val="TableGrid"/>
        <w:tblW w:w="0" w:type="auto"/>
        <w:tblLook w:val="04A0" w:firstRow="1" w:lastRow="0" w:firstColumn="1" w:lastColumn="0" w:noHBand="0" w:noVBand="1"/>
      </w:tblPr>
      <w:tblGrid>
        <w:gridCol w:w="3681"/>
        <w:gridCol w:w="1843"/>
      </w:tblGrid>
      <w:tr w:rsidR="00E47D44" w:rsidRPr="00E47D44" w14:paraId="7EE33951" w14:textId="77777777" w:rsidTr="00565321">
        <w:tc>
          <w:tcPr>
            <w:tcW w:w="3681" w:type="dxa"/>
          </w:tcPr>
          <w:p w14:paraId="5B58D4EF"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Factor</w:t>
            </w:r>
          </w:p>
        </w:tc>
        <w:tc>
          <w:tcPr>
            <w:tcW w:w="1843" w:type="dxa"/>
          </w:tcPr>
          <w:p w14:paraId="79EDB21B"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 xml:space="preserve">Weighting </w:t>
            </w:r>
          </w:p>
          <w:p w14:paraId="2ED6BB7B"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w:t>
            </w:r>
          </w:p>
        </w:tc>
      </w:tr>
      <w:tr w:rsidR="00E47D44" w:rsidRPr="00E47D44" w14:paraId="2E9D45E7" w14:textId="77777777" w:rsidTr="00565321">
        <w:tc>
          <w:tcPr>
            <w:tcW w:w="3681" w:type="dxa"/>
          </w:tcPr>
          <w:p w14:paraId="6E1ADE3F"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Inclusivity</w:t>
            </w:r>
          </w:p>
        </w:tc>
        <w:tc>
          <w:tcPr>
            <w:tcW w:w="1843" w:type="dxa"/>
          </w:tcPr>
          <w:p w14:paraId="17CD009D" w14:textId="492223FE" w:rsidR="00E47D44" w:rsidRPr="00E47D44" w:rsidRDefault="00E47D44" w:rsidP="00E47D44">
            <w:pPr>
              <w:spacing w:line="259" w:lineRule="auto"/>
              <w:rPr>
                <w:rFonts w:ascii="Gill Sans MT" w:hAnsi="Gill Sans MT"/>
                <w:sz w:val="28"/>
                <w:szCs w:val="28"/>
              </w:rPr>
            </w:pPr>
            <w:r>
              <w:rPr>
                <w:rFonts w:ascii="Gill Sans MT" w:hAnsi="Gill Sans MT"/>
                <w:sz w:val="28"/>
                <w:szCs w:val="28"/>
              </w:rPr>
              <w:t>30</w:t>
            </w:r>
          </w:p>
        </w:tc>
      </w:tr>
      <w:tr w:rsidR="00E47D44" w:rsidRPr="00E47D44" w14:paraId="683E56FA" w14:textId="77777777" w:rsidTr="00565321">
        <w:tc>
          <w:tcPr>
            <w:tcW w:w="3681" w:type="dxa"/>
          </w:tcPr>
          <w:p w14:paraId="628F719A"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Durability</w:t>
            </w:r>
          </w:p>
        </w:tc>
        <w:tc>
          <w:tcPr>
            <w:tcW w:w="1843" w:type="dxa"/>
          </w:tcPr>
          <w:p w14:paraId="3406141C" w14:textId="17C7AC40" w:rsidR="00E47D44" w:rsidRPr="00E47D44" w:rsidRDefault="00E47D44" w:rsidP="00E47D44">
            <w:pPr>
              <w:spacing w:line="259" w:lineRule="auto"/>
              <w:rPr>
                <w:rFonts w:ascii="Gill Sans MT" w:hAnsi="Gill Sans MT"/>
                <w:sz w:val="28"/>
                <w:szCs w:val="28"/>
              </w:rPr>
            </w:pPr>
            <w:r>
              <w:rPr>
                <w:rFonts w:ascii="Gill Sans MT" w:hAnsi="Gill Sans MT"/>
                <w:sz w:val="28"/>
                <w:szCs w:val="28"/>
              </w:rPr>
              <w:t>25</w:t>
            </w:r>
          </w:p>
        </w:tc>
      </w:tr>
      <w:tr w:rsidR="00E47D44" w:rsidRPr="00E47D44" w14:paraId="57194684" w14:textId="77777777" w:rsidTr="00565321">
        <w:tc>
          <w:tcPr>
            <w:tcW w:w="3681" w:type="dxa"/>
          </w:tcPr>
          <w:p w14:paraId="3A9BA8BC" w14:textId="77777777" w:rsidR="00E47D44" w:rsidRPr="00E47D44" w:rsidRDefault="00E47D44" w:rsidP="00E47D44">
            <w:pPr>
              <w:spacing w:line="259" w:lineRule="auto"/>
              <w:rPr>
                <w:rFonts w:ascii="Gill Sans MT" w:hAnsi="Gill Sans MT"/>
                <w:sz w:val="28"/>
                <w:szCs w:val="28"/>
              </w:rPr>
            </w:pPr>
            <w:r w:rsidRPr="00E47D44">
              <w:rPr>
                <w:rFonts w:ascii="Gill Sans MT" w:hAnsi="Gill Sans MT"/>
                <w:sz w:val="28"/>
                <w:szCs w:val="28"/>
              </w:rPr>
              <w:t>Sustainability</w:t>
            </w:r>
          </w:p>
        </w:tc>
        <w:tc>
          <w:tcPr>
            <w:tcW w:w="1843" w:type="dxa"/>
          </w:tcPr>
          <w:p w14:paraId="00A50E11" w14:textId="29C64D57" w:rsidR="00E47D44" w:rsidRPr="00E47D44" w:rsidRDefault="00E47D44" w:rsidP="00E47D44">
            <w:pPr>
              <w:spacing w:line="259" w:lineRule="auto"/>
              <w:rPr>
                <w:rFonts w:ascii="Gill Sans MT" w:hAnsi="Gill Sans MT"/>
                <w:sz w:val="28"/>
                <w:szCs w:val="28"/>
              </w:rPr>
            </w:pPr>
            <w:r>
              <w:rPr>
                <w:rFonts w:ascii="Gill Sans MT" w:hAnsi="Gill Sans MT"/>
                <w:sz w:val="28"/>
                <w:szCs w:val="28"/>
              </w:rPr>
              <w:t>15</w:t>
            </w:r>
          </w:p>
        </w:tc>
      </w:tr>
      <w:tr w:rsidR="00E47D44" w:rsidRPr="00E47D44" w14:paraId="2E682DD0" w14:textId="77777777" w:rsidTr="00565321">
        <w:tc>
          <w:tcPr>
            <w:tcW w:w="3681" w:type="dxa"/>
          </w:tcPr>
          <w:p w14:paraId="4B04C5C6" w14:textId="5BF090DE" w:rsidR="00E47D44" w:rsidRPr="00E47D44" w:rsidRDefault="00565321" w:rsidP="00E47D44">
            <w:pPr>
              <w:spacing w:line="259" w:lineRule="auto"/>
              <w:rPr>
                <w:rFonts w:ascii="Gill Sans MT" w:hAnsi="Gill Sans MT"/>
                <w:sz w:val="28"/>
                <w:szCs w:val="28"/>
              </w:rPr>
            </w:pPr>
            <w:r w:rsidRPr="00E47D44">
              <w:rPr>
                <w:rFonts w:ascii="Gill Sans MT" w:hAnsi="Gill Sans MT"/>
                <w:sz w:val="28"/>
                <w:szCs w:val="28"/>
              </w:rPr>
              <w:t>Support</w:t>
            </w:r>
            <w:r>
              <w:rPr>
                <w:rFonts w:ascii="Gill Sans MT" w:hAnsi="Gill Sans MT"/>
                <w:sz w:val="28"/>
                <w:szCs w:val="28"/>
              </w:rPr>
              <w:t xml:space="preserve"> and aftercare</w:t>
            </w:r>
          </w:p>
        </w:tc>
        <w:tc>
          <w:tcPr>
            <w:tcW w:w="1843" w:type="dxa"/>
          </w:tcPr>
          <w:p w14:paraId="11240889" w14:textId="0D9CC78A" w:rsidR="00E47D44" w:rsidRPr="00E47D44" w:rsidRDefault="00E47D44" w:rsidP="00E47D44">
            <w:pPr>
              <w:spacing w:line="259" w:lineRule="auto"/>
              <w:rPr>
                <w:rFonts w:ascii="Gill Sans MT" w:hAnsi="Gill Sans MT"/>
                <w:sz w:val="28"/>
                <w:szCs w:val="28"/>
              </w:rPr>
            </w:pPr>
            <w:r>
              <w:rPr>
                <w:rFonts w:ascii="Gill Sans MT" w:hAnsi="Gill Sans MT"/>
                <w:sz w:val="28"/>
                <w:szCs w:val="28"/>
              </w:rPr>
              <w:t>1</w:t>
            </w:r>
            <w:r w:rsidR="00565321">
              <w:rPr>
                <w:rFonts w:ascii="Gill Sans MT" w:hAnsi="Gill Sans MT"/>
                <w:sz w:val="28"/>
                <w:szCs w:val="28"/>
              </w:rPr>
              <w:t>5</w:t>
            </w:r>
          </w:p>
        </w:tc>
      </w:tr>
      <w:tr w:rsidR="00E47D44" w:rsidRPr="00E47D44" w14:paraId="6BB45091" w14:textId="77777777" w:rsidTr="00565321">
        <w:tc>
          <w:tcPr>
            <w:tcW w:w="3681" w:type="dxa"/>
          </w:tcPr>
          <w:p w14:paraId="6DB24752" w14:textId="12C8D67B" w:rsidR="00E47D44" w:rsidRPr="00E47D44" w:rsidRDefault="00565321" w:rsidP="00E47D44">
            <w:pPr>
              <w:spacing w:line="259" w:lineRule="auto"/>
              <w:rPr>
                <w:rFonts w:ascii="Gill Sans MT" w:hAnsi="Gill Sans MT"/>
                <w:sz w:val="28"/>
                <w:szCs w:val="28"/>
              </w:rPr>
            </w:pPr>
            <w:r>
              <w:rPr>
                <w:rFonts w:ascii="Gill Sans MT" w:hAnsi="Gill Sans MT"/>
                <w:sz w:val="28"/>
                <w:szCs w:val="28"/>
              </w:rPr>
              <w:t>Cost</w:t>
            </w:r>
          </w:p>
        </w:tc>
        <w:tc>
          <w:tcPr>
            <w:tcW w:w="1843" w:type="dxa"/>
          </w:tcPr>
          <w:p w14:paraId="6B670EEB" w14:textId="049E475F" w:rsidR="00E47D44" w:rsidRPr="00E47D44" w:rsidRDefault="00565321" w:rsidP="00E47D44">
            <w:pPr>
              <w:spacing w:line="259" w:lineRule="auto"/>
              <w:rPr>
                <w:rFonts w:ascii="Gill Sans MT" w:hAnsi="Gill Sans MT"/>
                <w:sz w:val="28"/>
                <w:szCs w:val="28"/>
              </w:rPr>
            </w:pPr>
            <w:r>
              <w:rPr>
                <w:rFonts w:ascii="Gill Sans MT" w:hAnsi="Gill Sans MT"/>
                <w:sz w:val="28"/>
                <w:szCs w:val="28"/>
              </w:rPr>
              <w:t>1</w:t>
            </w:r>
            <w:r w:rsidR="004F303B">
              <w:rPr>
                <w:rFonts w:ascii="Gill Sans MT" w:hAnsi="Gill Sans MT"/>
                <w:sz w:val="28"/>
                <w:szCs w:val="28"/>
              </w:rPr>
              <w:t>5</w:t>
            </w:r>
          </w:p>
        </w:tc>
      </w:tr>
    </w:tbl>
    <w:p w14:paraId="68C80E30" w14:textId="77777777" w:rsidR="00E47D44" w:rsidRDefault="00E47D44" w:rsidP="00ED2B4A">
      <w:pPr>
        <w:rPr>
          <w:rFonts w:ascii="Gill Sans MT" w:hAnsi="Gill Sans MT"/>
          <w:sz w:val="28"/>
          <w:szCs w:val="28"/>
        </w:rPr>
      </w:pPr>
    </w:p>
    <w:p w14:paraId="6DCA5EBF" w14:textId="77777777" w:rsidR="00FB3065" w:rsidRPr="00B17AF8" w:rsidRDefault="00FB3065" w:rsidP="00ED2B4A">
      <w:pPr>
        <w:rPr>
          <w:rFonts w:ascii="Gill Sans MT" w:hAnsi="Gill Sans MT"/>
          <w:sz w:val="28"/>
          <w:szCs w:val="28"/>
        </w:rPr>
      </w:pPr>
    </w:p>
    <w:sectPr w:rsidR="00FB3065" w:rsidRPr="00B17AF8" w:rsidSect="00FA00A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7112" w14:textId="77777777" w:rsidR="00FA00AF" w:rsidRDefault="00FA00AF" w:rsidP="00910416">
      <w:pPr>
        <w:spacing w:line="240" w:lineRule="auto"/>
      </w:pPr>
      <w:r>
        <w:separator/>
      </w:r>
    </w:p>
  </w:endnote>
  <w:endnote w:type="continuationSeparator" w:id="0">
    <w:p w14:paraId="4C849EEE" w14:textId="77777777" w:rsidR="00FA00AF" w:rsidRDefault="00FA00AF" w:rsidP="00910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EF0DE" w14:textId="77777777" w:rsidR="00FA00AF" w:rsidRDefault="00FA00AF" w:rsidP="00910416">
      <w:pPr>
        <w:spacing w:line="240" w:lineRule="auto"/>
      </w:pPr>
      <w:r>
        <w:separator/>
      </w:r>
    </w:p>
  </w:footnote>
  <w:footnote w:type="continuationSeparator" w:id="0">
    <w:p w14:paraId="064EF907" w14:textId="77777777" w:rsidR="00FA00AF" w:rsidRDefault="00FA00AF" w:rsidP="009104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EC417" w14:textId="687CB1DF" w:rsidR="00910416" w:rsidRDefault="00910416" w:rsidP="00976747">
    <w:pPr>
      <w:pStyle w:val="Header"/>
      <w:jc w:val="center"/>
    </w:pPr>
    <w:r>
      <w:rPr>
        <w:noProof/>
      </w:rPr>
      <w:drawing>
        <wp:inline distT="0" distB="0" distL="0" distR="0" wp14:anchorId="0367C11E" wp14:editId="041659B9">
          <wp:extent cx="1347470" cy="902335"/>
          <wp:effectExtent l="0" t="0" r="5080" b="0"/>
          <wp:docPr id="123016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902335"/>
                  </a:xfrm>
                  <a:prstGeom prst="rect">
                    <a:avLst/>
                  </a:prstGeom>
                  <a:noFill/>
                </pic:spPr>
              </pic:pic>
            </a:graphicData>
          </a:graphic>
        </wp:inline>
      </w:drawing>
    </w:r>
  </w:p>
  <w:p w14:paraId="5BE3D490" w14:textId="77777777" w:rsidR="00910416" w:rsidRDefault="0091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9C2"/>
    <w:multiLevelType w:val="hybridMultilevel"/>
    <w:tmpl w:val="A85C75DC"/>
    <w:lvl w:ilvl="0" w:tplc="4ED0D2BA">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95E07"/>
    <w:multiLevelType w:val="hybridMultilevel"/>
    <w:tmpl w:val="9326BFCA"/>
    <w:lvl w:ilvl="0" w:tplc="4ED0D2BA">
      <w:numFmt w:val="bullet"/>
      <w:lvlText w:val="•"/>
      <w:lvlJc w:val="left"/>
      <w:pPr>
        <w:ind w:left="1080" w:hanging="72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62903"/>
    <w:multiLevelType w:val="hybridMultilevel"/>
    <w:tmpl w:val="18387C70"/>
    <w:lvl w:ilvl="0" w:tplc="4ED0D2BA">
      <w:numFmt w:val="bullet"/>
      <w:lvlText w:val="•"/>
      <w:lvlJc w:val="left"/>
      <w:pPr>
        <w:ind w:left="1440" w:hanging="72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474BE9"/>
    <w:multiLevelType w:val="hybridMultilevel"/>
    <w:tmpl w:val="DAD4AA80"/>
    <w:lvl w:ilvl="0" w:tplc="4ED0D2BA">
      <w:numFmt w:val="bullet"/>
      <w:lvlText w:val="•"/>
      <w:lvlJc w:val="left"/>
      <w:pPr>
        <w:ind w:left="1440" w:hanging="72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3B10EC"/>
    <w:multiLevelType w:val="hybridMultilevel"/>
    <w:tmpl w:val="CBD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13F3C"/>
    <w:multiLevelType w:val="hybridMultilevel"/>
    <w:tmpl w:val="2AD6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475E72"/>
    <w:multiLevelType w:val="hybridMultilevel"/>
    <w:tmpl w:val="FB88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A304E0"/>
    <w:multiLevelType w:val="hybridMultilevel"/>
    <w:tmpl w:val="8DC8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574410">
    <w:abstractNumId w:val="4"/>
  </w:num>
  <w:num w:numId="2" w16cid:durableId="1508329232">
    <w:abstractNumId w:val="7"/>
  </w:num>
  <w:num w:numId="3" w16cid:durableId="3478578">
    <w:abstractNumId w:val="6"/>
  </w:num>
  <w:num w:numId="4" w16cid:durableId="130561642">
    <w:abstractNumId w:val="5"/>
  </w:num>
  <w:num w:numId="5" w16cid:durableId="1502887753">
    <w:abstractNumId w:val="1"/>
  </w:num>
  <w:num w:numId="6" w16cid:durableId="1511874000">
    <w:abstractNumId w:val="2"/>
  </w:num>
  <w:num w:numId="7" w16cid:durableId="1816490835">
    <w:abstractNumId w:val="0"/>
  </w:num>
  <w:num w:numId="8" w16cid:durableId="1462773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BF"/>
    <w:rsid w:val="00094F5C"/>
    <w:rsid w:val="001B71F9"/>
    <w:rsid w:val="001E7449"/>
    <w:rsid w:val="003C63F4"/>
    <w:rsid w:val="00414676"/>
    <w:rsid w:val="00446C32"/>
    <w:rsid w:val="004F303B"/>
    <w:rsid w:val="005219A7"/>
    <w:rsid w:val="00565321"/>
    <w:rsid w:val="005966C2"/>
    <w:rsid w:val="00600C4F"/>
    <w:rsid w:val="00696D7E"/>
    <w:rsid w:val="006D5ADB"/>
    <w:rsid w:val="008B38BF"/>
    <w:rsid w:val="008B4CFC"/>
    <w:rsid w:val="00910416"/>
    <w:rsid w:val="00957587"/>
    <w:rsid w:val="00976747"/>
    <w:rsid w:val="00B17AF8"/>
    <w:rsid w:val="00BE2118"/>
    <w:rsid w:val="00BE776C"/>
    <w:rsid w:val="00BF79A2"/>
    <w:rsid w:val="00D84E98"/>
    <w:rsid w:val="00DA088D"/>
    <w:rsid w:val="00DB0287"/>
    <w:rsid w:val="00DC3667"/>
    <w:rsid w:val="00E47D44"/>
    <w:rsid w:val="00ED2B4A"/>
    <w:rsid w:val="00FA00AF"/>
    <w:rsid w:val="00FB3065"/>
    <w:rsid w:val="00FB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E6FF"/>
  <w15:chartTrackingRefBased/>
  <w15:docId w15:val="{A9AF1530-4EEA-46D1-921B-AA94058D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8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8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8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8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8BF"/>
    <w:rPr>
      <w:rFonts w:eastAsiaTheme="majorEastAsia" w:cstheme="majorBidi"/>
      <w:color w:val="272727" w:themeColor="text1" w:themeTint="D8"/>
    </w:rPr>
  </w:style>
  <w:style w:type="paragraph" w:styleId="Title">
    <w:name w:val="Title"/>
    <w:basedOn w:val="Normal"/>
    <w:next w:val="Normal"/>
    <w:link w:val="TitleChar"/>
    <w:uiPriority w:val="10"/>
    <w:qFormat/>
    <w:rsid w:val="008B3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8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8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8BF"/>
    <w:rPr>
      <w:i/>
      <w:iCs/>
      <w:color w:val="404040" w:themeColor="text1" w:themeTint="BF"/>
    </w:rPr>
  </w:style>
  <w:style w:type="paragraph" w:styleId="ListParagraph">
    <w:name w:val="List Paragraph"/>
    <w:basedOn w:val="Normal"/>
    <w:uiPriority w:val="34"/>
    <w:qFormat/>
    <w:rsid w:val="008B38BF"/>
    <w:pPr>
      <w:ind w:left="720"/>
      <w:contextualSpacing/>
    </w:pPr>
  </w:style>
  <w:style w:type="character" w:styleId="IntenseEmphasis">
    <w:name w:val="Intense Emphasis"/>
    <w:basedOn w:val="DefaultParagraphFont"/>
    <w:uiPriority w:val="21"/>
    <w:qFormat/>
    <w:rsid w:val="008B38BF"/>
    <w:rPr>
      <w:i/>
      <w:iCs/>
      <w:color w:val="2F5496" w:themeColor="accent1" w:themeShade="BF"/>
    </w:rPr>
  </w:style>
  <w:style w:type="paragraph" w:styleId="IntenseQuote">
    <w:name w:val="Intense Quote"/>
    <w:basedOn w:val="Normal"/>
    <w:next w:val="Normal"/>
    <w:link w:val="IntenseQuoteChar"/>
    <w:uiPriority w:val="30"/>
    <w:qFormat/>
    <w:rsid w:val="008B3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8BF"/>
    <w:rPr>
      <w:i/>
      <w:iCs/>
      <w:color w:val="2F5496" w:themeColor="accent1" w:themeShade="BF"/>
    </w:rPr>
  </w:style>
  <w:style w:type="character" w:styleId="IntenseReference">
    <w:name w:val="Intense Reference"/>
    <w:basedOn w:val="DefaultParagraphFont"/>
    <w:uiPriority w:val="32"/>
    <w:qFormat/>
    <w:rsid w:val="008B38BF"/>
    <w:rPr>
      <w:b/>
      <w:bCs/>
      <w:smallCaps/>
      <w:color w:val="2F5496" w:themeColor="accent1" w:themeShade="BF"/>
      <w:spacing w:val="5"/>
    </w:rPr>
  </w:style>
  <w:style w:type="table" w:styleId="TableGrid">
    <w:name w:val="Table Grid"/>
    <w:basedOn w:val="TableNormal"/>
    <w:uiPriority w:val="39"/>
    <w:rsid w:val="00B17A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416"/>
    <w:pPr>
      <w:tabs>
        <w:tab w:val="center" w:pos="4513"/>
        <w:tab w:val="right" w:pos="9026"/>
      </w:tabs>
      <w:spacing w:line="240" w:lineRule="auto"/>
    </w:pPr>
  </w:style>
  <w:style w:type="character" w:customStyle="1" w:styleId="HeaderChar">
    <w:name w:val="Header Char"/>
    <w:basedOn w:val="DefaultParagraphFont"/>
    <w:link w:val="Header"/>
    <w:uiPriority w:val="99"/>
    <w:rsid w:val="00910416"/>
  </w:style>
  <w:style w:type="paragraph" w:styleId="Footer">
    <w:name w:val="footer"/>
    <w:basedOn w:val="Normal"/>
    <w:link w:val="FooterChar"/>
    <w:uiPriority w:val="99"/>
    <w:unhideWhenUsed/>
    <w:rsid w:val="00910416"/>
    <w:pPr>
      <w:tabs>
        <w:tab w:val="center" w:pos="4513"/>
        <w:tab w:val="right" w:pos="9026"/>
      </w:tabs>
      <w:spacing w:line="240" w:lineRule="auto"/>
    </w:pPr>
  </w:style>
  <w:style w:type="character" w:customStyle="1" w:styleId="FooterChar">
    <w:name w:val="Footer Char"/>
    <w:basedOn w:val="DefaultParagraphFont"/>
    <w:link w:val="Footer"/>
    <w:uiPriority w:val="99"/>
    <w:rsid w:val="0091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1305</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18</cp:revision>
  <cp:lastPrinted>2024-04-24T12:27:00Z</cp:lastPrinted>
  <dcterms:created xsi:type="dcterms:W3CDTF">2024-04-16T08:44:00Z</dcterms:created>
  <dcterms:modified xsi:type="dcterms:W3CDTF">2024-04-24T12:35:00Z</dcterms:modified>
</cp:coreProperties>
</file>