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25CF8666" w14:textId="7F91529A" w:rsidR="00825EA8" w:rsidRPr="00825EA8" w:rsidRDefault="008A3138" w:rsidP="00825EA8">
      <w:pPr>
        <w:pStyle w:val="Heading1"/>
      </w:pPr>
      <w:r>
        <w:t>Summary</w:t>
      </w:r>
    </w:p>
    <w:p w14:paraId="4748C512" w14:textId="77777777" w:rsidR="00093712" w:rsidRDefault="004948A0" w:rsidP="00093712">
      <w:pPr>
        <w:jc w:val="both"/>
        <w:rPr>
          <w:rStyle w:val="normaltextrun"/>
          <w:color w:val="000000"/>
          <w:sz w:val="22"/>
          <w:szCs w:val="22"/>
          <w:shd w:val="clear" w:color="auto" w:fill="FFFFFF"/>
        </w:rPr>
      </w:pPr>
      <w:r>
        <w:rPr>
          <w:rStyle w:val="normaltextrun"/>
          <w:color w:val="000000"/>
          <w:sz w:val="22"/>
          <w:szCs w:val="22"/>
          <w:shd w:val="clear" w:color="auto" w:fill="FFFFFF"/>
        </w:rPr>
        <w:t>WFD is commissioning a consultancy firm to undertake a quantitative and qualitative survey-based analysis that will provide data on potential challenges to the credibility of the upcoming election in Bangsamoro, identify information gaps around the parliamentary election process, as well as highlight factors that influence public trust in the upcoming elections in 2025.</w:t>
      </w:r>
    </w:p>
    <w:p w14:paraId="6FC10C78" w14:textId="63DD9419" w:rsidR="00825EA8" w:rsidRDefault="00952576" w:rsidP="003364A3">
      <w:pPr>
        <w:jc w:val="both"/>
      </w:pPr>
      <w:r w:rsidRPr="00973195">
        <w:rPr>
          <w:color w:val="000000"/>
          <w:sz w:val="22"/>
          <w:szCs w:val="22"/>
        </w:rPr>
        <w:t>WFD encourages bids from individual consultants, as well as larger consultancy firms.</w:t>
      </w:r>
    </w:p>
    <w:p w14:paraId="542A911D" w14:textId="77777777" w:rsidR="002A50CF" w:rsidRDefault="002A50CF" w:rsidP="000344E2">
      <w:pPr>
        <w:pStyle w:val="Heading1"/>
      </w:pPr>
    </w:p>
    <w:p w14:paraId="4B87C53D" w14:textId="565D4B9C"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4211354F"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75B44EAE" w:rsidR="009E44A6" w:rsidRPr="00B32E19" w:rsidRDefault="009E44A6" w:rsidP="009E44A6">
      <w:pPr>
        <w:pStyle w:val="ListParagraph"/>
        <w:numPr>
          <w:ilvl w:val="0"/>
          <w:numId w:val="33"/>
        </w:numPr>
      </w:pPr>
      <w:r w:rsidRPr="00B32E19">
        <w:rPr>
          <w:color w:val="000000"/>
          <w:sz w:val="22"/>
          <w:szCs w:val="22"/>
          <w:shd w:val="clear" w:color="auto" w:fill="FFFFFF"/>
        </w:rPr>
        <w:t xml:space="preserve">High quality and impactful </w:t>
      </w:r>
      <w:r w:rsidR="008D7155">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proofErr w:type="gramStart"/>
      <w:r w:rsidRPr="00B32E19">
        <w:rPr>
          <w:color w:val="000000"/>
          <w:sz w:val="22"/>
          <w:szCs w:val="22"/>
          <w:shd w:val="clear" w:color="auto" w:fill="FFFFFF"/>
        </w:rPr>
        <w:t>societies;</w:t>
      </w:r>
      <w:proofErr w:type="gramEnd"/>
      <w:r w:rsidRPr="00B32E19">
        <w:rPr>
          <w:color w:val="000000"/>
          <w:sz w:val="22"/>
          <w:szCs w:val="22"/>
          <w:shd w:val="clear" w:color="auto" w:fill="FFFFFF"/>
        </w:rPr>
        <w:t xml:space="preserve"> </w:t>
      </w:r>
    </w:p>
    <w:p w14:paraId="054EE2D0" w14:textId="2C99768E" w:rsidR="00B32E19" w:rsidRPr="00B32E19" w:rsidRDefault="00317E11" w:rsidP="00317E11">
      <w:pPr>
        <w:pStyle w:val="ListParagraph"/>
        <w:numPr>
          <w:ilvl w:val="0"/>
          <w:numId w:val="33"/>
        </w:num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policy makers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0D762986" w14:textId="77777777" w:rsidR="000C5719" w:rsidRDefault="000C5719" w:rsidP="00B32E19">
      <w:pPr>
        <w:pStyle w:val="Heading1"/>
      </w:pPr>
    </w:p>
    <w:p w14:paraId="3D3E129D" w14:textId="32E81B90" w:rsidR="00BA02DC" w:rsidRPr="00944B8E" w:rsidRDefault="00B32E19" w:rsidP="00B32E19">
      <w:pPr>
        <w:pStyle w:val="Heading1"/>
      </w:pPr>
      <w:r>
        <w:t xml:space="preserve">Aim of this </w:t>
      </w:r>
      <w:r w:rsidR="006204E5">
        <w:t xml:space="preserve">Invitation to Tender </w:t>
      </w:r>
    </w:p>
    <w:p w14:paraId="1BF83D56" w14:textId="64A566C1" w:rsidR="00D15725" w:rsidRPr="00D15725" w:rsidRDefault="00D15725" w:rsidP="00D15725">
      <w:pPr>
        <w:pStyle w:val="NormalWeb"/>
        <w:rPr>
          <w:rFonts w:ascii="Arial" w:hAnsi="Arial" w:cs="Arial"/>
          <w:color w:val="000000"/>
          <w:sz w:val="22"/>
          <w:szCs w:val="22"/>
        </w:rPr>
      </w:pPr>
      <w:r w:rsidRPr="4C1BAC0E">
        <w:rPr>
          <w:rFonts w:ascii="Arial" w:hAnsi="Arial" w:cs="Arial"/>
          <w:color w:val="000000" w:themeColor="text1"/>
          <w:sz w:val="22"/>
          <w:szCs w:val="22"/>
        </w:rPr>
        <w:t xml:space="preserve">WFD is issuing this Invitation to Tender (“ITT”) to a range of </w:t>
      </w:r>
      <w:r w:rsidR="00306542" w:rsidRPr="4C1BAC0E">
        <w:rPr>
          <w:rFonts w:ascii="Arial" w:hAnsi="Arial" w:cs="Arial"/>
          <w:color w:val="000000" w:themeColor="text1"/>
          <w:sz w:val="22"/>
          <w:szCs w:val="22"/>
        </w:rPr>
        <w:t>individual</w:t>
      </w:r>
      <w:r w:rsidR="398383B2" w:rsidRPr="4C1BAC0E">
        <w:rPr>
          <w:rFonts w:ascii="Arial" w:hAnsi="Arial" w:cs="Arial"/>
          <w:color w:val="000000" w:themeColor="text1"/>
          <w:sz w:val="22"/>
          <w:szCs w:val="22"/>
        </w:rPr>
        <w:t>s</w:t>
      </w:r>
      <w:r w:rsidR="00306542" w:rsidRPr="4C1BAC0E">
        <w:rPr>
          <w:rFonts w:ascii="Arial" w:hAnsi="Arial" w:cs="Arial"/>
          <w:color w:val="000000" w:themeColor="text1"/>
          <w:sz w:val="22"/>
          <w:szCs w:val="22"/>
        </w:rPr>
        <w:t xml:space="preserve"> and </w:t>
      </w:r>
      <w:r w:rsidR="00115E2F" w:rsidRPr="4C1BAC0E">
        <w:rPr>
          <w:rFonts w:ascii="Arial" w:hAnsi="Arial" w:cs="Arial"/>
          <w:color w:val="000000" w:themeColor="text1"/>
          <w:sz w:val="22"/>
          <w:szCs w:val="22"/>
        </w:rPr>
        <w:t xml:space="preserve">consultancy </w:t>
      </w:r>
      <w:r w:rsidR="00FB6BBC" w:rsidRPr="4C1BAC0E">
        <w:rPr>
          <w:rFonts w:ascii="Arial" w:hAnsi="Arial" w:cs="Arial"/>
          <w:color w:val="000000" w:themeColor="text1"/>
          <w:sz w:val="22"/>
          <w:szCs w:val="22"/>
        </w:rPr>
        <w:t>firms and</w:t>
      </w:r>
      <w:r w:rsidRPr="4C1BAC0E">
        <w:rPr>
          <w:rFonts w:ascii="Arial" w:hAnsi="Arial" w:cs="Arial"/>
          <w:color w:val="000000" w:themeColor="text1"/>
          <w:sz w:val="22"/>
          <w:szCs w:val="22"/>
        </w:rPr>
        <w:t xml:space="preserve"> would welcome a bid from your </w:t>
      </w:r>
      <w:proofErr w:type="spellStart"/>
      <w:r w:rsidRPr="4C1BAC0E">
        <w:rPr>
          <w:rFonts w:ascii="Arial" w:hAnsi="Arial" w:cs="Arial"/>
          <w:color w:val="000000" w:themeColor="text1"/>
          <w:sz w:val="22"/>
          <w:szCs w:val="22"/>
        </w:rPr>
        <w:t>organisation</w:t>
      </w:r>
      <w:proofErr w:type="spellEnd"/>
      <w:r w:rsidRPr="4C1BAC0E">
        <w:rPr>
          <w:rFonts w:ascii="Arial" w:hAnsi="Arial" w:cs="Arial"/>
          <w:color w:val="000000" w:themeColor="text1"/>
          <w:sz w:val="22"/>
          <w:szCs w:val="22"/>
        </w:rPr>
        <w:t>.</w:t>
      </w:r>
    </w:p>
    <w:p w14:paraId="1D55CD0F" w14:textId="16BA10A5" w:rsidR="00D15725" w:rsidRPr="00D15725" w:rsidRDefault="00D15725" w:rsidP="00CD59CB">
      <w:pPr>
        <w:pStyle w:val="NormalWeb"/>
        <w:jc w:val="both"/>
        <w:rPr>
          <w:rFonts w:ascii="Arial" w:hAnsi="Arial" w:cs="Arial"/>
          <w:color w:val="000000"/>
          <w:sz w:val="22"/>
          <w:szCs w:val="22"/>
        </w:rPr>
      </w:pPr>
      <w:r w:rsidRPr="64245F71">
        <w:rPr>
          <w:rFonts w:ascii="Arial" w:hAnsi="Arial" w:cs="Arial"/>
          <w:color w:val="000000" w:themeColor="text1"/>
          <w:sz w:val="22"/>
          <w:szCs w:val="22"/>
        </w:rPr>
        <w:t>WFD is looking to enter into a</w:t>
      </w:r>
      <w:r w:rsidR="0A24155C" w:rsidRPr="64245F71">
        <w:rPr>
          <w:rFonts w:ascii="Arial" w:hAnsi="Arial" w:cs="Arial"/>
          <w:color w:val="000000" w:themeColor="text1"/>
          <w:sz w:val="22"/>
          <w:szCs w:val="22"/>
        </w:rPr>
        <w:t>n</w:t>
      </w:r>
      <w:r w:rsidRPr="64245F71">
        <w:rPr>
          <w:rFonts w:ascii="Arial" w:hAnsi="Arial" w:cs="Arial"/>
          <w:color w:val="000000" w:themeColor="text1"/>
          <w:sz w:val="22"/>
          <w:szCs w:val="22"/>
        </w:rPr>
        <w:t xml:space="preserve"> agreement with</w:t>
      </w:r>
      <w:r w:rsidR="00A37589">
        <w:rPr>
          <w:rFonts w:ascii="Arial" w:hAnsi="Arial" w:cs="Arial"/>
          <w:color w:val="000000" w:themeColor="text1"/>
          <w:sz w:val="22"/>
          <w:szCs w:val="22"/>
        </w:rPr>
        <w:t xml:space="preserve"> </w:t>
      </w:r>
      <w:r w:rsidR="15BB34F8" w:rsidRPr="64245F71">
        <w:rPr>
          <w:rFonts w:ascii="Arial" w:hAnsi="Arial" w:cs="Arial"/>
          <w:color w:val="000000" w:themeColor="text1"/>
          <w:sz w:val="22"/>
          <w:szCs w:val="22"/>
        </w:rPr>
        <w:t xml:space="preserve">a </w:t>
      </w:r>
      <w:commentRangeStart w:id="0"/>
      <w:commentRangeStart w:id="1"/>
      <w:commentRangeStart w:id="2"/>
      <w:r w:rsidR="001B699F" w:rsidRPr="64245F71">
        <w:rPr>
          <w:rFonts w:ascii="Arial" w:hAnsi="Arial" w:cs="Arial"/>
          <w:color w:val="000000" w:themeColor="text1"/>
          <w:sz w:val="22"/>
          <w:szCs w:val="22"/>
        </w:rPr>
        <w:t>consultanc</w:t>
      </w:r>
      <w:commentRangeEnd w:id="0"/>
      <w:r>
        <w:rPr>
          <w:rStyle w:val="CommentReference"/>
        </w:rPr>
        <w:commentReference w:id="0"/>
      </w:r>
      <w:commentRangeEnd w:id="1"/>
      <w:r>
        <w:rPr>
          <w:rStyle w:val="CommentReference"/>
        </w:rPr>
        <w:commentReference w:id="1"/>
      </w:r>
      <w:commentRangeEnd w:id="2"/>
      <w:r>
        <w:rPr>
          <w:rStyle w:val="CommentReference"/>
        </w:rPr>
        <w:commentReference w:id="2"/>
      </w:r>
      <w:r w:rsidR="001B699F" w:rsidRPr="64245F71">
        <w:rPr>
          <w:rFonts w:ascii="Arial" w:hAnsi="Arial" w:cs="Arial"/>
          <w:color w:val="000000" w:themeColor="text1"/>
          <w:sz w:val="22"/>
          <w:szCs w:val="22"/>
        </w:rPr>
        <w:t>y firm</w:t>
      </w:r>
      <w:r w:rsidRPr="64245F71">
        <w:rPr>
          <w:rFonts w:ascii="Arial" w:hAnsi="Arial" w:cs="Arial"/>
          <w:color w:val="000000" w:themeColor="text1"/>
          <w:sz w:val="22"/>
          <w:szCs w:val="22"/>
        </w:rPr>
        <w:t xml:space="preserve"> </w:t>
      </w:r>
      <w:r w:rsidR="003F6CEC" w:rsidRPr="64245F71">
        <w:rPr>
          <w:rFonts w:ascii="Arial" w:hAnsi="Arial" w:cs="Arial"/>
          <w:color w:val="000000" w:themeColor="text1"/>
          <w:sz w:val="22"/>
          <w:szCs w:val="22"/>
        </w:rPr>
        <w:t xml:space="preserve">to undertake the </w:t>
      </w:r>
      <w:r w:rsidR="00E31368" w:rsidRPr="64245F71">
        <w:rPr>
          <w:rFonts w:ascii="Arial" w:hAnsi="Arial" w:cs="Arial"/>
          <w:color w:val="000000" w:themeColor="text1"/>
          <w:sz w:val="22"/>
          <w:szCs w:val="22"/>
        </w:rPr>
        <w:t xml:space="preserve">pre-election </w:t>
      </w:r>
      <w:r w:rsidR="003F6CEC" w:rsidRPr="64245F71">
        <w:rPr>
          <w:rFonts w:ascii="Arial" w:hAnsi="Arial" w:cs="Arial"/>
          <w:color w:val="000000" w:themeColor="text1"/>
          <w:sz w:val="22"/>
          <w:szCs w:val="22"/>
        </w:rPr>
        <w:t>quantitative and qualit</w:t>
      </w:r>
      <w:r w:rsidR="00FB6BBC" w:rsidRPr="64245F71">
        <w:rPr>
          <w:rFonts w:ascii="Arial" w:hAnsi="Arial" w:cs="Arial"/>
          <w:color w:val="000000" w:themeColor="text1"/>
          <w:sz w:val="22"/>
          <w:szCs w:val="22"/>
        </w:rPr>
        <w:t xml:space="preserve">ative </w:t>
      </w:r>
      <w:r w:rsidR="000C5719" w:rsidRPr="64245F71">
        <w:rPr>
          <w:rFonts w:ascii="Arial" w:hAnsi="Arial" w:cs="Arial"/>
          <w:color w:val="000000" w:themeColor="text1"/>
          <w:sz w:val="22"/>
          <w:szCs w:val="22"/>
        </w:rPr>
        <w:t>survey-based</w:t>
      </w:r>
      <w:r w:rsidR="001D0B1E" w:rsidRPr="64245F71">
        <w:rPr>
          <w:rFonts w:ascii="Arial" w:hAnsi="Arial" w:cs="Arial"/>
          <w:color w:val="000000" w:themeColor="text1"/>
          <w:sz w:val="22"/>
          <w:szCs w:val="22"/>
        </w:rPr>
        <w:t xml:space="preserve"> analysis that will cover the </w:t>
      </w:r>
      <w:r w:rsidR="004521C7" w:rsidRPr="64245F71">
        <w:rPr>
          <w:rFonts w:ascii="Arial" w:hAnsi="Arial" w:cs="Arial"/>
          <w:color w:val="000000" w:themeColor="text1"/>
          <w:sz w:val="22"/>
          <w:szCs w:val="22"/>
        </w:rPr>
        <w:t>scope</w:t>
      </w:r>
      <w:r w:rsidR="00F870FB" w:rsidRPr="64245F71">
        <w:rPr>
          <w:rFonts w:ascii="Arial" w:hAnsi="Arial" w:cs="Arial"/>
          <w:color w:val="000000" w:themeColor="text1"/>
          <w:sz w:val="22"/>
          <w:szCs w:val="22"/>
        </w:rPr>
        <w:t xml:space="preserve"> of work below.</w:t>
      </w:r>
    </w:p>
    <w:p w14:paraId="4E1DA2B2" w14:textId="769D9716" w:rsidR="00D15725" w:rsidRPr="008F5991" w:rsidRDefault="00D15725" w:rsidP="00CD59CB">
      <w:pPr>
        <w:pStyle w:val="NormalWeb"/>
        <w:jc w:val="both"/>
        <w:rPr>
          <w:rFonts w:ascii="Arial" w:hAnsi="Arial" w:cs="Arial"/>
          <w:color w:val="000000"/>
          <w:sz w:val="22"/>
          <w:szCs w:val="22"/>
        </w:rPr>
      </w:pPr>
      <w:r w:rsidRPr="64245F71">
        <w:rPr>
          <w:rFonts w:ascii="Arial" w:hAnsi="Arial" w:cs="Arial"/>
          <w:color w:val="000000" w:themeColor="text1"/>
          <w:sz w:val="22"/>
          <w:szCs w:val="22"/>
        </w:rPr>
        <w:t xml:space="preserve">We are looking for a firm or company to deliver this contract. We anticipate the framework agreement to run </w:t>
      </w:r>
      <w:r w:rsidR="00857D7A" w:rsidRPr="64245F71">
        <w:rPr>
          <w:rFonts w:ascii="Arial" w:hAnsi="Arial" w:cs="Arial"/>
          <w:color w:val="000000" w:themeColor="text1"/>
          <w:sz w:val="22"/>
          <w:szCs w:val="22"/>
        </w:rPr>
        <w:t xml:space="preserve">for six (6) weeks from </w:t>
      </w:r>
      <w:r w:rsidR="008F5991" w:rsidRPr="64245F71">
        <w:rPr>
          <w:rFonts w:ascii="Arial" w:hAnsi="Arial" w:cs="Arial"/>
          <w:color w:val="000000" w:themeColor="text1"/>
          <w:sz w:val="22"/>
          <w:szCs w:val="22"/>
        </w:rPr>
        <w:t>01 August to 15 September</w:t>
      </w:r>
      <w:r w:rsidR="00857D7A" w:rsidRPr="64245F71">
        <w:rPr>
          <w:rFonts w:ascii="Arial" w:hAnsi="Arial" w:cs="Arial"/>
          <w:color w:val="000000" w:themeColor="text1"/>
          <w:sz w:val="22"/>
          <w:szCs w:val="22"/>
        </w:rPr>
        <w:t xml:space="preserve"> </w:t>
      </w:r>
      <w:r w:rsidRPr="64245F71">
        <w:rPr>
          <w:rFonts w:ascii="Arial" w:hAnsi="Arial" w:cs="Arial"/>
          <w:color w:val="000000" w:themeColor="text1"/>
          <w:sz w:val="22"/>
          <w:szCs w:val="22"/>
        </w:rPr>
        <w:t>2024.</w:t>
      </w:r>
    </w:p>
    <w:p w14:paraId="1FF08E22" w14:textId="145B1B88" w:rsidR="00BA02DC" w:rsidRPr="00944B8E" w:rsidRDefault="006204E5" w:rsidP="000344E2">
      <w:pPr>
        <w:pStyle w:val="Heading1"/>
      </w:pPr>
      <w:r>
        <w:t>Bid</w:t>
      </w:r>
      <w:r w:rsidR="00BA02DC">
        <w:t xml:space="preserve"> submission</w:t>
      </w:r>
    </w:p>
    <w:p w14:paraId="2DB14F71" w14:textId="277BC341" w:rsidR="00E97BB0" w:rsidRPr="00E654F1" w:rsidRDefault="00782C79" w:rsidP="00CD59CB">
      <w:pPr>
        <w:jc w:val="both"/>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by</w:t>
      </w:r>
      <w:r w:rsidR="003173FC">
        <w:rPr>
          <w:sz w:val="22"/>
          <w:szCs w:val="22"/>
        </w:rPr>
        <w:t xml:space="preserve"> </w:t>
      </w:r>
      <w:r w:rsidR="001A7539">
        <w:rPr>
          <w:sz w:val="22"/>
          <w:szCs w:val="22"/>
        </w:rPr>
        <w:t xml:space="preserve">23:59 on </w:t>
      </w:r>
      <w:r w:rsidR="003173FC">
        <w:rPr>
          <w:sz w:val="22"/>
          <w:szCs w:val="22"/>
        </w:rPr>
        <w:t>10</w:t>
      </w:r>
      <w:r w:rsidR="004979E6">
        <w:rPr>
          <w:sz w:val="22"/>
          <w:szCs w:val="22"/>
          <w:vertAlign w:val="superscript"/>
        </w:rPr>
        <w:t xml:space="preserve"> </w:t>
      </w:r>
      <w:r w:rsidR="003173FC">
        <w:rPr>
          <w:sz w:val="22"/>
          <w:szCs w:val="22"/>
        </w:rPr>
        <w:t>Jul</w:t>
      </w:r>
      <w:r w:rsidR="004979E6">
        <w:rPr>
          <w:sz w:val="22"/>
          <w:szCs w:val="22"/>
        </w:rPr>
        <w:t>y 2024</w:t>
      </w:r>
      <w:r w:rsidR="00E97BB0">
        <w:rPr>
          <w:sz w:val="22"/>
          <w:szCs w:val="22"/>
        </w:rPr>
        <w:t xml:space="preserve">, </w:t>
      </w:r>
      <w:r w:rsidRPr="00E654F1">
        <w:rPr>
          <w:sz w:val="22"/>
          <w:szCs w:val="22"/>
        </w:rPr>
        <w:t>in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49FAFB6F" w14:textId="449F1CD2" w:rsidR="00A300AB" w:rsidRPr="009A24A3" w:rsidRDefault="00A300AB" w:rsidP="00CD59CB">
      <w:pPr>
        <w:pStyle w:val="NormalWeb"/>
        <w:jc w:val="both"/>
        <w:rPr>
          <w:rFonts w:ascii="Arial" w:hAnsi="Arial" w:cs="Arial"/>
          <w:color w:val="000000"/>
          <w:sz w:val="22"/>
          <w:szCs w:val="22"/>
        </w:rPr>
      </w:pPr>
      <w:r w:rsidRPr="009A24A3">
        <w:rPr>
          <w:rFonts w:ascii="Arial" w:hAnsi="Arial" w:cs="Arial"/>
          <w:color w:val="000000"/>
          <w:sz w:val="22"/>
          <w:szCs w:val="22"/>
        </w:rPr>
        <w:t xml:space="preserve">The bid should be sent electronically and addressed to: WFD Procurement at </w:t>
      </w:r>
      <w:hyperlink r:id="rId15" w:history="1">
        <w:r w:rsidRPr="009A24A3">
          <w:rPr>
            <w:rStyle w:val="Hyperlink"/>
            <w:rFonts w:ascii="Arial" w:hAnsi="Arial" w:cs="Arial"/>
            <w:sz w:val="22"/>
            <w:szCs w:val="22"/>
          </w:rPr>
          <w:t>procurement@wfd.org</w:t>
        </w:r>
      </w:hyperlink>
      <w:r w:rsidRPr="009A24A3">
        <w:rPr>
          <w:rFonts w:ascii="Arial" w:hAnsi="Arial" w:cs="Arial"/>
          <w:color w:val="000000"/>
          <w:sz w:val="22"/>
          <w:szCs w:val="22"/>
        </w:rPr>
        <w:t xml:space="preserve">. copied </w:t>
      </w:r>
      <w:hyperlink r:id="rId16" w:history="1">
        <w:r w:rsidR="00CB1E31" w:rsidRPr="009A24A3">
          <w:rPr>
            <w:rStyle w:val="Hyperlink"/>
            <w:rFonts w:ascii="Arial" w:hAnsi="Arial" w:cs="Arial"/>
            <w:sz w:val="22"/>
            <w:szCs w:val="22"/>
          </w:rPr>
          <w:t>cynthia.guerra@wfd.org</w:t>
        </w:r>
      </w:hyperlink>
      <w:r w:rsidR="00CB1E31" w:rsidRPr="009A24A3">
        <w:rPr>
          <w:rFonts w:ascii="Arial" w:hAnsi="Arial" w:cs="Arial"/>
          <w:color w:val="000000"/>
          <w:sz w:val="22"/>
          <w:szCs w:val="22"/>
        </w:rPr>
        <w:t xml:space="preserve"> </w:t>
      </w:r>
    </w:p>
    <w:p w14:paraId="3C8CBC3F" w14:textId="77777777" w:rsidR="00A300AB" w:rsidRPr="009A24A3" w:rsidRDefault="00A300AB" w:rsidP="00CD59CB">
      <w:pPr>
        <w:pStyle w:val="NormalWeb"/>
        <w:jc w:val="both"/>
        <w:rPr>
          <w:rFonts w:ascii="Arial" w:hAnsi="Arial" w:cs="Arial"/>
          <w:color w:val="000000"/>
          <w:sz w:val="22"/>
          <w:szCs w:val="22"/>
        </w:rPr>
      </w:pPr>
      <w:r w:rsidRPr="009A24A3">
        <w:rPr>
          <w:rFonts w:ascii="Arial" w:hAnsi="Arial" w:cs="Arial"/>
          <w:color w:val="000000"/>
          <w:sz w:val="22"/>
          <w:szCs w:val="22"/>
        </w:rPr>
        <w:lastRenderedPageBreak/>
        <w:t>The same email address should be used for any questions related to this ITT.</w:t>
      </w:r>
    </w:p>
    <w:p w14:paraId="423C9AED" w14:textId="370F3774" w:rsidR="0096641F" w:rsidRPr="009A24A3" w:rsidRDefault="00D9655E" w:rsidP="00CD59CB">
      <w:pPr>
        <w:jc w:val="both"/>
        <w:rPr>
          <w:sz w:val="22"/>
          <w:szCs w:val="22"/>
        </w:rPr>
      </w:pPr>
      <w:r w:rsidRPr="009A24A3">
        <w:rPr>
          <w:sz w:val="22"/>
          <w:szCs w:val="22"/>
        </w:rPr>
        <w:t xml:space="preserve">By submitting a bid, you agree to comply with </w:t>
      </w:r>
      <w:r w:rsidR="004D532A" w:rsidRPr="009A24A3">
        <w:rPr>
          <w:sz w:val="22"/>
          <w:szCs w:val="22"/>
        </w:rPr>
        <w:t xml:space="preserve">WFD’s standard terms and conditions for </w:t>
      </w:r>
      <w:r w:rsidR="0096641F" w:rsidRPr="009A24A3">
        <w:rPr>
          <w:sz w:val="22"/>
          <w:szCs w:val="22"/>
        </w:rPr>
        <w:t>tendering</w:t>
      </w:r>
      <w:r w:rsidR="00D34172" w:rsidRPr="009A24A3">
        <w:rPr>
          <w:sz w:val="22"/>
          <w:szCs w:val="22"/>
        </w:rPr>
        <w:t xml:space="preserve"> </w:t>
      </w:r>
      <w:r w:rsidR="00750539" w:rsidRPr="009A24A3">
        <w:rPr>
          <w:sz w:val="22"/>
          <w:szCs w:val="22"/>
        </w:rPr>
        <w:t>and key policies</w:t>
      </w:r>
      <w:r w:rsidR="00735A26" w:rsidRPr="009A24A3">
        <w:rPr>
          <w:sz w:val="22"/>
          <w:szCs w:val="22"/>
        </w:rPr>
        <w:t>, which are</w:t>
      </w:r>
      <w:r w:rsidR="00D34172" w:rsidRPr="009A24A3">
        <w:rPr>
          <w:sz w:val="22"/>
          <w:szCs w:val="22"/>
        </w:rPr>
        <w:t xml:space="preserve"> found </w:t>
      </w:r>
      <w:hyperlink r:id="rId17" w:history="1">
        <w:r w:rsidR="000A68C2" w:rsidRPr="009A24A3">
          <w:rPr>
            <w:rStyle w:val="Hyperlink"/>
            <w:sz w:val="22"/>
            <w:szCs w:val="22"/>
          </w:rPr>
          <w:t>here</w:t>
        </w:r>
      </w:hyperlink>
      <w:r w:rsidR="00735A26" w:rsidRPr="009A24A3">
        <w:rPr>
          <w:color w:val="FF0000"/>
          <w:sz w:val="22"/>
          <w:szCs w:val="22"/>
        </w:rPr>
        <w:t>,</w:t>
      </w:r>
      <w:r w:rsidR="00D34172" w:rsidRPr="009A24A3">
        <w:rPr>
          <w:color w:val="FF0000"/>
          <w:sz w:val="22"/>
          <w:szCs w:val="22"/>
        </w:rPr>
        <w:t xml:space="preserve"> </w:t>
      </w:r>
      <w:r w:rsidR="00D34172" w:rsidRPr="009A24A3">
        <w:rPr>
          <w:sz w:val="22"/>
          <w:szCs w:val="22"/>
        </w:rPr>
        <w:t xml:space="preserve">and </w:t>
      </w:r>
      <w:r w:rsidR="00735A26" w:rsidRPr="009A24A3">
        <w:rPr>
          <w:sz w:val="22"/>
          <w:szCs w:val="22"/>
        </w:rPr>
        <w:t xml:space="preserve">WFD’s </w:t>
      </w:r>
      <w:hyperlink r:id="rId18" w:history="1">
        <w:r w:rsidR="00403CF3" w:rsidRPr="009A24A3">
          <w:rPr>
            <w:rStyle w:val="Hyperlink"/>
            <w:sz w:val="22"/>
            <w:szCs w:val="22"/>
          </w:rPr>
          <w:t>Code of Conduct</w:t>
        </w:r>
      </w:hyperlink>
      <w:r w:rsidR="002B6DC0" w:rsidRPr="009A24A3">
        <w:rPr>
          <w:color w:val="FF0000"/>
          <w:sz w:val="22"/>
          <w:szCs w:val="22"/>
        </w:rPr>
        <w:t>.</w:t>
      </w:r>
      <w:r w:rsidRPr="009A24A3">
        <w:rPr>
          <w:color w:val="FF0000"/>
          <w:sz w:val="22"/>
          <w:szCs w:val="22"/>
        </w:rPr>
        <w:t xml:space="preserve"> </w:t>
      </w:r>
    </w:p>
    <w:p w14:paraId="2F44F74A" w14:textId="77777777" w:rsidR="002A50CF" w:rsidRDefault="002A50CF" w:rsidP="00580FC8">
      <w:pPr>
        <w:pStyle w:val="Heading1"/>
      </w:pPr>
    </w:p>
    <w:p w14:paraId="1B93A29B" w14:textId="000DDF87" w:rsidR="00580FC8" w:rsidRPr="00944B8E" w:rsidRDefault="00030000" w:rsidP="00580FC8">
      <w:pPr>
        <w:pStyle w:val="Heading1"/>
      </w:pPr>
      <w:r>
        <w:t xml:space="preserve">Detailed </w:t>
      </w:r>
      <w:r w:rsidR="00580FC8">
        <w:t>Specification</w:t>
      </w:r>
    </w:p>
    <w:p w14:paraId="3C3B2D41" w14:textId="29431C72" w:rsidR="00944B8E" w:rsidRPr="00944B8E" w:rsidRDefault="00C62F33" w:rsidP="00030000">
      <w:pPr>
        <w:pStyle w:val="Heading2"/>
      </w:pPr>
      <w:r>
        <w:t>Context: Supporting Democratic Stability in Bangsamoro</w:t>
      </w:r>
    </w:p>
    <w:p w14:paraId="03738A5C" w14:textId="1FA0AA71" w:rsidR="00760823" w:rsidRDefault="00760823" w:rsidP="005E6C7F">
      <w:pPr>
        <w:spacing w:after="0"/>
        <w:ind w:left="14"/>
        <w:rPr>
          <w:bCs w:val="0"/>
          <w:sz w:val="22"/>
        </w:rPr>
      </w:pPr>
      <w:r>
        <w:rPr>
          <w:sz w:val="22"/>
        </w:rPr>
        <w:t>First inaugurated in March 2019 pursuant to Philippines Republic Act 11054 or the Bangsamoro Organic Law (BOL), the Bangsamoro Autonomous Region in Muslim Mindanao (BARMM) is the result of an almost two-decade-long peace process. Currently led by an interim parliament known as the Bangsamoro Transition Authority or BTA, the autonomous region is set to hold its first ever parliamentary elections in May 2025 – a major milestone in the peace process that will have profound implications for the future of democracy and political stability in the autonomous region.</w:t>
      </w:r>
    </w:p>
    <w:p w14:paraId="5B4869CB" w14:textId="2CF05318" w:rsidR="00760823" w:rsidRPr="005E6C7F" w:rsidRDefault="00431385" w:rsidP="005E6C7F">
      <w:pPr>
        <w:spacing w:after="0"/>
        <w:ind w:left="14"/>
        <w:rPr>
          <w:sz w:val="22"/>
        </w:rPr>
      </w:pPr>
      <w:r>
        <w:rPr>
          <w:sz w:val="22"/>
        </w:rPr>
        <w:t>Between</w:t>
      </w:r>
      <w:r w:rsidR="00760823" w:rsidRPr="008F0AD0">
        <w:rPr>
          <w:sz w:val="22"/>
        </w:rPr>
        <w:t xml:space="preserve"> 2020-2025, WFD is leading on supporting democratic stability in Bangsamoro programme through the UK Conflict Stability </w:t>
      </w:r>
      <w:r w:rsidR="00760823">
        <w:rPr>
          <w:sz w:val="22"/>
        </w:rPr>
        <w:t xml:space="preserve">and </w:t>
      </w:r>
      <w:r w:rsidR="00760823" w:rsidRPr="008F0AD0">
        <w:rPr>
          <w:sz w:val="22"/>
        </w:rPr>
        <w:t>Security Fund (CSSF) managed by the Foreign Commonwealth</w:t>
      </w:r>
      <w:r w:rsidR="00760823">
        <w:rPr>
          <w:sz w:val="22"/>
        </w:rPr>
        <w:t xml:space="preserve"> and Development</w:t>
      </w:r>
      <w:r w:rsidR="00760823" w:rsidRPr="008F0AD0">
        <w:rPr>
          <w:sz w:val="22"/>
        </w:rPr>
        <w:t xml:space="preserve"> Office (FC</w:t>
      </w:r>
      <w:r w:rsidR="00760823">
        <w:rPr>
          <w:sz w:val="22"/>
        </w:rPr>
        <w:t>D</w:t>
      </w:r>
      <w:r w:rsidR="00760823" w:rsidRPr="008F0AD0">
        <w:rPr>
          <w:sz w:val="22"/>
        </w:rPr>
        <w:t>O</w:t>
      </w:r>
      <w:r w:rsidR="00760823">
        <w:rPr>
          <w:sz w:val="22"/>
        </w:rPr>
        <w:t>). T</w:t>
      </w:r>
      <w:r w:rsidR="00760823" w:rsidRPr="008F0AD0">
        <w:rPr>
          <w:sz w:val="22"/>
        </w:rPr>
        <w:t>he programme is designed with the overall aim of supporting the implementation of</w:t>
      </w:r>
      <w:r w:rsidR="00760823">
        <w:rPr>
          <w:sz w:val="22"/>
        </w:rPr>
        <w:t xml:space="preserve"> the</w:t>
      </w:r>
      <w:r w:rsidR="00760823" w:rsidRPr="008F0AD0">
        <w:rPr>
          <w:sz w:val="22"/>
        </w:rPr>
        <w:t xml:space="preserve"> BOL.</w:t>
      </w:r>
      <w:r w:rsidR="00760823">
        <w:rPr>
          <w:sz w:val="22"/>
        </w:rPr>
        <w:t xml:space="preserve"> </w:t>
      </w:r>
    </w:p>
    <w:p w14:paraId="38D986B6" w14:textId="2BAD7DB4" w:rsidR="000F2189" w:rsidRPr="00BE1BF7" w:rsidRDefault="00760823" w:rsidP="00BE1BF7">
      <w:pPr>
        <w:spacing w:after="0"/>
        <w:rPr>
          <w:sz w:val="22"/>
        </w:rPr>
      </w:pPr>
      <w:r w:rsidRPr="0B049658">
        <w:rPr>
          <w:sz w:val="22"/>
        </w:rPr>
        <w:t xml:space="preserve">With less than a year before May 2025, WFD aims to contribute </w:t>
      </w:r>
      <w:proofErr w:type="gramStart"/>
      <w:r w:rsidRPr="0B049658">
        <w:rPr>
          <w:sz w:val="22"/>
        </w:rPr>
        <w:t>to  transparent</w:t>
      </w:r>
      <w:proofErr w:type="gramEnd"/>
      <w:r w:rsidRPr="0B049658">
        <w:rPr>
          <w:sz w:val="22"/>
        </w:rPr>
        <w:t xml:space="preserve"> and credible parliamentary election in the Bangsamoro region through civic education, promoting inclusion, and supporting effective and sustainable parliamentary processes.</w:t>
      </w:r>
    </w:p>
    <w:p w14:paraId="1BFD9999" w14:textId="77777777" w:rsidR="007C4BF7" w:rsidRDefault="007C4BF7" w:rsidP="009447D7">
      <w:pPr>
        <w:pStyle w:val="Heading2"/>
      </w:pPr>
    </w:p>
    <w:p w14:paraId="25CDE7CC" w14:textId="7903A5D3" w:rsidR="009447D7" w:rsidRPr="00A7331D" w:rsidRDefault="009447D7" w:rsidP="009447D7">
      <w:pPr>
        <w:pStyle w:val="Heading2"/>
        <w:rPr>
          <w:sz w:val="32"/>
          <w:szCs w:val="32"/>
        </w:rPr>
      </w:pPr>
      <w:r w:rsidRPr="00A7331D">
        <w:rPr>
          <w:sz w:val="32"/>
          <w:szCs w:val="32"/>
        </w:rPr>
        <w:t>Scope of work</w:t>
      </w:r>
    </w:p>
    <w:p w14:paraId="64ED543A" w14:textId="67E037F5" w:rsidR="00DF7A06" w:rsidRDefault="00DF7A06" w:rsidP="00DF7A06">
      <w:pPr>
        <w:spacing w:after="0"/>
        <w:rPr>
          <w:rStyle w:val="eop"/>
          <w:color w:val="auto"/>
          <w:sz w:val="22"/>
          <w:shd w:val="clear" w:color="auto" w:fill="FFFFFF"/>
        </w:rPr>
      </w:pPr>
      <w:r w:rsidRPr="00596C75">
        <w:rPr>
          <w:rStyle w:val="normaltextrun"/>
          <w:bCs w:val="0"/>
          <w:color w:val="auto"/>
          <w:sz w:val="22"/>
          <w:shd w:val="clear" w:color="auto" w:fill="FFFFFF"/>
        </w:rPr>
        <w:t xml:space="preserve">The </w:t>
      </w:r>
      <w:r>
        <w:rPr>
          <w:rStyle w:val="normaltextrun"/>
          <w:bCs w:val="0"/>
          <w:color w:val="auto"/>
          <w:sz w:val="22"/>
          <w:shd w:val="clear" w:color="auto" w:fill="FFFFFF"/>
        </w:rPr>
        <w:t>service provider</w:t>
      </w:r>
      <w:r w:rsidRPr="00596C75">
        <w:rPr>
          <w:rStyle w:val="eop"/>
          <w:color w:val="auto"/>
          <w:sz w:val="22"/>
          <w:shd w:val="clear" w:color="auto" w:fill="FFFFFF"/>
        </w:rPr>
        <w:t> </w:t>
      </w:r>
      <w:r>
        <w:rPr>
          <w:rStyle w:val="eop"/>
          <w:color w:val="auto"/>
          <w:sz w:val="22"/>
          <w:shd w:val="clear" w:color="auto" w:fill="FFFFFF"/>
        </w:rPr>
        <w:t>is expected to:</w:t>
      </w:r>
    </w:p>
    <w:p w14:paraId="7FC51F9D" w14:textId="77777777" w:rsidR="00DF7A06" w:rsidRDefault="00DF7A06" w:rsidP="00DF7A06">
      <w:pPr>
        <w:pStyle w:val="ListParagraph"/>
        <w:numPr>
          <w:ilvl w:val="0"/>
          <w:numId w:val="44"/>
        </w:numPr>
        <w:suppressAutoHyphens/>
        <w:autoSpaceDN w:val="0"/>
        <w:spacing w:before="0" w:after="0"/>
        <w:rPr>
          <w:rStyle w:val="eop"/>
          <w:color w:val="auto"/>
          <w:sz w:val="22"/>
          <w:shd w:val="clear" w:color="auto" w:fill="FFFFFF"/>
        </w:rPr>
      </w:pPr>
      <w:r w:rsidRPr="0B049658">
        <w:rPr>
          <w:rStyle w:val="eop"/>
          <w:color w:val="auto"/>
          <w:sz w:val="22"/>
          <w:shd w:val="clear" w:color="auto" w:fill="FFFFFF"/>
        </w:rPr>
        <w:t>Design and develop a research survey to assess the</w:t>
      </w:r>
      <w:r w:rsidRPr="0B049658">
        <w:rPr>
          <w:rStyle w:val="eop"/>
          <w:color w:val="auto"/>
          <w:sz w:val="22"/>
        </w:rPr>
        <w:t xml:space="preserve"> perception</w:t>
      </w:r>
      <w:r w:rsidRPr="0B049658">
        <w:rPr>
          <w:rStyle w:val="eop"/>
          <w:color w:val="auto"/>
          <w:sz w:val="22"/>
          <w:shd w:val="clear" w:color="auto" w:fill="FFFFFF"/>
        </w:rPr>
        <w:t xml:space="preserve"> of citizens around the </w:t>
      </w:r>
      <w:r w:rsidRPr="0B049658">
        <w:rPr>
          <w:rStyle w:val="eop"/>
          <w:color w:val="auto"/>
          <w:sz w:val="22"/>
        </w:rPr>
        <w:t xml:space="preserve">2025 parliamentary elections </w:t>
      </w:r>
      <w:r w:rsidRPr="0B049658">
        <w:rPr>
          <w:rStyle w:val="eop"/>
          <w:color w:val="auto"/>
          <w:sz w:val="22"/>
          <w:shd w:val="clear" w:color="auto" w:fill="FFFFFF"/>
        </w:rPr>
        <w:t xml:space="preserve">in the BARMM, with support from WFD’s Head of Practice for Elections and the local team in the </w:t>
      </w:r>
      <w:proofErr w:type="gramStart"/>
      <w:r w:rsidRPr="0B049658">
        <w:rPr>
          <w:rStyle w:val="eop"/>
          <w:color w:val="auto"/>
          <w:sz w:val="22"/>
          <w:shd w:val="clear" w:color="auto" w:fill="FFFFFF"/>
        </w:rPr>
        <w:t>Bangsamoro;</w:t>
      </w:r>
      <w:proofErr w:type="gramEnd"/>
    </w:p>
    <w:p w14:paraId="485AD57A" w14:textId="77777777" w:rsidR="00DF7A06" w:rsidRDefault="00DF7A06" w:rsidP="00DF7A06">
      <w:pPr>
        <w:pStyle w:val="ListParagraph"/>
        <w:numPr>
          <w:ilvl w:val="0"/>
          <w:numId w:val="44"/>
        </w:numPr>
        <w:suppressAutoHyphens/>
        <w:autoSpaceDN w:val="0"/>
        <w:spacing w:before="0" w:after="0"/>
        <w:rPr>
          <w:rStyle w:val="eop"/>
          <w:color w:val="auto"/>
          <w:sz w:val="22"/>
          <w:shd w:val="clear" w:color="auto" w:fill="FFFFFF"/>
        </w:rPr>
      </w:pPr>
      <w:r w:rsidRPr="0B049658">
        <w:rPr>
          <w:rStyle w:val="eop"/>
          <w:color w:val="auto"/>
          <w:sz w:val="22"/>
          <w:shd w:val="clear" w:color="auto" w:fill="FFFFFF"/>
        </w:rPr>
        <w:t>Undertake data collection using a representative</w:t>
      </w:r>
      <w:r w:rsidRPr="0B049658">
        <w:rPr>
          <w:rStyle w:val="eop"/>
          <w:color w:val="auto"/>
          <w:sz w:val="22"/>
        </w:rPr>
        <w:t xml:space="preserve"> sample size</w:t>
      </w:r>
    </w:p>
    <w:p w14:paraId="5FBC8482" w14:textId="77777777" w:rsidR="00DF7A06" w:rsidRDefault="00DF7A06" w:rsidP="00DF7A06">
      <w:pPr>
        <w:pStyle w:val="ListParagraph"/>
        <w:numPr>
          <w:ilvl w:val="0"/>
          <w:numId w:val="44"/>
        </w:numPr>
        <w:suppressAutoHyphens/>
        <w:autoSpaceDN w:val="0"/>
        <w:spacing w:before="0" w:after="0"/>
        <w:rPr>
          <w:rStyle w:val="eop"/>
          <w:color w:val="auto"/>
          <w:sz w:val="22"/>
          <w:shd w:val="clear" w:color="auto" w:fill="FFFFFF"/>
        </w:rPr>
      </w:pPr>
      <w:r w:rsidRPr="0B049658">
        <w:rPr>
          <w:rStyle w:val="eop"/>
          <w:color w:val="auto"/>
          <w:sz w:val="22"/>
          <w:shd w:val="clear" w:color="auto" w:fill="FFFFFF"/>
        </w:rPr>
        <w:t>Using different</w:t>
      </w:r>
      <w:r w:rsidRPr="0B049658">
        <w:rPr>
          <w:rStyle w:val="eop"/>
          <w:color w:val="auto"/>
          <w:sz w:val="22"/>
        </w:rPr>
        <w:t xml:space="preserve"> quantitative and qualitative methods </w:t>
      </w:r>
      <w:r w:rsidRPr="0B049658">
        <w:rPr>
          <w:rStyle w:val="eop"/>
          <w:color w:val="auto"/>
          <w:sz w:val="22"/>
          <w:shd w:val="clear" w:color="auto" w:fill="FFFFFF"/>
        </w:rPr>
        <w:t xml:space="preserve">as approved by </w:t>
      </w:r>
      <w:proofErr w:type="gramStart"/>
      <w:r w:rsidRPr="0B049658">
        <w:rPr>
          <w:rStyle w:val="eop"/>
          <w:color w:val="auto"/>
          <w:sz w:val="22"/>
          <w:shd w:val="clear" w:color="auto" w:fill="FFFFFF"/>
        </w:rPr>
        <w:t>WFD;</w:t>
      </w:r>
      <w:proofErr w:type="gramEnd"/>
    </w:p>
    <w:p w14:paraId="5E344B3D" w14:textId="3CCC3D9A" w:rsidR="00DF7A06" w:rsidRDefault="00DF7A06" w:rsidP="64245F71">
      <w:pPr>
        <w:pStyle w:val="ListParagraph"/>
        <w:numPr>
          <w:ilvl w:val="0"/>
          <w:numId w:val="44"/>
        </w:numPr>
        <w:suppressAutoHyphens/>
        <w:autoSpaceDN w:val="0"/>
        <w:spacing w:before="0" w:after="0"/>
        <w:rPr>
          <w:rStyle w:val="eop"/>
          <w:color w:val="auto"/>
          <w:sz w:val="22"/>
          <w:szCs w:val="22"/>
        </w:rPr>
      </w:pPr>
      <w:r w:rsidRPr="64245F71">
        <w:rPr>
          <w:rStyle w:val="eop"/>
          <w:color w:val="auto"/>
          <w:sz w:val="22"/>
          <w:szCs w:val="22"/>
        </w:rPr>
        <w:t xml:space="preserve">Provide </w:t>
      </w:r>
      <w:r w:rsidR="0B65589C" w:rsidRPr="64245F71">
        <w:rPr>
          <w:rStyle w:val="eop"/>
          <w:color w:val="auto"/>
          <w:sz w:val="22"/>
          <w:szCs w:val="22"/>
        </w:rPr>
        <w:t xml:space="preserve">foundational evidenced analysis with regards to election integrity for the upcoming Bangsamoro inaugural parliamentary </w:t>
      </w:r>
      <w:proofErr w:type="spellStart"/>
      <w:r w:rsidR="0B65589C" w:rsidRPr="64245F71">
        <w:rPr>
          <w:rStyle w:val="eop"/>
          <w:color w:val="auto"/>
          <w:sz w:val="22"/>
          <w:szCs w:val="22"/>
        </w:rPr>
        <w:t>elections</w:t>
      </w:r>
      <w:r w:rsidRPr="64245F71">
        <w:rPr>
          <w:rStyle w:val="eop"/>
          <w:color w:val="auto"/>
          <w:sz w:val="22"/>
          <w:szCs w:val="22"/>
        </w:rPr>
        <w:t>s</w:t>
      </w:r>
      <w:proofErr w:type="spellEnd"/>
      <w:r w:rsidRPr="64245F71">
        <w:rPr>
          <w:rStyle w:val="eop"/>
          <w:color w:val="auto"/>
          <w:sz w:val="22"/>
          <w:szCs w:val="22"/>
        </w:rPr>
        <w:t xml:space="preserve"> </w:t>
      </w:r>
    </w:p>
    <w:p w14:paraId="17373F1A" w14:textId="77777777" w:rsidR="00DF7A06" w:rsidRDefault="00DF7A06" w:rsidP="00DF7A06">
      <w:pPr>
        <w:pStyle w:val="ListParagraph"/>
        <w:numPr>
          <w:ilvl w:val="0"/>
          <w:numId w:val="44"/>
        </w:numPr>
        <w:suppressAutoHyphens/>
        <w:autoSpaceDN w:val="0"/>
        <w:spacing w:before="0" w:after="0"/>
        <w:rPr>
          <w:rStyle w:val="eop"/>
          <w:color w:val="auto"/>
          <w:sz w:val="22"/>
          <w:shd w:val="clear" w:color="auto" w:fill="FFFFFF"/>
        </w:rPr>
      </w:pPr>
      <w:r>
        <w:rPr>
          <w:rStyle w:val="eop"/>
          <w:color w:val="auto"/>
          <w:sz w:val="22"/>
          <w:shd w:val="clear" w:color="auto" w:fill="FFFFFF"/>
        </w:rPr>
        <w:t>Prepare and present a comprehensive survey analysis report to inform WFD’s programme; and</w:t>
      </w:r>
    </w:p>
    <w:p w14:paraId="3D7C770D" w14:textId="77777777" w:rsidR="00DF7A06" w:rsidRPr="00596C75" w:rsidRDefault="00DF7A06" w:rsidP="00DF7A06">
      <w:pPr>
        <w:pStyle w:val="ListParagraph"/>
        <w:numPr>
          <w:ilvl w:val="0"/>
          <w:numId w:val="44"/>
        </w:numPr>
        <w:suppressAutoHyphens/>
        <w:autoSpaceDN w:val="0"/>
        <w:spacing w:before="0" w:after="0"/>
        <w:rPr>
          <w:rStyle w:val="eop"/>
          <w:color w:val="auto"/>
          <w:sz w:val="22"/>
          <w:shd w:val="clear" w:color="auto" w:fill="FFFFFF"/>
        </w:rPr>
      </w:pPr>
      <w:r>
        <w:rPr>
          <w:rStyle w:val="eop"/>
          <w:color w:val="auto"/>
          <w:sz w:val="22"/>
          <w:shd w:val="clear" w:color="auto" w:fill="FFFFFF"/>
        </w:rPr>
        <w:t>Develop a more simplified briefing report that WFD can use to communicate the survey results to programme stakeholders and other partners.</w:t>
      </w:r>
    </w:p>
    <w:p w14:paraId="52483287" w14:textId="77777777" w:rsidR="009F2604" w:rsidRPr="000566A4" w:rsidRDefault="009F2604" w:rsidP="009447D7">
      <w:pPr>
        <w:spacing w:after="20" w:line="276" w:lineRule="auto"/>
        <w:jc w:val="both"/>
        <w:rPr>
          <w:i/>
          <w:iCs/>
          <w:sz w:val="22"/>
          <w:szCs w:val="22"/>
          <w:highlight w:val="yellow"/>
        </w:rPr>
      </w:pPr>
    </w:p>
    <w:p w14:paraId="1264D3C2" w14:textId="6B0C4720" w:rsidR="006C5D47" w:rsidRPr="00A7331D" w:rsidRDefault="0034125B" w:rsidP="007C4BF7">
      <w:pPr>
        <w:pStyle w:val="Heading2"/>
        <w:rPr>
          <w:sz w:val="32"/>
          <w:szCs w:val="32"/>
        </w:rPr>
      </w:pPr>
      <w:r w:rsidRPr="00A7331D">
        <w:rPr>
          <w:sz w:val="32"/>
          <w:szCs w:val="32"/>
        </w:rPr>
        <w:t>Timeline</w:t>
      </w:r>
    </w:p>
    <w:tbl>
      <w:tblPr>
        <w:tblStyle w:val="TableGrid"/>
        <w:tblW w:w="0" w:type="auto"/>
        <w:tblLook w:val="04A0" w:firstRow="1" w:lastRow="0" w:firstColumn="1" w:lastColumn="0" w:noHBand="0" w:noVBand="1"/>
      </w:tblPr>
      <w:tblGrid>
        <w:gridCol w:w="6374"/>
        <w:gridCol w:w="2552"/>
      </w:tblGrid>
      <w:tr w:rsidR="004C647E" w:rsidRPr="00E52FB3" w14:paraId="07AEBF85" w14:textId="77777777" w:rsidTr="64245F71">
        <w:tc>
          <w:tcPr>
            <w:tcW w:w="6374" w:type="dxa"/>
          </w:tcPr>
          <w:p w14:paraId="6E4A84F5" w14:textId="47516A9D" w:rsidR="004C647E" w:rsidRPr="00E52FB3" w:rsidRDefault="004C647E" w:rsidP="004C647E">
            <w:pPr>
              <w:pStyle w:val="NormalWeb"/>
              <w:rPr>
                <w:rFonts w:ascii="Arial" w:hAnsi="Arial" w:cs="Arial"/>
                <w:b/>
                <w:bCs/>
                <w:color w:val="000000"/>
                <w:sz w:val="22"/>
                <w:szCs w:val="22"/>
              </w:rPr>
            </w:pPr>
            <w:r w:rsidRPr="00E52FB3">
              <w:rPr>
                <w:rFonts w:ascii="Arial" w:hAnsi="Arial" w:cs="Arial"/>
                <w:b/>
                <w:bCs/>
                <w:color w:val="000000"/>
                <w:sz w:val="22"/>
                <w:szCs w:val="22"/>
              </w:rPr>
              <w:t>Deliverables</w:t>
            </w:r>
            <w:r w:rsidR="004C4B67" w:rsidRPr="00E52FB3">
              <w:rPr>
                <w:rFonts w:ascii="Arial" w:hAnsi="Arial" w:cs="Arial"/>
                <w:b/>
                <w:bCs/>
                <w:color w:val="000000"/>
                <w:sz w:val="22"/>
                <w:szCs w:val="22"/>
              </w:rPr>
              <w:t xml:space="preserve"> as outlined in the Scope of Work</w:t>
            </w:r>
          </w:p>
        </w:tc>
        <w:tc>
          <w:tcPr>
            <w:tcW w:w="2552" w:type="dxa"/>
          </w:tcPr>
          <w:p w14:paraId="72DF9D9F" w14:textId="0DA9140C" w:rsidR="004C647E" w:rsidRPr="00E52FB3" w:rsidRDefault="004C647E" w:rsidP="007C4BF7">
            <w:pPr>
              <w:pStyle w:val="NormalWeb"/>
              <w:jc w:val="center"/>
              <w:rPr>
                <w:rFonts w:ascii="Arial" w:hAnsi="Arial" w:cs="Arial"/>
                <w:b/>
                <w:bCs/>
                <w:color w:val="000000"/>
                <w:sz w:val="22"/>
                <w:szCs w:val="22"/>
              </w:rPr>
            </w:pPr>
            <w:r w:rsidRPr="00E52FB3">
              <w:rPr>
                <w:rFonts w:ascii="Arial" w:hAnsi="Arial" w:cs="Arial"/>
                <w:b/>
                <w:bCs/>
                <w:color w:val="000000"/>
                <w:sz w:val="22"/>
                <w:szCs w:val="22"/>
              </w:rPr>
              <w:t>Date</w:t>
            </w:r>
          </w:p>
        </w:tc>
      </w:tr>
      <w:tr w:rsidR="004C647E" w:rsidRPr="00E52FB3" w14:paraId="319DA7B0" w14:textId="77777777" w:rsidTr="64245F71">
        <w:tc>
          <w:tcPr>
            <w:tcW w:w="6374" w:type="dxa"/>
          </w:tcPr>
          <w:p w14:paraId="39140144" w14:textId="556A839B" w:rsidR="004C647E" w:rsidRPr="00E52FB3" w:rsidRDefault="004C647E" w:rsidP="00FB5E9F">
            <w:pPr>
              <w:pStyle w:val="NormalWeb"/>
              <w:rPr>
                <w:rFonts w:ascii="Arial" w:hAnsi="Arial" w:cs="Arial"/>
                <w:color w:val="000000"/>
                <w:sz w:val="22"/>
                <w:szCs w:val="22"/>
              </w:rPr>
            </w:pPr>
            <w:r w:rsidRPr="00E52FB3">
              <w:rPr>
                <w:rFonts w:ascii="Arial" w:hAnsi="Arial" w:cs="Arial"/>
                <w:color w:val="000000"/>
                <w:sz w:val="22"/>
                <w:szCs w:val="22"/>
              </w:rPr>
              <w:t>Contract Signing</w:t>
            </w:r>
          </w:p>
        </w:tc>
        <w:tc>
          <w:tcPr>
            <w:tcW w:w="2552" w:type="dxa"/>
          </w:tcPr>
          <w:p w14:paraId="33E6A03A" w14:textId="4920654C" w:rsidR="004C647E" w:rsidRPr="00E52FB3" w:rsidRDefault="004C647E" w:rsidP="00FB5E9F">
            <w:pPr>
              <w:pStyle w:val="NormalWeb"/>
              <w:rPr>
                <w:rFonts w:ascii="Arial" w:hAnsi="Arial" w:cs="Arial"/>
                <w:color w:val="000000"/>
                <w:sz w:val="22"/>
                <w:szCs w:val="22"/>
              </w:rPr>
            </w:pPr>
            <w:r w:rsidRPr="00E52FB3">
              <w:rPr>
                <w:rFonts w:ascii="Arial" w:hAnsi="Arial" w:cs="Arial"/>
                <w:color w:val="000000"/>
                <w:sz w:val="22"/>
                <w:szCs w:val="22"/>
              </w:rPr>
              <w:t>July 30</w:t>
            </w:r>
            <w:r w:rsidRPr="00E52FB3">
              <w:rPr>
                <w:rFonts w:ascii="Arial" w:hAnsi="Arial" w:cs="Arial"/>
                <w:color w:val="000000"/>
                <w:sz w:val="22"/>
                <w:szCs w:val="22"/>
                <w:vertAlign w:val="superscript"/>
              </w:rPr>
              <w:t>th</w:t>
            </w:r>
            <w:r w:rsidRPr="00E52FB3">
              <w:rPr>
                <w:rFonts w:ascii="Arial" w:hAnsi="Arial" w:cs="Arial"/>
                <w:color w:val="000000"/>
                <w:sz w:val="22"/>
                <w:szCs w:val="22"/>
              </w:rPr>
              <w:t xml:space="preserve"> 2024</w:t>
            </w:r>
          </w:p>
        </w:tc>
      </w:tr>
      <w:tr w:rsidR="004C647E" w:rsidRPr="00E52FB3" w14:paraId="3FC643A9" w14:textId="77777777" w:rsidTr="64245F71">
        <w:trPr>
          <w:trHeight w:val="1012"/>
        </w:trPr>
        <w:tc>
          <w:tcPr>
            <w:tcW w:w="6374" w:type="dxa"/>
          </w:tcPr>
          <w:p w14:paraId="73D4CF23" w14:textId="726BEEC7" w:rsidR="004C647E" w:rsidRPr="00E52FB3" w:rsidRDefault="00C711E0" w:rsidP="00C711E0">
            <w:pPr>
              <w:suppressAutoHyphens/>
              <w:autoSpaceDN w:val="0"/>
              <w:spacing w:before="0" w:after="0"/>
              <w:rPr>
                <w:color w:val="auto"/>
                <w:sz w:val="22"/>
                <w:szCs w:val="22"/>
                <w:shd w:val="clear" w:color="auto" w:fill="FFFFFF"/>
              </w:rPr>
            </w:pPr>
            <w:r w:rsidRPr="00E52FB3">
              <w:rPr>
                <w:rStyle w:val="eop"/>
                <w:color w:val="auto"/>
                <w:sz w:val="22"/>
                <w:szCs w:val="22"/>
                <w:shd w:val="clear" w:color="auto" w:fill="FFFFFF"/>
              </w:rPr>
              <w:t>Design and develop a research survey to assess the</w:t>
            </w:r>
            <w:r w:rsidRPr="00E52FB3">
              <w:rPr>
                <w:rStyle w:val="eop"/>
                <w:color w:val="auto"/>
                <w:sz w:val="22"/>
                <w:szCs w:val="22"/>
              </w:rPr>
              <w:t xml:space="preserve"> perception</w:t>
            </w:r>
            <w:r w:rsidRPr="00E52FB3">
              <w:rPr>
                <w:rStyle w:val="eop"/>
                <w:color w:val="auto"/>
                <w:sz w:val="22"/>
                <w:szCs w:val="22"/>
                <w:shd w:val="clear" w:color="auto" w:fill="FFFFFF"/>
              </w:rPr>
              <w:t xml:space="preserve"> of citizens around the </w:t>
            </w:r>
            <w:r w:rsidRPr="00E52FB3">
              <w:rPr>
                <w:rStyle w:val="eop"/>
                <w:color w:val="auto"/>
                <w:sz w:val="22"/>
                <w:szCs w:val="22"/>
              </w:rPr>
              <w:t xml:space="preserve">2025 parliamentary elections </w:t>
            </w:r>
            <w:r w:rsidRPr="00E52FB3">
              <w:rPr>
                <w:rStyle w:val="eop"/>
                <w:color w:val="auto"/>
                <w:sz w:val="22"/>
                <w:szCs w:val="22"/>
                <w:shd w:val="clear" w:color="auto" w:fill="FFFFFF"/>
              </w:rPr>
              <w:t>in the BARMM, with support from WFD’s Head of Practice for Elections and the local team in the Bangsamoro.</w:t>
            </w:r>
          </w:p>
        </w:tc>
        <w:tc>
          <w:tcPr>
            <w:tcW w:w="2552" w:type="dxa"/>
          </w:tcPr>
          <w:p w14:paraId="25AED8F7" w14:textId="2F6E63F5" w:rsidR="004C647E" w:rsidRPr="00E52FB3" w:rsidRDefault="55DA4A74">
            <w:pPr>
              <w:pStyle w:val="NormalWeb"/>
              <w:rPr>
                <w:rFonts w:ascii="Arial" w:hAnsi="Arial" w:cs="Arial"/>
                <w:color w:val="000000" w:themeColor="text1"/>
                <w:sz w:val="22"/>
                <w:szCs w:val="22"/>
              </w:rPr>
            </w:pPr>
            <w:r w:rsidRPr="64245F71">
              <w:rPr>
                <w:rFonts w:ascii="Arial" w:hAnsi="Arial" w:cs="Arial"/>
                <w:color w:val="000000" w:themeColor="text1"/>
                <w:sz w:val="22"/>
                <w:szCs w:val="22"/>
              </w:rPr>
              <w:t>by 2</w:t>
            </w:r>
            <w:r w:rsidRPr="64245F71">
              <w:rPr>
                <w:rFonts w:ascii="Arial" w:hAnsi="Arial" w:cs="Arial"/>
                <w:color w:val="000000" w:themeColor="text1"/>
                <w:sz w:val="22"/>
                <w:szCs w:val="22"/>
                <w:vertAlign w:val="superscript"/>
              </w:rPr>
              <w:t>nd</w:t>
            </w:r>
            <w:r w:rsidRPr="64245F71">
              <w:rPr>
                <w:rFonts w:ascii="Arial" w:hAnsi="Arial" w:cs="Arial"/>
                <w:color w:val="000000" w:themeColor="text1"/>
                <w:sz w:val="22"/>
                <w:szCs w:val="22"/>
              </w:rPr>
              <w:t xml:space="preserve"> August 2024</w:t>
            </w:r>
          </w:p>
        </w:tc>
      </w:tr>
      <w:tr w:rsidR="004C647E" w:rsidRPr="00E52FB3" w14:paraId="23791F2D" w14:textId="77777777" w:rsidTr="64245F71">
        <w:tc>
          <w:tcPr>
            <w:tcW w:w="6374" w:type="dxa"/>
          </w:tcPr>
          <w:p w14:paraId="0522812C" w14:textId="7758A7E0" w:rsidR="004C647E" w:rsidRPr="00E52FB3" w:rsidRDefault="00DA7CC7" w:rsidP="00FB5E9F">
            <w:pPr>
              <w:pStyle w:val="NormalWeb"/>
              <w:rPr>
                <w:rFonts w:ascii="Arial" w:hAnsi="Arial" w:cs="Arial"/>
                <w:color w:val="000000"/>
                <w:sz w:val="22"/>
                <w:szCs w:val="22"/>
              </w:rPr>
            </w:pPr>
            <w:r w:rsidRPr="00E52FB3">
              <w:rPr>
                <w:rFonts w:ascii="Arial" w:hAnsi="Arial" w:cs="Arial"/>
                <w:color w:val="000000"/>
                <w:sz w:val="22"/>
                <w:szCs w:val="22"/>
              </w:rPr>
              <w:t>Undertake data collection using a representative</w:t>
            </w:r>
            <w:r w:rsidR="0080631F" w:rsidRPr="00E52FB3">
              <w:rPr>
                <w:rFonts w:ascii="Arial" w:hAnsi="Arial" w:cs="Arial"/>
                <w:color w:val="000000"/>
                <w:sz w:val="22"/>
                <w:szCs w:val="22"/>
              </w:rPr>
              <w:t xml:space="preserve"> sample size</w:t>
            </w:r>
          </w:p>
        </w:tc>
        <w:tc>
          <w:tcPr>
            <w:tcW w:w="2552" w:type="dxa"/>
          </w:tcPr>
          <w:p w14:paraId="114BC960" w14:textId="6A7E5B63" w:rsidR="004C647E" w:rsidRPr="00E52FB3" w:rsidRDefault="3FC820F7">
            <w:pPr>
              <w:pStyle w:val="NormalWeb"/>
              <w:rPr>
                <w:rFonts w:ascii="Arial" w:hAnsi="Arial" w:cs="Arial"/>
                <w:color w:val="000000" w:themeColor="text1"/>
                <w:sz w:val="22"/>
                <w:szCs w:val="22"/>
              </w:rPr>
            </w:pPr>
            <w:r w:rsidRPr="64245F71">
              <w:rPr>
                <w:rFonts w:ascii="Arial" w:hAnsi="Arial" w:cs="Arial"/>
                <w:color w:val="000000" w:themeColor="text1"/>
                <w:sz w:val="22"/>
                <w:szCs w:val="22"/>
              </w:rPr>
              <w:t>Between 5</w:t>
            </w:r>
            <w:r w:rsidRPr="64245F71">
              <w:rPr>
                <w:rFonts w:ascii="Arial" w:hAnsi="Arial" w:cs="Arial"/>
                <w:color w:val="000000" w:themeColor="text1"/>
                <w:sz w:val="22"/>
                <w:szCs w:val="22"/>
                <w:vertAlign w:val="superscript"/>
              </w:rPr>
              <w:t xml:space="preserve">th – </w:t>
            </w:r>
            <w:r w:rsidRPr="64245F71">
              <w:rPr>
                <w:rFonts w:ascii="Arial" w:hAnsi="Arial" w:cs="Arial"/>
                <w:color w:val="000000" w:themeColor="text1"/>
                <w:sz w:val="22"/>
                <w:szCs w:val="22"/>
              </w:rPr>
              <w:t>30</w:t>
            </w:r>
            <w:r w:rsidRPr="64245F71">
              <w:rPr>
                <w:rFonts w:ascii="Arial" w:hAnsi="Arial" w:cs="Arial"/>
                <w:color w:val="000000" w:themeColor="text1"/>
                <w:sz w:val="22"/>
                <w:szCs w:val="22"/>
                <w:vertAlign w:val="superscript"/>
              </w:rPr>
              <w:t>th</w:t>
            </w:r>
            <w:r w:rsidRPr="64245F71">
              <w:rPr>
                <w:rFonts w:ascii="Arial" w:hAnsi="Arial" w:cs="Arial"/>
                <w:color w:val="000000" w:themeColor="text1"/>
                <w:sz w:val="22"/>
                <w:szCs w:val="22"/>
              </w:rPr>
              <w:t xml:space="preserve"> August</w:t>
            </w:r>
          </w:p>
        </w:tc>
      </w:tr>
      <w:tr w:rsidR="004C647E" w:rsidRPr="00E52FB3" w14:paraId="53A58310" w14:textId="77777777" w:rsidTr="64245F71">
        <w:tc>
          <w:tcPr>
            <w:tcW w:w="6374" w:type="dxa"/>
          </w:tcPr>
          <w:p w14:paraId="729C07AC" w14:textId="5FFDB521" w:rsidR="004C647E" w:rsidRPr="00E52FB3" w:rsidRDefault="6AB897DA" w:rsidP="00FB5E9F">
            <w:pPr>
              <w:pStyle w:val="NormalWeb"/>
              <w:rPr>
                <w:rFonts w:ascii="Arial" w:hAnsi="Arial" w:cs="Arial"/>
                <w:color w:val="000000"/>
                <w:sz w:val="22"/>
                <w:szCs w:val="22"/>
              </w:rPr>
            </w:pPr>
            <w:r w:rsidRPr="64245F71">
              <w:rPr>
                <w:rFonts w:ascii="Arial" w:hAnsi="Arial" w:cs="Arial"/>
                <w:color w:val="000000" w:themeColor="text1"/>
                <w:sz w:val="22"/>
                <w:szCs w:val="22"/>
              </w:rPr>
              <w:lastRenderedPageBreak/>
              <w:t xml:space="preserve">Provide </w:t>
            </w:r>
            <w:r w:rsidRPr="64245F71">
              <w:rPr>
                <w:rStyle w:val="eop"/>
                <w:rFonts w:ascii="Arial" w:hAnsi="Arial" w:cs="Arial"/>
                <w:sz w:val="22"/>
                <w:szCs w:val="22"/>
              </w:rPr>
              <w:t>solid data-based analysis around the electoral process</w:t>
            </w:r>
          </w:p>
        </w:tc>
        <w:tc>
          <w:tcPr>
            <w:tcW w:w="2552" w:type="dxa"/>
          </w:tcPr>
          <w:p w14:paraId="1C17AF1C" w14:textId="7A87852F" w:rsidR="004C647E" w:rsidRPr="00E52FB3" w:rsidRDefault="1627A042">
            <w:pPr>
              <w:pStyle w:val="NormalWeb"/>
              <w:rPr>
                <w:rFonts w:ascii="Arial" w:hAnsi="Arial" w:cs="Arial"/>
                <w:color w:val="000000" w:themeColor="text1"/>
                <w:sz w:val="22"/>
                <w:szCs w:val="22"/>
              </w:rPr>
            </w:pPr>
            <w:r w:rsidRPr="64245F71">
              <w:rPr>
                <w:rFonts w:ascii="Arial" w:hAnsi="Arial" w:cs="Arial"/>
                <w:color w:val="000000" w:themeColor="text1"/>
                <w:sz w:val="22"/>
                <w:szCs w:val="22"/>
              </w:rPr>
              <w:t>Week commencing 2 September</w:t>
            </w:r>
          </w:p>
        </w:tc>
      </w:tr>
      <w:tr w:rsidR="00E52FB3" w:rsidRPr="00E52FB3" w14:paraId="0F7D39CE" w14:textId="77777777" w:rsidTr="64245F71">
        <w:tc>
          <w:tcPr>
            <w:tcW w:w="6374" w:type="dxa"/>
          </w:tcPr>
          <w:p w14:paraId="2C3E9004" w14:textId="41E991E9" w:rsidR="00E52FB3" w:rsidRPr="00E52FB3" w:rsidRDefault="00E52FB3" w:rsidP="00FB5E9F">
            <w:pPr>
              <w:pStyle w:val="NormalWeb"/>
              <w:rPr>
                <w:rFonts w:ascii="Arial" w:hAnsi="Arial" w:cs="Arial"/>
                <w:color w:val="000000"/>
                <w:sz w:val="22"/>
                <w:szCs w:val="22"/>
              </w:rPr>
            </w:pPr>
            <w:r w:rsidRPr="00E52FB3">
              <w:rPr>
                <w:rFonts w:ascii="Arial" w:hAnsi="Arial" w:cs="Arial"/>
                <w:color w:val="000000"/>
                <w:sz w:val="22"/>
                <w:szCs w:val="22"/>
              </w:rPr>
              <w:t>Presentation of a comprehensive survey analysis report to WFD</w:t>
            </w:r>
          </w:p>
        </w:tc>
        <w:tc>
          <w:tcPr>
            <w:tcW w:w="2552" w:type="dxa"/>
            <w:vMerge w:val="restart"/>
          </w:tcPr>
          <w:p w14:paraId="465A4105" w14:textId="3C0D4D5E" w:rsidR="00E52FB3" w:rsidRPr="00E52FB3" w:rsidRDefault="59BCDFC4">
            <w:pPr>
              <w:pStyle w:val="NormalWeb"/>
              <w:rPr>
                <w:rFonts w:ascii="Arial" w:hAnsi="Arial" w:cs="Arial"/>
                <w:color w:val="000000" w:themeColor="text1"/>
                <w:sz w:val="22"/>
                <w:szCs w:val="22"/>
              </w:rPr>
            </w:pPr>
            <w:r w:rsidRPr="64245F71">
              <w:rPr>
                <w:rFonts w:ascii="Arial" w:hAnsi="Arial" w:cs="Arial"/>
                <w:color w:val="000000" w:themeColor="text1"/>
                <w:sz w:val="22"/>
                <w:szCs w:val="22"/>
              </w:rPr>
              <w:t>Week commencing 9 September</w:t>
            </w:r>
          </w:p>
        </w:tc>
      </w:tr>
      <w:tr w:rsidR="00E52FB3" w:rsidRPr="00E52FB3" w14:paraId="7A2179D4" w14:textId="77777777" w:rsidTr="64245F71">
        <w:tc>
          <w:tcPr>
            <w:tcW w:w="6374" w:type="dxa"/>
          </w:tcPr>
          <w:p w14:paraId="7A692D0D" w14:textId="71EEA4FB" w:rsidR="00E52FB3" w:rsidRPr="00E52FB3" w:rsidRDefault="00E52FB3" w:rsidP="00FB5E9F">
            <w:pPr>
              <w:pStyle w:val="NormalWeb"/>
              <w:rPr>
                <w:rFonts w:ascii="Arial" w:hAnsi="Arial" w:cs="Arial"/>
                <w:color w:val="000000"/>
                <w:sz w:val="22"/>
                <w:szCs w:val="22"/>
              </w:rPr>
            </w:pPr>
            <w:r w:rsidRPr="00E52FB3">
              <w:rPr>
                <w:rFonts w:ascii="Arial" w:hAnsi="Arial" w:cs="Arial"/>
                <w:color w:val="000000"/>
                <w:sz w:val="22"/>
                <w:szCs w:val="22"/>
              </w:rPr>
              <w:t xml:space="preserve">Submission of a simplified briefing report that WFD </w:t>
            </w:r>
            <w:r w:rsidRPr="00E52FB3">
              <w:rPr>
                <w:rStyle w:val="eop"/>
                <w:rFonts w:ascii="Arial" w:hAnsi="Arial" w:cs="Arial"/>
                <w:sz w:val="22"/>
                <w:szCs w:val="22"/>
                <w:shd w:val="clear" w:color="auto" w:fill="FFFFFF"/>
              </w:rPr>
              <w:t xml:space="preserve">can use to communicate the survey results to </w:t>
            </w:r>
            <w:proofErr w:type="spellStart"/>
            <w:r w:rsidRPr="00E52FB3">
              <w:rPr>
                <w:rStyle w:val="eop"/>
                <w:rFonts w:ascii="Arial" w:hAnsi="Arial" w:cs="Arial"/>
                <w:sz w:val="22"/>
                <w:szCs w:val="22"/>
                <w:shd w:val="clear" w:color="auto" w:fill="FFFFFF"/>
              </w:rPr>
              <w:t>programme</w:t>
            </w:r>
            <w:proofErr w:type="spellEnd"/>
            <w:r w:rsidRPr="00E52FB3">
              <w:rPr>
                <w:rStyle w:val="eop"/>
                <w:rFonts w:ascii="Arial" w:hAnsi="Arial" w:cs="Arial"/>
                <w:sz w:val="22"/>
                <w:szCs w:val="22"/>
                <w:shd w:val="clear" w:color="auto" w:fill="FFFFFF"/>
              </w:rPr>
              <w:t xml:space="preserve"> stakeholders and other partners.</w:t>
            </w:r>
          </w:p>
        </w:tc>
        <w:tc>
          <w:tcPr>
            <w:tcW w:w="2552" w:type="dxa"/>
            <w:vMerge/>
          </w:tcPr>
          <w:p w14:paraId="2FF2367F" w14:textId="77777777" w:rsidR="00E52FB3" w:rsidRPr="00E52FB3" w:rsidRDefault="00E52FB3" w:rsidP="00FB5E9F">
            <w:pPr>
              <w:pStyle w:val="NormalWeb"/>
              <w:rPr>
                <w:rFonts w:ascii="Arial" w:hAnsi="Arial" w:cs="Arial"/>
                <w:color w:val="000000"/>
                <w:sz w:val="22"/>
                <w:szCs w:val="22"/>
              </w:rPr>
            </w:pPr>
          </w:p>
        </w:tc>
      </w:tr>
    </w:tbl>
    <w:p w14:paraId="3AAAE0F3" w14:textId="77777777" w:rsidR="00FB5E9F" w:rsidRPr="00E52FB3" w:rsidRDefault="00FB5E9F" w:rsidP="006C5D47">
      <w:pPr>
        <w:spacing w:after="20" w:line="276" w:lineRule="auto"/>
        <w:jc w:val="both"/>
        <w:rPr>
          <w:sz w:val="22"/>
          <w:szCs w:val="22"/>
        </w:rPr>
      </w:pPr>
    </w:p>
    <w:p w14:paraId="5E1ADCC8" w14:textId="4E034A10" w:rsidR="00EA5489" w:rsidRPr="00944B8E" w:rsidRDefault="00EA5489" w:rsidP="00EA5489">
      <w:pPr>
        <w:pStyle w:val="Heading2"/>
      </w:pPr>
      <w:r>
        <w:t>Reporting</w:t>
      </w:r>
    </w:p>
    <w:p w14:paraId="4D84739B" w14:textId="6E492C9D" w:rsidR="008C3E80" w:rsidRPr="0016463C" w:rsidRDefault="008C3E80" w:rsidP="00EA5489">
      <w:pPr>
        <w:spacing w:after="20" w:line="276" w:lineRule="auto"/>
        <w:jc w:val="both"/>
        <w:rPr>
          <w:sz w:val="22"/>
          <w:szCs w:val="22"/>
        </w:rPr>
      </w:pPr>
      <w:r>
        <w:rPr>
          <w:sz w:val="22"/>
          <w:szCs w:val="22"/>
        </w:rPr>
        <w:t xml:space="preserve">Reporting arrangements </w:t>
      </w:r>
      <w:r w:rsidR="009B7863">
        <w:rPr>
          <w:sz w:val="22"/>
          <w:szCs w:val="22"/>
        </w:rPr>
        <w:t>and regular check-ins will be agreed</w:t>
      </w:r>
      <w:r w:rsidR="008D33FA">
        <w:rPr>
          <w:sz w:val="22"/>
          <w:szCs w:val="22"/>
        </w:rPr>
        <w:t>, at least every other week with the WFD Head of Practice</w:t>
      </w:r>
      <w:r w:rsidR="00CC50F1">
        <w:rPr>
          <w:sz w:val="22"/>
          <w:szCs w:val="22"/>
        </w:rPr>
        <w:t xml:space="preserve"> for Elections based in London and the Bangsamoro local team</w:t>
      </w:r>
    </w:p>
    <w:p w14:paraId="233BDAFA" w14:textId="350364E3" w:rsidR="0016463C" w:rsidRPr="00944B8E" w:rsidRDefault="0016463C" w:rsidP="0016463C">
      <w:pPr>
        <w:pStyle w:val="Heading2"/>
      </w:pPr>
      <w:r>
        <w:t>Working arrangements</w:t>
      </w:r>
    </w:p>
    <w:p w14:paraId="5AB14AED" w14:textId="2D9BD53C" w:rsidR="00466084" w:rsidRPr="0016463C" w:rsidRDefault="00105E9F" w:rsidP="0016463C">
      <w:pPr>
        <w:spacing w:after="20" w:line="276" w:lineRule="auto"/>
        <w:jc w:val="both"/>
        <w:rPr>
          <w:sz w:val="22"/>
          <w:szCs w:val="22"/>
        </w:rPr>
      </w:pPr>
      <w:r w:rsidRPr="64245F71">
        <w:rPr>
          <w:sz w:val="22"/>
          <w:szCs w:val="22"/>
        </w:rPr>
        <w:t>It is expected that the assignment will be delivered</w:t>
      </w:r>
      <w:r w:rsidR="782639D5" w:rsidRPr="64245F71">
        <w:rPr>
          <w:sz w:val="22"/>
          <w:szCs w:val="22"/>
        </w:rPr>
        <w:t xml:space="preserve"> </w:t>
      </w:r>
      <w:r w:rsidR="009F61A1" w:rsidRPr="64245F71">
        <w:rPr>
          <w:sz w:val="22"/>
          <w:szCs w:val="22"/>
        </w:rPr>
        <w:t>combined remotely</w:t>
      </w:r>
      <w:r w:rsidRPr="64245F71">
        <w:rPr>
          <w:sz w:val="22"/>
          <w:szCs w:val="22"/>
        </w:rPr>
        <w:t xml:space="preserve"> on the </w:t>
      </w:r>
      <w:r w:rsidR="0056307C" w:rsidRPr="64245F71">
        <w:rPr>
          <w:sz w:val="22"/>
          <w:szCs w:val="22"/>
        </w:rPr>
        <w:t>consultancy</w:t>
      </w:r>
      <w:r w:rsidRPr="64245F71">
        <w:rPr>
          <w:sz w:val="22"/>
          <w:szCs w:val="22"/>
        </w:rPr>
        <w:t xml:space="preserve"> premises</w:t>
      </w:r>
      <w:r w:rsidR="289204C2" w:rsidRPr="64245F71">
        <w:rPr>
          <w:sz w:val="22"/>
          <w:szCs w:val="22"/>
        </w:rPr>
        <w:t xml:space="preserve"> and fieldwork.</w:t>
      </w:r>
      <w:r w:rsidR="0056307C" w:rsidRPr="64245F71">
        <w:rPr>
          <w:sz w:val="22"/>
          <w:szCs w:val="22"/>
        </w:rPr>
        <w:t xml:space="preserve"> </w:t>
      </w:r>
      <w:r w:rsidR="000F6553" w:rsidRPr="64245F71">
        <w:rPr>
          <w:sz w:val="22"/>
          <w:szCs w:val="22"/>
        </w:rPr>
        <w:t xml:space="preserve">Incidental expenses on fieldwork and </w:t>
      </w:r>
      <w:r w:rsidR="00D643DD" w:rsidRPr="64245F71">
        <w:rPr>
          <w:sz w:val="22"/>
          <w:szCs w:val="22"/>
        </w:rPr>
        <w:t xml:space="preserve">related travel will be included in the cost </w:t>
      </w:r>
      <w:r w:rsidR="00055568" w:rsidRPr="64245F71">
        <w:rPr>
          <w:sz w:val="22"/>
          <w:szCs w:val="22"/>
        </w:rPr>
        <w:t xml:space="preserve">within </w:t>
      </w:r>
      <w:r w:rsidR="004B7D4F" w:rsidRPr="64245F71">
        <w:rPr>
          <w:sz w:val="22"/>
          <w:szCs w:val="22"/>
        </w:rPr>
        <w:t xml:space="preserve">a reasonable travel and </w:t>
      </w:r>
      <w:r w:rsidR="007B627E" w:rsidRPr="64245F71">
        <w:rPr>
          <w:sz w:val="22"/>
          <w:szCs w:val="22"/>
        </w:rPr>
        <w:t>subsistence costs.</w:t>
      </w:r>
      <w:r w:rsidR="00055568" w:rsidRPr="64245F71">
        <w:rPr>
          <w:sz w:val="22"/>
          <w:szCs w:val="22"/>
        </w:rPr>
        <w:t xml:space="preserve"> </w:t>
      </w:r>
      <w:r w:rsidRPr="64245F71">
        <w:rPr>
          <w:sz w:val="22"/>
          <w:szCs w:val="22"/>
        </w:rPr>
        <w:t xml:space="preserve"> </w:t>
      </w:r>
    </w:p>
    <w:p w14:paraId="471613D3" w14:textId="6E32476D" w:rsidR="00BE0417" w:rsidRPr="00944B8E" w:rsidRDefault="00BE0417" w:rsidP="00BE0417">
      <w:pPr>
        <w:pStyle w:val="Heading2"/>
      </w:pPr>
      <w:r>
        <w:t>Payments</w:t>
      </w:r>
    </w:p>
    <w:p w14:paraId="5A1806AE" w14:textId="5969ED4B" w:rsidR="007B627E" w:rsidRDefault="007B627E" w:rsidP="00BE0417">
      <w:pPr>
        <w:spacing w:after="20" w:line="276" w:lineRule="auto"/>
        <w:jc w:val="both"/>
        <w:rPr>
          <w:sz w:val="22"/>
          <w:szCs w:val="22"/>
        </w:rPr>
      </w:pPr>
      <w:r>
        <w:rPr>
          <w:sz w:val="22"/>
          <w:szCs w:val="22"/>
        </w:rPr>
        <w:t xml:space="preserve">Payments </w:t>
      </w:r>
      <w:r w:rsidR="00A571C6">
        <w:rPr>
          <w:sz w:val="22"/>
          <w:szCs w:val="22"/>
        </w:rPr>
        <w:t>will be made based on outputs specified:</w:t>
      </w:r>
    </w:p>
    <w:p w14:paraId="23ACF8CA" w14:textId="6A070C58" w:rsidR="00253979" w:rsidRPr="00A571C6" w:rsidRDefault="00253979" w:rsidP="00A571C6">
      <w:pPr>
        <w:pStyle w:val="ListParagraph"/>
        <w:numPr>
          <w:ilvl w:val="0"/>
          <w:numId w:val="47"/>
        </w:numPr>
        <w:spacing w:after="0"/>
        <w:rPr>
          <w:sz w:val="22"/>
        </w:rPr>
      </w:pPr>
      <w:r w:rsidRPr="00A571C6">
        <w:rPr>
          <w:sz w:val="22"/>
        </w:rPr>
        <w:t>20% upon signing of the contract.</w:t>
      </w:r>
    </w:p>
    <w:p w14:paraId="3DD12038" w14:textId="1465BDE1" w:rsidR="00253979" w:rsidRPr="00862A79" w:rsidRDefault="00253979" w:rsidP="00253979">
      <w:pPr>
        <w:pStyle w:val="ListParagraph"/>
        <w:numPr>
          <w:ilvl w:val="0"/>
          <w:numId w:val="47"/>
        </w:numPr>
        <w:spacing w:after="0"/>
        <w:rPr>
          <w:sz w:val="22"/>
        </w:rPr>
      </w:pPr>
      <w:r w:rsidRPr="00862A79">
        <w:rPr>
          <w:sz w:val="22"/>
        </w:rPr>
        <w:t xml:space="preserve">30% upon </w:t>
      </w:r>
      <w:r w:rsidR="00A571C6">
        <w:rPr>
          <w:sz w:val="22"/>
        </w:rPr>
        <w:t>approv</w:t>
      </w:r>
      <w:r w:rsidR="005B1EDB">
        <w:rPr>
          <w:sz w:val="22"/>
        </w:rPr>
        <w:t>al of</w:t>
      </w:r>
      <w:r w:rsidR="00A571C6">
        <w:rPr>
          <w:sz w:val="22"/>
        </w:rPr>
        <w:t xml:space="preserve"> design</w:t>
      </w:r>
      <w:r w:rsidR="005B1EDB">
        <w:rPr>
          <w:sz w:val="22"/>
        </w:rPr>
        <w:t>, workplan and methodology process</w:t>
      </w:r>
      <w:r w:rsidR="00A571C6">
        <w:rPr>
          <w:sz w:val="22"/>
        </w:rPr>
        <w:t xml:space="preserve"> </w:t>
      </w:r>
    </w:p>
    <w:p w14:paraId="65D910C5" w14:textId="20DD73FB" w:rsidR="00253979" w:rsidRPr="005B1EDB" w:rsidRDefault="00253979" w:rsidP="005B1EDB">
      <w:pPr>
        <w:pStyle w:val="ListParagraph"/>
        <w:numPr>
          <w:ilvl w:val="0"/>
          <w:numId w:val="47"/>
        </w:numPr>
        <w:spacing w:after="0"/>
        <w:rPr>
          <w:sz w:val="22"/>
        </w:rPr>
      </w:pPr>
      <w:r w:rsidRPr="00862A79">
        <w:rPr>
          <w:sz w:val="22"/>
        </w:rPr>
        <w:t>50% upon satisfactory completion and submission of all contract deliverables.</w:t>
      </w:r>
    </w:p>
    <w:p w14:paraId="3B6C2F9D" w14:textId="077611F6" w:rsidR="00424BA0" w:rsidRPr="005B1EDB" w:rsidRDefault="006B3EBE" w:rsidP="005B1EDB">
      <w:pPr>
        <w:pStyle w:val="Heading2"/>
        <w:rPr>
          <w:rStyle w:val="eop"/>
        </w:rPr>
      </w:pPr>
      <w:r>
        <w:t>Minimum experience and expertise</w:t>
      </w:r>
    </w:p>
    <w:p w14:paraId="406B7DC4" w14:textId="77777777" w:rsidR="00424BA0" w:rsidRPr="00596C75" w:rsidRDefault="00424BA0" w:rsidP="00424BA0">
      <w:pPr>
        <w:pStyle w:val="ListParagraph"/>
        <w:numPr>
          <w:ilvl w:val="0"/>
          <w:numId w:val="45"/>
        </w:numPr>
        <w:suppressAutoHyphens/>
        <w:autoSpaceDN w:val="0"/>
        <w:spacing w:before="0" w:after="0"/>
        <w:rPr>
          <w:rStyle w:val="eop"/>
          <w:color w:val="auto"/>
          <w:sz w:val="22"/>
        </w:rPr>
      </w:pPr>
      <w:r>
        <w:rPr>
          <w:rStyle w:val="eop"/>
          <w:color w:val="auto"/>
          <w:sz w:val="22"/>
          <w:shd w:val="clear" w:color="auto" w:fill="FFFFFF"/>
        </w:rPr>
        <w:t xml:space="preserve">Demonstrated track record in designing research surveys or polling, especially around the use of quantitative data to inform public </w:t>
      </w:r>
      <w:proofErr w:type="gramStart"/>
      <w:r>
        <w:rPr>
          <w:rStyle w:val="eop"/>
          <w:color w:val="auto"/>
          <w:sz w:val="22"/>
          <w:shd w:val="clear" w:color="auto" w:fill="FFFFFF"/>
        </w:rPr>
        <w:t>policy;</w:t>
      </w:r>
      <w:proofErr w:type="gramEnd"/>
      <w:r w:rsidRPr="00596C75">
        <w:rPr>
          <w:rStyle w:val="eop"/>
          <w:color w:val="auto"/>
          <w:sz w:val="22"/>
          <w:shd w:val="clear" w:color="auto" w:fill="FFFFFF"/>
        </w:rPr>
        <w:t xml:space="preserve"> </w:t>
      </w:r>
    </w:p>
    <w:p w14:paraId="76C498F9" w14:textId="77777777" w:rsidR="00424BA0" w:rsidRPr="00596C75" w:rsidRDefault="00424BA0" w:rsidP="00424BA0">
      <w:pPr>
        <w:pStyle w:val="ListParagraph"/>
        <w:numPr>
          <w:ilvl w:val="0"/>
          <w:numId w:val="45"/>
        </w:numPr>
        <w:suppressAutoHyphens/>
        <w:autoSpaceDN w:val="0"/>
        <w:spacing w:before="0" w:after="0"/>
        <w:rPr>
          <w:rStyle w:val="eop"/>
          <w:color w:val="auto"/>
          <w:sz w:val="22"/>
        </w:rPr>
      </w:pPr>
      <w:r>
        <w:rPr>
          <w:rStyle w:val="eop"/>
          <w:color w:val="auto"/>
          <w:sz w:val="22"/>
          <w:shd w:val="clear" w:color="auto" w:fill="FFFFFF"/>
        </w:rPr>
        <w:t xml:space="preserve">Excellent presentation skills, with an ability to distil quantitative data into an accessible </w:t>
      </w:r>
      <w:proofErr w:type="gramStart"/>
      <w:r>
        <w:rPr>
          <w:rStyle w:val="eop"/>
          <w:color w:val="auto"/>
          <w:sz w:val="22"/>
          <w:shd w:val="clear" w:color="auto" w:fill="FFFFFF"/>
        </w:rPr>
        <w:t>way;</w:t>
      </w:r>
      <w:proofErr w:type="gramEnd"/>
    </w:p>
    <w:p w14:paraId="6F2D8150" w14:textId="77777777" w:rsidR="00424BA0" w:rsidRDefault="00424BA0" w:rsidP="00424BA0">
      <w:pPr>
        <w:pStyle w:val="ListParagraph"/>
        <w:numPr>
          <w:ilvl w:val="0"/>
          <w:numId w:val="45"/>
        </w:numPr>
        <w:suppressAutoHyphens/>
        <w:autoSpaceDN w:val="0"/>
        <w:spacing w:before="0" w:after="0"/>
        <w:rPr>
          <w:color w:val="auto"/>
          <w:sz w:val="22"/>
        </w:rPr>
      </w:pPr>
      <w:r>
        <w:rPr>
          <w:color w:val="auto"/>
          <w:sz w:val="22"/>
        </w:rPr>
        <w:t>Has conducted at least 5 public surveys in the Philippines (previous research experience in the BARMM is desirable); and</w:t>
      </w:r>
    </w:p>
    <w:p w14:paraId="3FC6D9D1" w14:textId="77777777" w:rsidR="00424BA0" w:rsidRPr="00596C75" w:rsidRDefault="00424BA0" w:rsidP="00424BA0">
      <w:pPr>
        <w:pStyle w:val="ListParagraph"/>
        <w:numPr>
          <w:ilvl w:val="0"/>
          <w:numId w:val="45"/>
        </w:numPr>
        <w:suppressAutoHyphens/>
        <w:autoSpaceDN w:val="0"/>
        <w:spacing w:before="0" w:after="0"/>
        <w:rPr>
          <w:color w:val="auto"/>
          <w:sz w:val="22"/>
        </w:rPr>
      </w:pPr>
      <w:r>
        <w:rPr>
          <w:color w:val="auto"/>
          <w:sz w:val="22"/>
        </w:rPr>
        <w:t>Working professional fluency in English and Filipino (working knowledge of any local language widely spoken in the Bangsamoro is desirable).</w:t>
      </w:r>
    </w:p>
    <w:p w14:paraId="29B17F80" w14:textId="77777777" w:rsidR="00424BA0" w:rsidRPr="0016463C" w:rsidRDefault="00424BA0" w:rsidP="006B3EBE">
      <w:pPr>
        <w:spacing w:after="20" w:line="276" w:lineRule="auto"/>
        <w:jc w:val="both"/>
        <w:rPr>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FC7577">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FC7577">
        <w:trPr>
          <w:trHeight w:val="57"/>
        </w:trPr>
        <w:tc>
          <w:tcPr>
            <w:tcW w:w="4786" w:type="dxa"/>
            <w:shd w:val="clear" w:color="auto" w:fill="auto"/>
          </w:tcPr>
          <w:p w14:paraId="7E935E36" w14:textId="5F68A977" w:rsidR="002B061D" w:rsidRPr="002B061D" w:rsidRDefault="002B061D" w:rsidP="002B061D">
            <w:pPr>
              <w:tabs>
                <w:tab w:val="left" w:pos="1320"/>
              </w:tabs>
              <w:rPr>
                <w:sz w:val="22"/>
                <w:szCs w:val="22"/>
              </w:rPr>
            </w:pPr>
            <w:r w:rsidRPr="002B061D">
              <w:rPr>
                <w:sz w:val="22"/>
                <w:szCs w:val="22"/>
              </w:rPr>
              <w:t>Issue ITT</w:t>
            </w:r>
            <w:r w:rsidR="00C404D7">
              <w:rPr>
                <w:sz w:val="22"/>
                <w:szCs w:val="22"/>
              </w:rPr>
              <w:t xml:space="preserve"> </w:t>
            </w:r>
          </w:p>
        </w:tc>
        <w:tc>
          <w:tcPr>
            <w:tcW w:w="1985" w:type="dxa"/>
            <w:shd w:val="clear" w:color="auto" w:fill="auto"/>
          </w:tcPr>
          <w:p w14:paraId="76922E3B" w14:textId="651FC9E9" w:rsidR="002B061D" w:rsidRPr="002B061D" w:rsidRDefault="00FD15F3" w:rsidP="002B061D">
            <w:pPr>
              <w:tabs>
                <w:tab w:val="left" w:pos="1320"/>
              </w:tabs>
              <w:rPr>
                <w:i/>
                <w:sz w:val="22"/>
                <w:szCs w:val="22"/>
              </w:rPr>
            </w:pPr>
            <w:r>
              <w:rPr>
                <w:i/>
                <w:sz w:val="22"/>
                <w:szCs w:val="22"/>
              </w:rPr>
              <w:t>June 2</w:t>
            </w:r>
            <w:r w:rsidR="00801F9D">
              <w:rPr>
                <w:i/>
                <w:sz w:val="22"/>
                <w:szCs w:val="22"/>
              </w:rPr>
              <w:t>7</w:t>
            </w:r>
            <w:r>
              <w:rPr>
                <w:i/>
                <w:sz w:val="22"/>
                <w:szCs w:val="22"/>
              </w:rPr>
              <w:t>,2024</w:t>
            </w:r>
          </w:p>
        </w:tc>
      </w:tr>
      <w:tr w:rsidR="002B061D" w:rsidRPr="002B061D" w14:paraId="26BC027D" w14:textId="77777777" w:rsidTr="00FC7577">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2336BBA0" w:rsidR="002B061D" w:rsidRPr="002B061D" w:rsidRDefault="00E67BA7" w:rsidP="002B061D">
            <w:pPr>
              <w:tabs>
                <w:tab w:val="left" w:pos="1320"/>
              </w:tabs>
              <w:rPr>
                <w:i/>
                <w:sz w:val="22"/>
                <w:szCs w:val="22"/>
              </w:rPr>
            </w:pPr>
            <w:r>
              <w:rPr>
                <w:i/>
                <w:sz w:val="22"/>
                <w:szCs w:val="22"/>
              </w:rPr>
              <w:t>July 10, 2024</w:t>
            </w:r>
          </w:p>
        </w:tc>
      </w:tr>
      <w:tr w:rsidR="002B061D" w:rsidRPr="002B061D" w14:paraId="7507FA93" w14:textId="77777777" w:rsidTr="00FC7577">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710D67B5" w:rsidR="002B061D" w:rsidRPr="002B061D" w:rsidRDefault="009E6A11" w:rsidP="002B061D">
            <w:pPr>
              <w:tabs>
                <w:tab w:val="left" w:pos="1320"/>
              </w:tabs>
              <w:rPr>
                <w:i/>
                <w:sz w:val="22"/>
                <w:szCs w:val="22"/>
              </w:rPr>
            </w:pPr>
            <w:r>
              <w:rPr>
                <w:i/>
                <w:sz w:val="22"/>
                <w:szCs w:val="22"/>
              </w:rPr>
              <w:t>July 11-1</w:t>
            </w:r>
            <w:r w:rsidR="00F71EF4">
              <w:rPr>
                <w:i/>
                <w:sz w:val="22"/>
                <w:szCs w:val="22"/>
              </w:rPr>
              <w:t>5</w:t>
            </w:r>
            <w:r>
              <w:rPr>
                <w:i/>
                <w:sz w:val="22"/>
                <w:szCs w:val="22"/>
              </w:rPr>
              <w:t>, 2024</w:t>
            </w:r>
          </w:p>
        </w:tc>
      </w:tr>
      <w:tr w:rsidR="002B061D" w:rsidRPr="002B061D" w14:paraId="4CE95F9D" w14:textId="77777777" w:rsidTr="00FC7577">
        <w:trPr>
          <w:trHeight w:val="57"/>
        </w:trPr>
        <w:tc>
          <w:tcPr>
            <w:tcW w:w="4786" w:type="dxa"/>
            <w:shd w:val="clear" w:color="auto" w:fill="auto"/>
          </w:tcPr>
          <w:p w14:paraId="4E24DCD3" w14:textId="498782B2" w:rsidR="002B061D" w:rsidRPr="002B061D" w:rsidRDefault="009E6A11" w:rsidP="002B061D">
            <w:pPr>
              <w:tabs>
                <w:tab w:val="left" w:pos="1320"/>
              </w:tabs>
              <w:rPr>
                <w:sz w:val="22"/>
                <w:szCs w:val="22"/>
              </w:rPr>
            </w:pPr>
            <w:r>
              <w:rPr>
                <w:sz w:val="22"/>
                <w:szCs w:val="22"/>
              </w:rPr>
              <w:lastRenderedPageBreak/>
              <w:t>Consultants’</w:t>
            </w:r>
            <w:r w:rsidR="002B061D" w:rsidRPr="002B061D">
              <w:rPr>
                <w:sz w:val="22"/>
                <w:szCs w:val="22"/>
              </w:rPr>
              <w:t xml:space="preserve"> interviews</w:t>
            </w:r>
            <w:r w:rsidR="00F21380" w:rsidRPr="00F21380">
              <w:rPr>
                <w:sz w:val="22"/>
                <w:szCs w:val="22"/>
              </w:rPr>
              <w:t xml:space="preserve"> </w:t>
            </w:r>
          </w:p>
        </w:tc>
        <w:tc>
          <w:tcPr>
            <w:tcW w:w="1985" w:type="dxa"/>
            <w:shd w:val="clear" w:color="auto" w:fill="auto"/>
          </w:tcPr>
          <w:p w14:paraId="77387B91" w14:textId="6EFEE77F" w:rsidR="002B061D" w:rsidRPr="002B061D" w:rsidRDefault="009E6A11" w:rsidP="002B061D">
            <w:pPr>
              <w:tabs>
                <w:tab w:val="left" w:pos="1320"/>
              </w:tabs>
              <w:rPr>
                <w:i/>
                <w:sz w:val="22"/>
                <w:szCs w:val="22"/>
              </w:rPr>
            </w:pPr>
            <w:r>
              <w:rPr>
                <w:i/>
                <w:sz w:val="22"/>
                <w:szCs w:val="22"/>
              </w:rPr>
              <w:t>July 1</w:t>
            </w:r>
            <w:r w:rsidR="000E32FE">
              <w:rPr>
                <w:i/>
                <w:sz w:val="22"/>
                <w:szCs w:val="22"/>
              </w:rPr>
              <w:t>6</w:t>
            </w:r>
            <w:r w:rsidR="00166A10">
              <w:rPr>
                <w:i/>
                <w:sz w:val="22"/>
                <w:szCs w:val="22"/>
              </w:rPr>
              <w:t>-19</w:t>
            </w:r>
            <w:r w:rsidR="00450698">
              <w:rPr>
                <w:i/>
                <w:sz w:val="22"/>
                <w:szCs w:val="22"/>
              </w:rPr>
              <w:t>, 2024</w:t>
            </w:r>
          </w:p>
        </w:tc>
      </w:tr>
      <w:tr w:rsidR="002B061D" w:rsidRPr="002B061D" w14:paraId="1A9CFD00" w14:textId="77777777" w:rsidTr="00FC7577">
        <w:trPr>
          <w:trHeight w:val="57"/>
        </w:trPr>
        <w:tc>
          <w:tcPr>
            <w:tcW w:w="4786" w:type="dxa"/>
            <w:shd w:val="clear" w:color="auto" w:fill="auto"/>
          </w:tcPr>
          <w:p w14:paraId="3005E047" w14:textId="096D4A85" w:rsidR="002B061D" w:rsidRPr="002B061D" w:rsidRDefault="002B061D" w:rsidP="002B061D">
            <w:pPr>
              <w:tabs>
                <w:tab w:val="left" w:pos="1320"/>
              </w:tabs>
              <w:rPr>
                <w:sz w:val="22"/>
                <w:szCs w:val="22"/>
              </w:rPr>
            </w:pPr>
            <w:r w:rsidRPr="002B061D">
              <w:rPr>
                <w:sz w:val="22"/>
                <w:szCs w:val="22"/>
              </w:rPr>
              <w:t xml:space="preserve">WFD announces preferred </w:t>
            </w:r>
            <w:r w:rsidR="0014760A">
              <w:rPr>
                <w:sz w:val="22"/>
                <w:szCs w:val="22"/>
              </w:rPr>
              <w:t>service provider</w:t>
            </w:r>
          </w:p>
        </w:tc>
        <w:tc>
          <w:tcPr>
            <w:tcW w:w="1985" w:type="dxa"/>
            <w:shd w:val="clear" w:color="auto" w:fill="auto"/>
          </w:tcPr>
          <w:p w14:paraId="6C79E041" w14:textId="44D2144D" w:rsidR="002B061D" w:rsidRPr="002B061D" w:rsidRDefault="00F36572" w:rsidP="002B061D">
            <w:pPr>
              <w:tabs>
                <w:tab w:val="left" w:pos="1320"/>
              </w:tabs>
              <w:rPr>
                <w:i/>
                <w:sz w:val="22"/>
                <w:szCs w:val="22"/>
              </w:rPr>
            </w:pPr>
            <w:r>
              <w:rPr>
                <w:i/>
                <w:sz w:val="22"/>
                <w:szCs w:val="22"/>
              </w:rPr>
              <w:t xml:space="preserve">July </w:t>
            </w:r>
            <w:r w:rsidR="00280BC0">
              <w:rPr>
                <w:i/>
                <w:sz w:val="22"/>
                <w:szCs w:val="22"/>
              </w:rPr>
              <w:t>22-24</w:t>
            </w:r>
            <w:r>
              <w:rPr>
                <w:i/>
                <w:sz w:val="22"/>
                <w:szCs w:val="22"/>
              </w:rPr>
              <w:t>, 2024</w:t>
            </w:r>
          </w:p>
        </w:tc>
      </w:tr>
      <w:tr w:rsidR="002B061D" w:rsidRPr="002B061D" w14:paraId="438249C3" w14:textId="77777777" w:rsidTr="00FC7577">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666F76B9" w:rsidR="002B061D" w:rsidRPr="002B061D" w:rsidRDefault="00F36572" w:rsidP="002B061D">
            <w:pPr>
              <w:tabs>
                <w:tab w:val="left" w:pos="1320"/>
              </w:tabs>
              <w:rPr>
                <w:i/>
                <w:sz w:val="22"/>
                <w:szCs w:val="22"/>
              </w:rPr>
            </w:pPr>
            <w:r>
              <w:rPr>
                <w:i/>
                <w:sz w:val="22"/>
                <w:szCs w:val="22"/>
              </w:rPr>
              <w:t xml:space="preserve">July </w:t>
            </w:r>
            <w:r w:rsidR="00C06A98">
              <w:rPr>
                <w:i/>
                <w:sz w:val="22"/>
                <w:szCs w:val="22"/>
              </w:rPr>
              <w:t>25-31, 2024</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449A8047" w:rsidR="00C7783D" w:rsidRPr="00C7783D" w:rsidRDefault="00C7783D" w:rsidP="008A2AC2">
      <w:pPr>
        <w:pStyle w:val="Heading3"/>
      </w:pPr>
      <w:r w:rsidRPr="00C7783D">
        <w:t xml:space="preserve">Proposed </w:t>
      </w:r>
      <w:r w:rsidR="00C1722D">
        <w:t>research project</w:t>
      </w:r>
      <w:r w:rsidRPr="00C7783D">
        <w:t xml:space="preserve">: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79499E73"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4E9B7598" w:rsidR="00CE5BEC" w:rsidRPr="008A2AC2" w:rsidRDefault="00C7783D" w:rsidP="00C7783D">
      <w:pPr>
        <w:numPr>
          <w:ilvl w:val="0"/>
          <w:numId w:val="41"/>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accepted the WFD Terms and Conditions of Tendering and confirmed their compliance</w:t>
      </w:r>
      <w:r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lastRenderedPageBreak/>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34963CDF" w:rsidR="00624758" w:rsidRPr="003A77DA" w:rsidRDefault="00624758" w:rsidP="64245F71">
      <w:pPr>
        <w:tabs>
          <w:tab w:val="left" w:pos="1320"/>
        </w:tabs>
        <w:rPr>
          <w:i/>
          <w:iCs/>
          <w:sz w:val="22"/>
          <w:szCs w:val="22"/>
        </w:rPr>
      </w:pPr>
      <w:r w:rsidRPr="64245F71">
        <w:rPr>
          <w:sz w:val="22"/>
          <w:szCs w:val="22"/>
        </w:rPr>
        <w:t>[</w:t>
      </w:r>
      <w:r w:rsidRPr="003A77DA">
        <w:rPr>
          <w:i/>
          <w:iCs/>
          <w:sz w:val="22"/>
          <w:szCs w:val="22"/>
        </w:rPr>
        <w:t xml:space="preserve">WFD intends to shortlist providers based on their response to the RFP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624758" w:rsidRPr="00624758" w14:paraId="1C498749" w14:textId="77777777" w:rsidTr="64245F71">
        <w:trPr>
          <w:trHeight w:val="20"/>
        </w:trPr>
        <w:tc>
          <w:tcPr>
            <w:tcW w:w="4786" w:type="dxa"/>
            <w:shd w:val="clear" w:color="auto" w:fill="000000" w:themeFill="text1"/>
          </w:tcPr>
          <w:p w14:paraId="5A86C579" w14:textId="77777777" w:rsidR="00624758" w:rsidRPr="003A77DA" w:rsidRDefault="00624758" w:rsidP="64245F71">
            <w:pPr>
              <w:tabs>
                <w:tab w:val="left" w:pos="1320"/>
              </w:tabs>
              <w:rPr>
                <w:i/>
                <w:iCs/>
                <w:sz w:val="22"/>
                <w:szCs w:val="22"/>
              </w:rPr>
            </w:pPr>
            <w:r w:rsidRPr="003A77DA">
              <w:rPr>
                <w:i/>
                <w:iCs/>
                <w:sz w:val="22"/>
                <w:szCs w:val="22"/>
              </w:rPr>
              <w:t>Description</w:t>
            </w:r>
          </w:p>
        </w:tc>
        <w:tc>
          <w:tcPr>
            <w:tcW w:w="1985" w:type="dxa"/>
            <w:shd w:val="clear" w:color="auto" w:fill="000000" w:themeFill="text1"/>
          </w:tcPr>
          <w:p w14:paraId="7F528872" w14:textId="77777777" w:rsidR="00624758" w:rsidRPr="003A77DA" w:rsidRDefault="00624758" w:rsidP="64245F71">
            <w:pPr>
              <w:tabs>
                <w:tab w:val="left" w:pos="1320"/>
              </w:tabs>
              <w:rPr>
                <w:i/>
                <w:iCs/>
                <w:sz w:val="22"/>
                <w:szCs w:val="22"/>
              </w:rPr>
            </w:pPr>
            <w:r w:rsidRPr="003A77DA">
              <w:rPr>
                <w:i/>
                <w:iCs/>
                <w:sz w:val="22"/>
                <w:szCs w:val="22"/>
              </w:rPr>
              <w:t xml:space="preserve">Score  </w:t>
            </w:r>
          </w:p>
        </w:tc>
      </w:tr>
      <w:tr w:rsidR="00624758" w:rsidRPr="00624758" w14:paraId="686E89D7" w14:textId="77777777" w:rsidTr="64245F71">
        <w:trPr>
          <w:trHeight w:val="307"/>
        </w:trPr>
        <w:tc>
          <w:tcPr>
            <w:tcW w:w="4786" w:type="dxa"/>
            <w:shd w:val="clear" w:color="auto" w:fill="auto"/>
            <w:vAlign w:val="bottom"/>
          </w:tcPr>
          <w:p w14:paraId="4BD7B763" w14:textId="3ED71F46" w:rsidR="00624758" w:rsidRPr="003A77DA" w:rsidRDefault="640D7782" w:rsidP="64245F71">
            <w:pPr>
              <w:tabs>
                <w:tab w:val="left" w:pos="1320"/>
              </w:tabs>
              <w:rPr>
                <w:i/>
                <w:iCs/>
                <w:sz w:val="22"/>
                <w:szCs w:val="22"/>
              </w:rPr>
            </w:pPr>
            <w:r w:rsidRPr="003A77DA">
              <w:rPr>
                <w:i/>
                <w:iCs/>
                <w:sz w:val="22"/>
                <w:szCs w:val="22"/>
              </w:rPr>
              <w:t>Q</w:t>
            </w:r>
            <w:r w:rsidR="76C9A37A" w:rsidRPr="003A77DA">
              <w:rPr>
                <w:i/>
                <w:iCs/>
                <w:sz w:val="22"/>
                <w:szCs w:val="22"/>
              </w:rPr>
              <w:t>uality</w:t>
            </w:r>
            <w:r w:rsidRPr="003A77DA">
              <w:rPr>
                <w:i/>
                <w:iCs/>
                <w:sz w:val="22"/>
                <w:szCs w:val="22"/>
              </w:rPr>
              <w:t xml:space="preserve"> of bid document</w:t>
            </w:r>
          </w:p>
        </w:tc>
        <w:tc>
          <w:tcPr>
            <w:tcW w:w="1985" w:type="dxa"/>
            <w:shd w:val="clear" w:color="auto" w:fill="auto"/>
          </w:tcPr>
          <w:p w14:paraId="2DA32FD3" w14:textId="77777777" w:rsidR="00624758" w:rsidRPr="003A77DA" w:rsidRDefault="00624758" w:rsidP="64245F71">
            <w:pPr>
              <w:tabs>
                <w:tab w:val="left" w:pos="1320"/>
              </w:tabs>
              <w:rPr>
                <w:i/>
                <w:iCs/>
                <w:sz w:val="22"/>
                <w:szCs w:val="22"/>
              </w:rPr>
            </w:pPr>
            <w:r w:rsidRPr="003A77DA">
              <w:rPr>
                <w:i/>
                <w:iCs/>
                <w:sz w:val="22"/>
                <w:szCs w:val="22"/>
              </w:rPr>
              <w:t>20 %</w:t>
            </w:r>
          </w:p>
        </w:tc>
      </w:tr>
      <w:tr w:rsidR="00624758" w:rsidRPr="00624758" w14:paraId="559B80AD" w14:textId="77777777" w:rsidTr="64245F71">
        <w:trPr>
          <w:trHeight w:val="20"/>
        </w:trPr>
        <w:tc>
          <w:tcPr>
            <w:tcW w:w="4786" w:type="dxa"/>
            <w:shd w:val="clear" w:color="auto" w:fill="auto"/>
            <w:vAlign w:val="bottom"/>
          </w:tcPr>
          <w:p w14:paraId="73AAF54A" w14:textId="12DC9A82" w:rsidR="00624758" w:rsidRPr="003A77DA" w:rsidRDefault="640D7782" w:rsidP="64245F71">
            <w:pPr>
              <w:tabs>
                <w:tab w:val="left" w:pos="1320"/>
              </w:tabs>
              <w:rPr>
                <w:i/>
                <w:iCs/>
                <w:sz w:val="22"/>
                <w:szCs w:val="22"/>
              </w:rPr>
            </w:pPr>
            <w:r w:rsidRPr="003A77DA">
              <w:rPr>
                <w:i/>
                <w:iCs/>
                <w:sz w:val="22"/>
                <w:szCs w:val="22"/>
              </w:rPr>
              <w:t>Service offer and fit to specification</w:t>
            </w:r>
          </w:p>
        </w:tc>
        <w:tc>
          <w:tcPr>
            <w:tcW w:w="1985" w:type="dxa"/>
            <w:shd w:val="clear" w:color="auto" w:fill="auto"/>
          </w:tcPr>
          <w:p w14:paraId="0090FF37" w14:textId="77777777" w:rsidR="00624758" w:rsidRPr="003A77DA" w:rsidRDefault="00624758" w:rsidP="64245F71">
            <w:pPr>
              <w:tabs>
                <w:tab w:val="left" w:pos="1320"/>
              </w:tabs>
              <w:rPr>
                <w:i/>
                <w:iCs/>
                <w:sz w:val="22"/>
                <w:szCs w:val="22"/>
              </w:rPr>
            </w:pPr>
            <w:r w:rsidRPr="003A77DA">
              <w:rPr>
                <w:i/>
                <w:iCs/>
                <w:sz w:val="22"/>
                <w:szCs w:val="22"/>
              </w:rPr>
              <w:t>20 %</w:t>
            </w:r>
          </w:p>
        </w:tc>
      </w:tr>
      <w:tr w:rsidR="00624758" w:rsidRPr="00624758" w14:paraId="01A6A092" w14:textId="77777777" w:rsidTr="64245F71">
        <w:trPr>
          <w:trHeight w:val="20"/>
        </w:trPr>
        <w:tc>
          <w:tcPr>
            <w:tcW w:w="4786" w:type="dxa"/>
            <w:shd w:val="clear" w:color="auto" w:fill="auto"/>
            <w:vAlign w:val="bottom"/>
          </w:tcPr>
          <w:p w14:paraId="49A44052" w14:textId="4783373E" w:rsidR="00624758" w:rsidRPr="003A77DA" w:rsidRDefault="640D7782" w:rsidP="64245F71">
            <w:pPr>
              <w:tabs>
                <w:tab w:val="left" w:pos="1320"/>
              </w:tabs>
              <w:rPr>
                <w:i/>
                <w:iCs/>
                <w:sz w:val="22"/>
                <w:szCs w:val="22"/>
              </w:rPr>
            </w:pPr>
            <w:r w:rsidRPr="003A77DA">
              <w:rPr>
                <w:i/>
                <w:iCs/>
                <w:sz w:val="22"/>
                <w:szCs w:val="22"/>
              </w:rPr>
              <w:t xml:space="preserve">Value for money </w:t>
            </w:r>
          </w:p>
        </w:tc>
        <w:tc>
          <w:tcPr>
            <w:tcW w:w="1985" w:type="dxa"/>
            <w:shd w:val="clear" w:color="auto" w:fill="auto"/>
          </w:tcPr>
          <w:p w14:paraId="3D445611" w14:textId="77777777" w:rsidR="00624758" w:rsidRPr="003A77DA" w:rsidRDefault="00624758" w:rsidP="64245F71">
            <w:pPr>
              <w:tabs>
                <w:tab w:val="left" w:pos="1320"/>
              </w:tabs>
              <w:rPr>
                <w:i/>
                <w:iCs/>
                <w:sz w:val="22"/>
                <w:szCs w:val="22"/>
              </w:rPr>
            </w:pPr>
            <w:r w:rsidRPr="003A77DA">
              <w:rPr>
                <w:i/>
                <w:iCs/>
                <w:sz w:val="22"/>
                <w:szCs w:val="22"/>
              </w:rPr>
              <w:t>20 %</w:t>
            </w:r>
          </w:p>
        </w:tc>
      </w:tr>
      <w:tr w:rsidR="00624758" w:rsidRPr="00624758" w14:paraId="562731F7" w14:textId="77777777" w:rsidTr="64245F71">
        <w:trPr>
          <w:trHeight w:val="20"/>
        </w:trPr>
        <w:tc>
          <w:tcPr>
            <w:tcW w:w="4786" w:type="dxa"/>
            <w:shd w:val="clear" w:color="auto" w:fill="auto"/>
            <w:vAlign w:val="bottom"/>
          </w:tcPr>
          <w:p w14:paraId="706AC512" w14:textId="5AF572DB" w:rsidR="00624758" w:rsidRPr="003A77DA" w:rsidRDefault="640D7782" w:rsidP="64245F71">
            <w:pPr>
              <w:tabs>
                <w:tab w:val="left" w:pos="1320"/>
              </w:tabs>
              <w:rPr>
                <w:i/>
                <w:iCs/>
                <w:sz w:val="22"/>
                <w:szCs w:val="22"/>
              </w:rPr>
            </w:pPr>
            <w:r w:rsidRPr="003A77DA">
              <w:rPr>
                <w:i/>
                <w:iCs/>
                <w:sz w:val="22"/>
                <w:szCs w:val="22"/>
              </w:rPr>
              <w:t>Professional profile, track record and references</w:t>
            </w:r>
          </w:p>
        </w:tc>
        <w:tc>
          <w:tcPr>
            <w:tcW w:w="1985" w:type="dxa"/>
            <w:shd w:val="clear" w:color="auto" w:fill="auto"/>
          </w:tcPr>
          <w:p w14:paraId="4B17410B" w14:textId="77777777" w:rsidR="00624758" w:rsidRPr="003A77DA" w:rsidRDefault="00624758" w:rsidP="64245F71">
            <w:pPr>
              <w:tabs>
                <w:tab w:val="left" w:pos="1320"/>
              </w:tabs>
              <w:rPr>
                <w:i/>
                <w:iCs/>
                <w:sz w:val="22"/>
                <w:szCs w:val="22"/>
              </w:rPr>
            </w:pPr>
            <w:r w:rsidRPr="003A77DA">
              <w:rPr>
                <w:i/>
                <w:iCs/>
                <w:sz w:val="22"/>
                <w:szCs w:val="22"/>
              </w:rPr>
              <w:t>20%</w:t>
            </w:r>
          </w:p>
        </w:tc>
      </w:tr>
      <w:tr w:rsidR="00624758" w:rsidRPr="00624758" w14:paraId="01EA54F7" w14:textId="77777777" w:rsidTr="64245F71">
        <w:trPr>
          <w:trHeight w:val="20"/>
        </w:trPr>
        <w:tc>
          <w:tcPr>
            <w:tcW w:w="4786" w:type="dxa"/>
            <w:shd w:val="clear" w:color="auto" w:fill="auto"/>
            <w:vAlign w:val="bottom"/>
          </w:tcPr>
          <w:p w14:paraId="38B4AAF2" w14:textId="77777777" w:rsidR="00624758" w:rsidRPr="003A77DA" w:rsidRDefault="00624758" w:rsidP="64245F71">
            <w:pPr>
              <w:tabs>
                <w:tab w:val="left" w:pos="1320"/>
              </w:tabs>
              <w:rPr>
                <w:i/>
                <w:iCs/>
                <w:sz w:val="22"/>
                <w:szCs w:val="22"/>
              </w:rPr>
            </w:pPr>
            <w:r w:rsidRPr="003A77DA">
              <w:rPr>
                <w:i/>
                <w:iCs/>
                <w:sz w:val="22"/>
                <w:szCs w:val="22"/>
              </w:rPr>
              <w:t>Relevant experience</w:t>
            </w:r>
          </w:p>
        </w:tc>
        <w:tc>
          <w:tcPr>
            <w:tcW w:w="1985" w:type="dxa"/>
            <w:shd w:val="clear" w:color="auto" w:fill="auto"/>
          </w:tcPr>
          <w:p w14:paraId="060ED411" w14:textId="77777777" w:rsidR="00624758" w:rsidRPr="003A77DA" w:rsidRDefault="00624758" w:rsidP="64245F71">
            <w:pPr>
              <w:tabs>
                <w:tab w:val="left" w:pos="1320"/>
              </w:tabs>
              <w:rPr>
                <w:i/>
                <w:iCs/>
                <w:sz w:val="22"/>
                <w:szCs w:val="22"/>
              </w:rPr>
            </w:pPr>
            <w:r w:rsidRPr="003A77DA">
              <w:rPr>
                <w:i/>
                <w:iCs/>
                <w:sz w:val="22"/>
                <w:szCs w:val="22"/>
              </w:rPr>
              <w:t>20 %</w:t>
            </w:r>
          </w:p>
        </w:tc>
      </w:tr>
      <w:tr w:rsidR="00624758" w:rsidRPr="00624758" w14:paraId="751C7BB3" w14:textId="77777777" w:rsidTr="64245F71">
        <w:trPr>
          <w:trHeight w:val="124"/>
        </w:trPr>
        <w:tc>
          <w:tcPr>
            <w:tcW w:w="4786" w:type="dxa"/>
            <w:shd w:val="clear" w:color="auto" w:fill="auto"/>
            <w:vAlign w:val="bottom"/>
          </w:tcPr>
          <w:p w14:paraId="15CA3178" w14:textId="77777777" w:rsidR="00624758" w:rsidRPr="003A77DA" w:rsidRDefault="00624758" w:rsidP="64245F71">
            <w:pPr>
              <w:tabs>
                <w:tab w:val="left" w:pos="1320"/>
              </w:tabs>
              <w:rPr>
                <w:b/>
                <w:i/>
                <w:iCs/>
                <w:sz w:val="22"/>
                <w:szCs w:val="22"/>
              </w:rPr>
            </w:pPr>
            <w:r w:rsidRPr="003A77DA">
              <w:rPr>
                <w:b/>
                <w:i/>
                <w:iCs/>
                <w:sz w:val="22"/>
                <w:szCs w:val="22"/>
              </w:rPr>
              <w:t>Total Weighting</w:t>
            </w:r>
          </w:p>
        </w:tc>
        <w:tc>
          <w:tcPr>
            <w:tcW w:w="1985" w:type="dxa"/>
            <w:shd w:val="clear" w:color="auto" w:fill="auto"/>
          </w:tcPr>
          <w:p w14:paraId="08D882BF" w14:textId="77777777" w:rsidR="00624758" w:rsidRPr="003A77DA" w:rsidRDefault="00624758" w:rsidP="64245F71">
            <w:pPr>
              <w:tabs>
                <w:tab w:val="left" w:pos="1320"/>
              </w:tabs>
              <w:rPr>
                <w:b/>
                <w:i/>
                <w:iCs/>
                <w:sz w:val="22"/>
                <w:szCs w:val="22"/>
              </w:rPr>
            </w:pPr>
            <w:r w:rsidRPr="003A77DA">
              <w:rPr>
                <w:b/>
                <w:i/>
                <w:iCs/>
                <w:sz w:val="22"/>
                <w:szCs w:val="22"/>
              </w:rPr>
              <w:t>100 %</w:t>
            </w:r>
          </w:p>
        </w:tc>
      </w:tr>
    </w:tbl>
    <w:p w14:paraId="60C28992" w14:textId="44BA28A3" w:rsidR="00624758" w:rsidRPr="00624758" w:rsidRDefault="00624758" w:rsidP="00624758">
      <w:pPr>
        <w:tabs>
          <w:tab w:val="left" w:pos="1320"/>
        </w:tabs>
        <w:rPr>
          <w:sz w:val="22"/>
          <w:szCs w:val="22"/>
        </w:rPr>
      </w:pPr>
    </w:p>
    <w:p w14:paraId="06F6035B" w14:textId="77777777" w:rsidR="00367963" w:rsidRPr="00C40058" w:rsidRDefault="00367963" w:rsidP="00367963">
      <w:pPr>
        <w:pStyle w:val="Heading2"/>
        <w:rPr>
          <w:b w:val="0"/>
        </w:rPr>
      </w:pPr>
      <w:bookmarkStart w:id="3" w:name="_Toc356642502"/>
      <w:bookmarkStart w:id="4" w:name="_Toc409168489"/>
      <w:bookmarkStart w:id="5" w:name="_Toc454448743"/>
      <w:bookmarkStart w:id="6" w:name="_Toc534203565"/>
      <w:r w:rsidRPr="00C40058">
        <w:t>Tender Queries</w:t>
      </w:r>
      <w:bookmarkEnd w:id="3"/>
      <w:bookmarkEnd w:id="4"/>
      <w:bookmarkEnd w:id="5"/>
      <w:bookmarkEnd w:id="6"/>
    </w:p>
    <w:p w14:paraId="26EB5C3A" w14:textId="2CA7C4B9" w:rsidR="00367963" w:rsidRPr="00361C69" w:rsidRDefault="00367963" w:rsidP="00367963">
      <w:pPr>
        <w:tabs>
          <w:tab w:val="left" w:pos="1134"/>
        </w:tabs>
        <w:rPr>
          <w:noProof/>
          <w:sz w:val="22"/>
          <w:lang w:eastAsia="en-GB"/>
        </w:rPr>
      </w:pPr>
      <w:r w:rsidRPr="00361C69">
        <w:rPr>
          <w:noProof/>
          <w:sz w:val="22"/>
          <w:lang w:eastAsia="en-GB"/>
        </w:rPr>
        <w:t>Any questions related to this tender should be addressed to</w:t>
      </w:r>
      <w:r w:rsidR="00711A89">
        <w:rPr>
          <w:noProof/>
          <w:sz w:val="22"/>
          <w:lang w:eastAsia="en-GB"/>
        </w:rPr>
        <w:t xml:space="preserve"> Cynthia C. Guerra</w:t>
      </w:r>
      <w:r w:rsidR="000A4F99">
        <w:rPr>
          <w:noProof/>
          <w:sz w:val="22"/>
          <w:lang w:eastAsia="en-GB"/>
        </w:rPr>
        <w:t>, Bangsamoro Representative with email address: cynthia.guerra@wfd.org</w:t>
      </w:r>
      <w:r w:rsidRPr="00361C69">
        <w:rPr>
          <w:noProof/>
          <w:sz w:val="22"/>
          <w:lang w:eastAsia="en-GB"/>
        </w:rPr>
        <w:t xml:space="preserve"> </w:t>
      </w:r>
      <w:bookmarkStart w:id="7" w:name="_Toc356642503"/>
      <w:bookmarkStart w:id="8" w:name="_Toc409168490"/>
      <w:bookmarkStart w:id="9" w:name="_Toc454448744"/>
    </w:p>
    <w:p w14:paraId="2A9A4E2E" w14:textId="0CDF0490" w:rsidR="00367963" w:rsidRPr="00367963" w:rsidRDefault="00367963" w:rsidP="00367963">
      <w:pPr>
        <w:pStyle w:val="Heading2"/>
      </w:pPr>
      <w:r w:rsidRPr="00367963">
        <w:t>Equal Information</w:t>
      </w:r>
      <w:bookmarkEnd w:id="7"/>
      <w:bookmarkEnd w:id="8"/>
      <w:bookmarkEnd w:id="9"/>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10" w:name="_Toc356642504"/>
      <w:bookmarkStart w:id="11" w:name="_Toc409168491"/>
      <w:bookmarkStart w:id="12" w:name="_Toc454448745"/>
      <w:bookmarkStart w:id="13" w:name="_Toc534203566"/>
      <w:r w:rsidRPr="00C40058">
        <w:t>Annual reports</w:t>
      </w:r>
      <w:bookmarkEnd w:id="10"/>
      <w:bookmarkEnd w:id="11"/>
      <w:bookmarkEnd w:id="12"/>
      <w:bookmarkEnd w:id="13"/>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4" w:name="_Toc356642507"/>
      <w:bookmarkStart w:id="15" w:name="_Toc409168494"/>
      <w:bookmarkStart w:id="16" w:name="_Toc454448748"/>
    </w:p>
    <w:p w14:paraId="7B43EA34" w14:textId="041E635E" w:rsidR="00367963" w:rsidRPr="00367963" w:rsidRDefault="00367963" w:rsidP="00367963">
      <w:pPr>
        <w:pStyle w:val="Heading2"/>
      </w:pPr>
      <w:r w:rsidRPr="00367963">
        <w:t>Other information</w:t>
      </w:r>
      <w:bookmarkEnd w:id="14"/>
      <w:bookmarkEnd w:id="15"/>
      <w:bookmarkEnd w:id="16"/>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9"/>
      <w:footerReference w:type="default" r:id="rId20"/>
      <w:pgSz w:w="11906" w:h="16838"/>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anja Hollstein" w:date="2024-06-24T10:20:00Z" w:initials="TH">
    <w:p w14:paraId="337D562A" w14:textId="78038653" w:rsidR="64245F71" w:rsidRDefault="64245F71">
      <w:pPr>
        <w:pStyle w:val="CommentText"/>
      </w:pPr>
      <w:r>
        <w:t xml:space="preserve">Above you mention individuals as well. As this is a larger scope I would take the individual out. Legally also easier I think if we have a company - looking at delivery times tec. </w:t>
      </w:r>
      <w:r>
        <w:rPr>
          <w:rStyle w:val="CommentReference"/>
        </w:rPr>
        <w:annotationRef/>
      </w:r>
    </w:p>
  </w:comment>
  <w:comment w:id="1" w:author="Naomi Barnard" w:date="2024-06-25T10:16:00Z" w:initials="NB">
    <w:p w14:paraId="64737E58" w14:textId="656FB2DC" w:rsidR="64245F71" w:rsidRDefault="64245F71">
      <w:pPr>
        <w:pStyle w:val="CommentText"/>
      </w:pPr>
      <w:r>
        <w:t>Agreed. Please action.</w:t>
      </w:r>
      <w:r>
        <w:rPr>
          <w:rStyle w:val="CommentReference"/>
        </w:rPr>
        <w:annotationRef/>
      </w:r>
    </w:p>
  </w:comment>
  <w:comment w:id="2" w:author="Cynthia Guerra" w:date="2024-06-25T16:49:00Z" w:initials="CG">
    <w:p w14:paraId="799A249C" w14:textId="045A40B0" w:rsidR="64245F71" w:rsidRDefault="64245F71">
      <w:pPr>
        <w:pStyle w:val="CommentText"/>
      </w:pPr>
      <w:r>
        <w:t>Done. Thanks!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7D562A" w15:done="1"/>
  <w15:commentEx w15:paraId="64737E58" w15:paraIdParent="337D562A" w15:done="1"/>
  <w15:commentEx w15:paraId="799A249C" w15:paraIdParent="337D56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D4D43F" w16cex:dateUtc="2024-06-24T08:20:00Z"/>
  <w16cex:commentExtensible w16cex:durableId="6F1F7B96" w16cex:dateUtc="2024-06-25T08:16:00Z"/>
  <w16cex:commentExtensible w16cex:durableId="2A281C03" w16cex:dateUtc="2024-06-25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7D562A" w16cid:durableId="62D4D43F"/>
  <w16cid:commentId w16cid:paraId="64737E58" w16cid:durableId="6F1F7B96"/>
  <w16cid:commentId w16cid:paraId="799A249C" w16cid:durableId="2A281C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A7AC8" w14:textId="77777777" w:rsidR="00236593" w:rsidRDefault="00236593" w:rsidP="00944B8E">
      <w:r>
        <w:separator/>
      </w:r>
    </w:p>
  </w:endnote>
  <w:endnote w:type="continuationSeparator" w:id="0">
    <w:p w14:paraId="4DB044C6" w14:textId="77777777" w:rsidR="00236593" w:rsidRDefault="00236593" w:rsidP="00944B8E">
      <w:r>
        <w:continuationSeparator/>
      </w:r>
    </w:p>
  </w:endnote>
  <w:endnote w:type="continuationNotice" w:id="1">
    <w:p w14:paraId="269DD01F" w14:textId="77777777" w:rsidR="00236593" w:rsidRDefault="002365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503C0" w14:textId="77777777" w:rsidR="00236593" w:rsidRDefault="00236593" w:rsidP="00944B8E">
      <w:r>
        <w:separator/>
      </w:r>
    </w:p>
  </w:footnote>
  <w:footnote w:type="continuationSeparator" w:id="0">
    <w:p w14:paraId="1FB14B28" w14:textId="77777777" w:rsidR="00236593" w:rsidRDefault="00236593" w:rsidP="00944B8E">
      <w:r>
        <w:continuationSeparator/>
      </w:r>
    </w:p>
  </w:footnote>
  <w:footnote w:type="continuationNotice" w:id="1">
    <w:p w14:paraId="72862F04" w14:textId="77777777" w:rsidR="00236593" w:rsidRDefault="002365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29E3"/>
    <w:multiLevelType w:val="hybridMultilevel"/>
    <w:tmpl w:val="70D071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0D2213"/>
    <w:multiLevelType w:val="multilevel"/>
    <w:tmpl w:val="66C06414"/>
    <w:lvl w:ilvl="0">
      <w:start w:val="1"/>
      <w:numFmt w:val="decimal"/>
      <w:lvlText w:val="%1."/>
      <w:lvlJc w:val="left"/>
      <w:pPr>
        <w:tabs>
          <w:tab w:val="num" w:pos="1080"/>
        </w:tabs>
        <w:ind w:left="1080" w:hanging="360"/>
      </w:pPr>
      <w:rPr>
        <w:rFonts w:ascii="Arial" w:eastAsiaTheme="minorHAnsi" w:hAnsi="Arial" w:cs="Arial"/>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72DD0"/>
    <w:multiLevelType w:val="hybridMultilevel"/>
    <w:tmpl w:val="82AA313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6"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13CAD"/>
    <w:multiLevelType w:val="hybridMultilevel"/>
    <w:tmpl w:val="BA5AC4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DA60D2E"/>
    <w:multiLevelType w:val="hybridMultilevel"/>
    <w:tmpl w:val="638A299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7" w15:restartNumberingAfterBreak="0">
    <w:nsid w:val="7F081CAB"/>
    <w:multiLevelType w:val="hybridMultilevel"/>
    <w:tmpl w:val="0504D9C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16cid:durableId="594554242">
    <w:abstractNumId w:val="26"/>
  </w:num>
  <w:num w:numId="2" w16cid:durableId="289290732">
    <w:abstractNumId w:val="10"/>
  </w:num>
  <w:num w:numId="3" w16cid:durableId="589238277">
    <w:abstractNumId w:val="18"/>
  </w:num>
  <w:num w:numId="4" w16cid:durableId="392772464">
    <w:abstractNumId w:val="10"/>
  </w:num>
  <w:num w:numId="5" w16cid:durableId="799494398">
    <w:abstractNumId w:val="40"/>
  </w:num>
  <w:num w:numId="6" w16cid:durableId="1965496278">
    <w:abstractNumId w:val="6"/>
  </w:num>
  <w:num w:numId="7" w16cid:durableId="275211676">
    <w:abstractNumId w:val="30"/>
  </w:num>
  <w:num w:numId="8" w16cid:durableId="1504541172">
    <w:abstractNumId w:val="41"/>
  </w:num>
  <w:num w:numId="9" w16cid:durableId="1717896723">
    <w:abstractNumId w:val="7"/>
  </w:num>
  <w:num w:numId="10" w16cid:durableId="738360710">
    <w:abstractNumId w:val="27"/>
  </w:num>
  <w:num w:numId="11" w16cid:durableId="206065953">
    <w:abstractNumId w:val="33"/>
  </w:num>
  <w:num w:numId="12" w16cid:durableId="258025645">
    <w:abstractNumId w:val="15"/>
  </w:num>
  <w:num w:numId="13" w16cid:durableId="979306731">
    <w:abstractNumId w:val="20"/>
  </w:num>
  <w:num w:numId="14" w16cid:durableId="1347169676">
    <w:abstractNumId w:val="9"/>
  </w:num>
  <w:num w:numId="15" w16cid:durableId="692461132">
    <w:abstractNumId w:val="24"/>
  </w:num>
  <w:num w:numId="16" w16cid:durableId="1237667654">
    <w:abstractNumId w:val="0"/>
  </w:num>
  <w:num w:numId="17" w16cid:durableId="219218476">
    <w:abstractNumId w:val="42"/>
  </w:num>
  <w:num w:numId="18" w16cid:durableId="146092555">
    <w:abstractNumId w:val="14"/>
  </w:num>
  <w:num w:numId="19" w16cid:durableId="1643122163">
    <w:abstractNumId w:val="5"/>
  </w:num>
  <w:num w:numId="20" w16cid:durableId="1360817518">
    <w:abstractNumId w:val="29"/>
  </w:num>
  <w:num w:numId="21" w16cid:durableId="5521855">
    <w:abstractNumId w:val="17"/>
  </w:num>
  <w:num w:numId="22" w16cid:durableId="129827364">
    <w:abstractNumId w:val="36"/>
  </w:num>
  <w:num w:numId="23" w16cid:durableId="1524128739">
    <w:abstractNumId w:val="19"/>
  </w:num>
  <w:num w:numId="24" w16cid:durableId="731269643">
    <w:abstractNumId w:val="32"/>
  </w:num>
  <w:num w:numId="25" w16cid:durableId="1964462660">
    <w:abstractNumId w:val="43"/>
  </w:num>
  <w:num w:numId="26" w16cid:durableId="1283461571">
    <w:abstractNumId w:val="31"/>
  </w:num>
  <w:num w:numId="27" w16cid:durableId="1272131680">
    <w:abstractNumId w:val="12"/>
  </w:num>
  <w:num w:numId="28" w16cid:durableId="1669400019">
    <w:abstractNumId w:val="22"/>
  </w:num>
  <w:num w:numId="29" w16cid:durableId="342516418">
    <w:abstractNumId w:val="16"/>
  </w:num>
  <w:num w:numId="30" w16cid:durableId="752550949">
    <w:abstractNumId w:val="13"/>
  </w:num>
  <w:num w:numId="31" w16cid:durableId="1494448285">
    <w:abstractNumId w:val="11"/>
  </w:num>
  <w:num w:numId="32" w16cid:durableId="173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7"/>
  </w:num>
  <w:num w:numId="34" w16cid:durableId="112792592">
    <w:abstractNumId w:val="44"/>
  </w:num>
  <w:num w:numId="35" w16cid:durableId="1497380377">
    <w:abstractNumId w:val="23"/>
  </w:num>
  <w:num w:numId="36" w16cid:durableId="886527631">
    <w:abstractNumId w:val="28"/>
  </w:num>
  <w:num w:numId="37" w16cid:durableId="1956790339">
    <w:abstractNumId w:val="38"/>
  </w:num>
  <w:num w:numId="38" w16cid:durableId="1229532860">
    <w:abstractNumId w:val="2"/>
  </w:num>
  <w:num w:numId="39" w16cid:durableId="662657797">
    <w:abstractNumId w:val="8"/>
  </w:num>
  <w:num w:numId="40" w16cid:durableId="1209800525">
    <w:abstractNumId w:val="35"/>
  </w:num>
  <w:num w:numId="41" w16cid:durableId="495531817">
    <w:abstractNumId w:val="21"/>
  </w:num>
  <w:num w:numId="42" w16cid:durableId="257250540">
    <w:abstractNumId w:val="39"/>
  </w:num>
  <w:num w:numId="43" w16cid:durableId="1378122724">
    <w:abstractNumId w:val="3"/>
  </w:num>
  <w:num w:numId="44" w16cid:durableId="203756024">
    <w:abstractNumId w:val="47"/>
  </w:num>
  <w:num w:numId="45" w16cid:durableId="313997414">
    <w:abstractNumId w:val="25"/>
  </w:num>
  <w:num w:numId="46" w16cid:durableId="14307340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6479389">
    <w:abstractNumId w:val="4"/>
  </w:num>
  <w:num w:numId="48" w16cid:durableId="1838765687">
    <w:abstractNumId w:val="45"/>
  </w:num>
  <w:num w:numId="49" w16cid:durableId="1634945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nja Hollstein">
    <w15:presenceInfo w15:providerId="AD" w15:userId="S::tanja.hollstein@wfd.org::69623d6c-19c6-4183-997f-9b3ef0afea15"/>
  </w15:person>
  <w15:person w15:author="Naomi Barnard">
    <w15:presenceInfo w15:providerId="AD" w15:userId="S::naomi.barnard@wfd.org::b4a150ca-b6b1-486c-87f2-60916521bd2f"/>
  </w15:person>
  <w15:person w15:author="Cynthia Guerra">
    <w15:presenceInfo w15:providerId="AD" w15:userId="S::cynthia.guerra@wfd.org::4cb71692-85d5-4621-a328-9223534df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17B77"/>
    <w:rsid w:val="000200AC"/>
    <w:rsid w:val="00025824"/>
    <w:rsid w:val="00030000"/>
    <w:rsid w:val="000344E2"/>
    <w:rsid w:val="000353F6"/>
    <w:rsid w:val="00041EC1"/>
    <w:rsid w:val="00055568"/>
    <w:rsid w:val="000566A4"/>
    <w:rsid w:val="000605DC"/>
    <w:rsid w:val="00062DB8"/>
    <w:rsid w:val="00064ABC"/>
    <w:rsid w:val="000711A1"/>
    <w:rsid w:val="00075FA5"/>
    <w:rsid w:val="000806DF"/>
    <w:rsid w:val="00092B1C"/>
    <w:rsid w:val="00093712"/>
    <w:rsid w:val="000965B8"/>
    <w:rsid w:val="000A4F99"/>
    <w:rsid w:val="000A649C"/>
    <w:rsid w:val="000A68C2"/>
    <w:rsid w:val="000B5999"/>
    <w:rsid w:val="000B6F99"/>
    <w:rsid w:val="000C5719"/>
    <w:rsid w:val="000D1099"/>
    <w:rsid w:val="000D6521"/>
    <w:rsid w:val="000E32FE"/>
    <w:rsid w:val="000E5154"/>
    <w:rsid w:val="000F2189"/>
    <w:rsid w:val="000F6553"/>
    <w:rsid w:val="0010357A"/>
    <w:rsid w:val="00105E9F"/>
    <w:rsid w:val="00114FC0"/>
    <w:rsid w:val="00115E2F"/>
    <w:rsid w:val="00124B0D"/>
    <w:rsid w:val="0013123A"/>
    <w:rsid w:val="001321DC"/>
    <w:rsid w:val="001330C3"/>
    <w:rsid w:val="001331A7"/>
    <w:rsid w:val="0014760A"/>
    <w:rsid w:val="0016463C"/>
    <w:rsid w:val="00165698"/>
    <w:rsid w:val="00166A10"/>
    <w:rsid w:val="00170A45"/>
    <w:rsid w:val="001A4440"/>
    <w:rsid w:val="001A570E"/>
    <w:rsid w:val="001A7539"/>
    <w:rsid w:val="001B2B80"/>
    <w:rsid w:val="001B699F"/>
    <w:rsid w:val="001B6E40"/>
    <w:rsid w:val="001D0B1E"/>
    <w:rsid w:val="001D30F7"/>
    <w:rsid w:val="001D3341"/>
    <w:rsid w:val="001E2D6F"/>
    <w:rsid w:val="00204ECE"/>
    <w:rsid w:val="00223C66"/>
    <w:rsid w:val="00226F69"/>
    <w:rsid w:val="00235BA2"/>
    <w:rsid w:val="00236593"/>
    <w:rsid w:val="00253979"/>
    <w:rsid w:val="0026564B"/>
    <w:rsid w:val="00274AF1"/>
    <w:rsid w:val="00276EF8"/>
    <w:rsid w:val="002801E2"/>
    <w:rsid w:val="00280BC0"/>
    <w:rsid w:val="002879F7"/>
    <w:rsid w:val="002A26FB"/>
    <w:rsid w:val="002A50CF"/>
    <w:rsid w:val="002B061D"/>
    <w:rsid w:val="002B6DC0"/>
    <w:rsid w:val="002C5F29"/>
    <w:rsid w:val="002C5F6B"/>
    <w:rsid w:val="002D4266"/>
    <w:rsid w:val="002E5C47"/>
    <w:rsid w:val="00304F43"/>
    <w:rsid w:val="00305335"/>
    <w:rsid w:val="00306542"/>
    <w:rsid w:val="0031437B"/>
    <w:rsid w:val="003173FC"/>
    <w:rsid w:val="00317E11"/>
    <w:rsid w:val="00323F9E"/>
    <w:rsid w:val="00333FFD"/>
    <w:rsid w:val="003364A3"/>
    <w:rsid w:val="0034125B"/>
    <w:rsid w:val="00341753"/>
    <w:rsid w:val="0035041E"/>
    <w:rsid w:val="00361B5E"/>
    <w:rsid w:val="0036343A"/>
    <w:rsid w:val="00367963"/>
    <w:rsid w:val="003828C0"/>
    <w:rsid w:val="0038296A"/>
    <w:rsid w:val="00393990"/>
    <w:rsid w:val="003A22D5"/>
    <w:rsid w:val="003A77DA"/>
    <w:rsid w:val="003C6456"/>
    <w:rsid w:val="003D5450"/>
    <w:rsid w:val="003E2CB6"/>
    <w:rsid w:val="003E4149"/>
    <w:rsid w:val="003F03D6"/>
    <w:rsid w:val="003F6CEC"/>
    <w:rsid w:val="003F71A2"/>
    <w:rsid w:val="00403CF3"/>
    <w:rsid w:val="0040672D"/>
    <w:rsid w:val="00423788"/>
    <w:rsid w:val="00424BA0"/>
    <w:rsid w:val="00431385"/>
    <w:rsid w:val="00450698"/>
    <w:rsid w:val="004521C7"/>
    <w:rsid w:val="00452B4A"/>
    <w:rsid w:val="00454AE4"/>
    <w:rsid w:val="00466084"/>
    <w:rsid w:val="0046709C"/>
    <w:rsid w:val="004814B8"/>
    <w:rsid w:val="004927A9"/>
    <w:rsid w:val="004948A0"/>
    <w:rsid w:val="00494B24"/>
    <w:rsid w:val="004979E6"/>
    <w:rsid w:val="004A222E"/>
    <w:rsid w:val="004B765F"/>
    <w:rsid w:val="004B7D4F"/>
    <w:rsid w:val="004C20D4"/>
    <w:rsid w:val="004C4B67"/>
    <w:rsid w:val="004C647E"/>
    <w:rsid w:val="004D532A"/>
    <w:rsid w:val="004D638E"/>
    <w:rsid w:val="004E30C0"/>
    <w:rsid w:val="00513164"/>
    <w:rsid w:val="00537018"/>
    <w:rsid w:val="005402A5"/>
    <w:rsid w:val="00543022"/>
    <w:rsid w:val="00544752"/>
    <w:rsid w:val="00545E6B"/>
    <w:rsid w:val="00561883"/>
    <w:rsid w:val="005624BD"/>
    <w:rsid w:val="00562BBA"/>
    <w:rsid w:val="0056307C"/>
    <w:rsid w:val="0057505B"/>
    <w:rsid w:val="005804E8"/>
    <w:rsid w:val="00580FC8"/>
    <w:rsid w:val="00583D7E"/>
    <w:rsid w:val="00587875"/>
    <w:rsid w:val="0059623F"/>
    <w:rsid w:val="005A2922"/>
    <w:rsid w:val="005A7CF0"/>
    <w:rsid w:val="005B1EDB"/>
    <w:rsid w:val="005C38A7"/>
    <w:rsid w:val="005D2907"/>
    <w:rsid w:val="005E6753"/>
    <w:rsid w:val="005E6C7F"/>
    <w:rsid w:val="006160C2"/>
    <w:rsid w:val="006204E5"/>
    <w:rsid w:val="00624758"/>
    <w:rsid w:val="00635F49"/>
    <w:rsid w:val="00647971"/>
    <w:rsid w:val="006574C3"/>
    <w:rsid w:val="00660047"/>
    <w:rsid w:val="00662827"/>
    <w:rsid w:val="006917A5"/>
    <w:rsid w:val="006B3EBE"/>
    <w:rsid w:val="006B7308"/>
    <w:rsid w:val="006C46F6"/>
    <w:rsid w:val="006C5D47"/>
    <w:rsid w:val="006F751F"/>
    <w:rsid w:val="00704895"/>
    <w:rsid w:val="00704EEF"/>
    <w:rsid w:val="00705632"/>
    <w:rsid w:val="00711A89"/>
    <w:rsid w:val="00716994"/>
    <w:rsid w:val="00724B88"/>
    <w:rsid w:val="007330FA"/>
    <w:rsid w:val="00734EC3"/>
    <w:rsid w:val="00735A26"/>
    <w:rsid w:val="00750539"/>
    <w:rsid w:val="00753C87"/>
    <w:rsid w:val="00760823"/>
    <w:rsid w:val="00763F2E"/>
    <w:rsid w:val="00764BB8"/>
    <w:rsid w:val="007705A1"/>
    <w:rsid w:val="00777162"/>
    <w:rsid w:val="00782C79"/>
    <w:rsid w:val="00784A95"/>
    <w:rsid w:val="00795758"/>
    <w:rsid w:val="007B627E"/>
    <w:rsid w:val="007B6A4F"/>
    <w:rsid w:val="007C4BF7"/>
    <w:rsid w:val="007D0829"/>
    <w:rsid w:val="007E4D9A"/>
    <w:rsid w:val="007F614C"/>
    <w:rsid w:val="008000B5"/>
    <w:rsid w:val="008011B6"/>
    <w:rsid w:val="00801F9D"/>
    <w:rsid w:val="0080631F"/>
    <w:rsid w:val="0082114A"/>
    <w:rsid w:val="00822AA3"/>
    <w:rsid w:val="00823FDD"/>
    <w:rsid w:val="00825EA8"/>
    <w:rsid w:val="00830584"/>
    <w:rsid w:val="00836928"/>
    <w:rsid w:val="00836B9A"/>
    <w:rsid w:val="00843D18"/>
    <w:rsid w:val="00857D7A"/>
    <w:rsid w:val="00862A79"/>
    <w:rsid w:val="008773EE"/>
    <w:rsid w:val="00881287"/>
    <w:rsid w:val="008826F1"/>
    <w:rsid w:val="00890EBF"/>
    <w:rsid w:val="008A0378"/>
    <w:rsid w:val="008A2AC2"/>
    <w:rsid w:val="008A3138"/>
    <w:rsid w:val="008B55E2"/>
    <w:rsid w:val="008C3E80"/>
    <w:rsid w:val="008D33FA"/>
    <w:rsid w:val="008D634C"/>
    <w:rsid w:val="008D7155"/>
    <w:rsid w:val="008E4903"/>
    <w:rsid w:val="008F1769"/>
    <w:rsid w:val="008F4D87"/>
    <w:rsid w:val="008F5991"/>
    <w:rsid w:val="008F7302"/>
    <w:rsid w:val="00907E33"/>
    <w:rsid w:val="00911736"/>
    <w:rsid w:val="00924A56"/>
    <w:rsid w:val="00926C1D"/>
    <w:rsid w:val="00933915"/>
    <w:rsid w:val="00936641"/>
    <w:rsid w:val="009447D7"/>
    <w:rsid w:val="00944B8E"/>
    <w:rsid w:val="00945A51"/>
    <w:rsid w:val="00952576"/>
    <w:rsid w:val="00964B9B"/>
    <w:rsid w:val="0096641F"/>
    <w:rsid w:val="00973195"/>
    <w:rsid w:val="009731F1"/>
    <w:rsid w:val="00991C10"/>
    <w:rsid w:val="009A24A3"/>
    <w:rsid w:val="009A453F"/>
    <w:rsid w:val="009B5320"/>
    <w:rsid w:val="009B7863"/>
    <w:rsid w:val="009C2845"/>
    <w:rsid w:val="009D037C"/>
    <w:rsid w:val="009E44A6"/>
    <w:rsid w:val="009E6A11"/>
    <w:rsid w:val="009E739B"/>
    <w:rsid w:val="009F2604"/>
    <w:rsid w:val="009F61A1"/>
    <w:rsid w:val="00A043F8"/>
    <w:rsid w:val="00A06E02"/>
    <w:rsid w:val="00A166E7"/>
    <w:rsid w:val="00A17718"/>
    <w:rsid w:val="00A300AB"/>
    <w:rsid w:val="00A3753D"/>
    <w:rsid w:val="00A37589"/>
    <w:rsid w:val="00A571C6"/>
    <w:rsid w:val="00A712CA"/>
    <w:rsid w:val="00A71546"/>
    <w:rsid w:val="00A7331D"/>
    <w:rsid w:val="00A844AF"/>
    <w:rsid w:val="00A85741"/>
    <w:rsid w:val="00AA0BA2"/>
    <w:rsid w:val="00AA4D81"/>
    <w:rsid w:val="00AC4CF9"/>
    <w:rsid w:val="00AE691D"/>
    <w:rsid w:val="00AF3814"/>
    <w:rsid w:val="00AF4342"/>
    <w:rsid w:val="00AF62CC"/>
    <w:rsid w:val="00B12DA3"/>
    <w:rsid w:val="00B230F3"/>
    <w:rsid w:val="00B2765A"/>
    <w:rsid w:val="00B32E19"/>
    <w:rsid w:val="00B44495"/>
    <w:rsid w:val="00B56B30"/>
    <w:rsid w:val="00B626CD"/>
    <w:rsid w:val="00B62A04"/>
    <w:rsid w:val="00B66B1B"/>
    <w:rsid w:val="00B7067D"/>
    <w:rsid w:val="00B77B42"/>
    <w:rsid w:val="00B84452"/>
    <w:rsid w:val="00BA02DC"/>
    <w:rsid w:val="00BA22E5"/>
    <w:rsid w:val="00BC7227"/>
    <w:rsid w:val="00BD4CE2"/>
    <w:rsid w:val="00BE0417"/>
    <w:rsid w:val="00BE1BF7"/>
    <w:rsid w:val="00C01883"/>
    <w:rsid w:val="00C06A98"/>
    <w:rsid w:val="00C07FEC"/>
    <w:rsid w:val="00C134CB"/>
    <w:rsid w:val="00C1722D"/>
    <w:rsid w:val="00C224EB"/>
    <w:rsid w:val="00C404D7"/>
    <w:rsid w:val="00C476D4"/>
    <w:rsid w:val="00C52656"/>
    <w:rsid w:val="00C62F33"/>
    <w:rsid w:val="00C711E0"/>
    <w:rsid w:val="00C7783D"/>
    <w:rsid w:val="00CB1E31"/>
    <w:rsid w:val="00CB3208"/>
    <w:rsid w:val="00CC0E02"/>
    <w:rsid w:val="00CC50F1"/>
    <w:rsid w:val="00CD59CB"/>
    <w:rsid w:val="00CE595E"/>
    <w:rsid w:val="00CE5BEC"/>
    <w:rsid w:val="00CE79AE"/>
    <w:rsid w:val="00D05285"/>
    <w:rsid w:val="00D14800"/>
    <w:rsid w:val="00D15725"/>
    <w:rsid w:val="00D171F6"/>
    <w:rsid w:val="00D34172"/>
    <w:rsid w:val="00D354EC"/>
    <w:rsid w:val="00D643DD"/>
    <w:rsid w:val="00D76150"/>
    <w:rsid w:val="00D77A8A"/>
    <w:rsid w:val="00D9655E"/>
    <w:rsid w:val="00DA7CC7"/>
    <w:rsid w:val="00DC0916"/>
    <w:rsid w:val="00DD6081"/>
    <w:rsid w:val="00DE2C47"/>
    <w:rsid w:val="00DE6EF4"/>
    <w:rsid w:val="00DF7A06"/>
    <w:rsid w:val="00E07235"/>
    <w:rsid w:val="00E2576E"/>
    <w:rsid w:val="00E26F80"/>
    <w:rsid w:val="00E31368"/>
    <w:rsid w:val="00E37F4B"/>
    <w:rsid w:val="00E5204C"/>
    <w:rsid w:val="00E52FB3"/>
    <w:rsid w:val="00E654F1"/>
    <w:rsid w:val="00E65BF0"/>
    <w:rsid w:val="00E67BA7"/>
    <w:rsid w:val="00E95C75"/>
    <w:rsid w:val="00E97BB0"/>
    <w:rsid w:val="00EA2A79"/>
    <w:rsid w:val="00EA3E83"/>
    <w:rsid w:val="00EA5489"/>
    <w:rsid w:val="00EB493C"/>
    <w:rsid w:val="00EC18C1"/>
    <w:rsid w:val="00EC5AD3"/>
    <w:rsid w:val="00ED6028"/>
    <w:rsid w:val="00EE433E"/>
    <w:rsid w:val="00F0212F"/>
    <w:rsid w:val="00F17DF6"/>
    <w:rsid w:val="00F21380"/>
    <w:rsid w:val="00F2191B"/>
    <w:rsid w:val="00F24D1D"/>
    <w:rsid w:val="00F313A6"/>
    <w:rsid w:val="00F36572"/>
    <w:rsid w:val="00F366D1"/>
    <w:rsid w:val="00F401C4"/>
    <w:rsid w:val="00F42004"/>
    <w:rsid w:val="00F50D01"/>
    <w:rsid w:val="00F52F83"/>
    <w:rsid w:val="00F71EF4"/>
    <w:rsid w:val="00F86740"/>
    <w:rsid w:val="00F870FB"/>
    <w:rsid w:val="00F95B40"/>
    <w:rsid w:val="00FB57CF"/>
    <w:rsid w:val="00FB5E9F"/>
    <w:rsid w:val="00FB6BBC"/>
    <w:rsid w:val="00FC2E9A"/>
    <w:rsid w:val="00FC6F0D"/>
    <w:rsid w:val="00FC7577"/>
    <w:rsid w:val="00FD09EE"/>
    <w:rsid w:val="00FD15F3"/>
    <w:rsid w:val="00FF1A64"/>
    <w:rsid w:val="00FF21F6"/>
    <w:rsid w:val="04194A8A"/>
    <w:rsid w:val="077262C7"/>
    <w:rsid w:val="087765F3"/>
    <w:rsid w:val="0A24155C"/>
    <w:rsid w:val="0B65589C"/>
    <w:rsid w:val="0C4AB435"/>
    <w:rsid w:val="0FC5FABE"/>
    <w:rsid w:val="10E7AE4A"/>
    <w:rsid w:val="15BB212A"/>
    <w:rsid w:val="15BB34F8"/>
    <w:rsid w:val="1627A042"/>
    <w:rsid w:val="17DF68FF"/>
    <w:rsid w:val="1A13584F"/>
    <w:rsid w:val="1D1A0954"/>
    <w:rsid w:val="2080D45D"/>
    <w:rsid w:val="275A30BF"/>
    <w:rsid w:val="289204C2"/>
    <w:rsid w:val="2C2AAC3E"/>
    <w:rsid w:val="2D4E29C0"/>
    <w:rsid w:val="2E1ECE24"/>
    <w:rsid w:val="398383B2"/>
    <w:rsid w:val="39F64CA3"/>
    <w:rsid w:val="3B1F394D"/>
    <w:rsid w:val="3FB7DD16"/>
    <w:rsid w:val="3FC820F7"/>
    <w:rsid w:val="4241152B"/>
    <w:rsid w:val="48F75D5D"/>
    <w:rsid w:val="4C1BAC0E"/>
    <w:rsid w:val="51572F7F"/>
    <w:rsid w:val="5302EE53"/>
    <w:rsid w:val="5403DEF8"/>
    <w:rsid w:val="5513EB7F"/>
    <w:rsid w:val="55DA4A74"/>
    <w:rsid w:val="59BCDFC4"/>
    <w:rsid w:val="5D5D0D4A"/>
    <w:rsid w:val="640D7782"/>
    <w:rsid w:val="64245F71"/>
    <w:rsid w:val="648FBB2B"/>
    <w:rsid w:val="68710B42"/>
    <w:rsid w:val="6AB897DA"/>
    <w:rsid w:val="6B7CB9E8"/>
    <w:rsid w:val="75586309"/>
    <w:rsid w:val="76C9A37A"/>
    <w:rsid w:val="78263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31EE21C-051F-4D1D-ADE6-635E4607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NormalWeb">
    <w:name w:val="Normal (Web)"/>
    <w:basedOn w:val="Normal"/>
    <w:uiPriority w:val="99"/>
    <w:unhideWhenUsed/>
    <w:rsid w:val="00952576"/>
    <w:pPr>
      <w:spacing w:before="100" w:beforeAutospacing="1" w:after="100" w:afterAutospacing="1"/>
    </w:pPr>
    <w:rPr>
      <w:rFonts w:ascii="Times New Roman" w:eastAsia="Times New Roman" w:hAnsi="Times New Roman" w:cs="Times New Roman"/>
      <w:bCs w:val="0"/>
      <w:color w:val="auto"/>
      <w:lang w:val="en-PH" w:eastAsia="en-PH"/>
    </w:rPr>
  </w:style>
  <w:style w:type="character" w:customStyle="1" w:styleId="eop">
    <w:name w:val="eop"/>
    <w:basedOn w:val="DefaultParagraphFont"/>
    <w:rsid w:val="00760823"/>
  </w:style>
  <w:style w:type="paragraph" w:customStyle="1" w:styleId="paragraph">
    <w:name w:val="paragraph"/>
    <w:basedOn w:val="Normal"/>
    <w:rsid w:val="008F4D87"/>
    <w:pPr>
      <w:suppressAutoHyphens/>
      <w:autoSpaceDN w:val="0"/>
      <w:spacing w:before="100" w:after="100"/>
    </w:pPr>
    <w:rPr>
      <w:rFonts w:ascii="Times New Roman" w:eastAsia="Times New Roman" w:hAnsi="Times New Roman" w:cs="Times New Roman"/>
      <w:bCs w:val="0"/>
      <w:color w:val="auto"/>
      <w:lang w:eastAsia="en-GB"/>
    </w:rPr>
  </w:style>
  <w:style w:type="character" w:customStyle="1" w:styleId="ui-provider">
    <w:name w:val="ui-provider"/>
    <w:basedOn w:val="DefaultParagraphFont"/>
    <w:rsid w:val="00AE691D"/>
  </w:style>
  <w:style w:type="character" w:styleId="Mention">
    <w:name w:val="Mention"/>
    <w:basedOn w:val="DefaultParagraphFont"/>
    <w:uiPriority w:val="99"/>
    <w:unhideWhenUsed/>
    <w:rsid w:val="00AE691D"/>
    <w:rPr>
      <w:color w:val="2B579A"/>
      <w:shd w:val="clear" w:color="auto" w:fill="E1DFDD"/>
    </w:rPr>
  </w:style>
  <w:style w:type="paragraph" w:styleId="Revision">
    <w:name w:val="Revision"/>
    <w:hidden/>
    <w:uiPriority w:val="99"/>
    <w:semiHidden/>
    <w:rsid w:val="00D77A8A"/>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70089347">
      <w:bodyDiv w:val="1"/>
      <w:marLeft w:val="0"/>
      <w:marRight w:val="0"/>
      <w:marTop w:val="0"/>
      <w:marBottom w:val="0"/>
      <w:divBdr>
        <w:top w:val="none" w:sz="0" w:space="0" w:color="auto"/>
        <w:left w:val="none" w:sz="0" w:space="0" w:color="auto"/>
        <w:bottom w:val="none" w:sz="0" w:space="0" w:color="auto"/>
        <w:right w:val="none" w:sz="0" w:space="0" w:color="auto"/>
      </w:divBdr>
    </w:div>
    <w:div w:id="378742974">
      <w:bodyDiv w:val="1"/>
      <w:marLeft w:val="0"/>
      <w:marRight w:val="0"/>
      <w:marTop w:val="0"/>
      <w:marBottom w:val="0"/>
      <w:divBdr>
        <w:top w:val="none" w:sz="0" w:space="0" w:color="auto"/>
        <w:left w:val="none" w:sz="0" w:space="0" w:color="auto"/>
        <w:bottom w:val="none" w:sz="0" w:space="0" w:color="auto"/>
        <w:right w:val="none" w:sz="0" w:space="0" w:color="auto"/>
      </w:divBdr>
    </w:div>
    <w:div w:id="600382744">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555893424">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21450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wfd.org/policy/code-condu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wfd.org/policy/wfd-general-terms-and-conditions-tendering" TargetMode="External"/><Relationship Id="rId2" Type="http://schemas.openxmlformats.org/officeDocument/2006/relationships/customXml" Target="../customXml/item2.xml"/><Relationship Id="rId16" Type="http://schemas.openxmlformats.org/officeDocument/2006/relationships/hyperlink" Target="mailto:cynthia.guerra@wf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rocurement@wf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a16a1ef8c40f97d18c6f690423fd83c2">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43bfaf2f6b35c31e498442dd4e28fb77"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86FD-86BD-4790-AB5C-8D390D466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1566</Words>
  <Characters>8932</Characters>
  <Application>Microsoft Office Word</Application>
  <DocSecurity>4</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2024-06-26T15:23:00Z</dcterms:created>
  <dcterms:modified xsi:type="dcterms:W3CDTF">2024-06-26T15:23:00Z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