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D5838" w14:textId="77777777" w:rsidR="008D374A" w:rsidRPr="008F5A70" w:rsidRDefault="008D374A">
      <w:pPr>
        <w:spacing w:after="200" w:line="259" w:lineRule="auto"/>
        <w:jc w:val="both"/>
        <w:rPr>
          <w:rFonts w:eastAsia="Gill Sans"/>
          <w:b/>
          <w:color w:val="5C068C"/>
          <w:sz w:val="20"/>
          <w:szCs w:val="20"/>
        </w:rPr>
      </w:pPr>
    </w:p>
    <w:p w14:paraId="46DE3E5A" w14:textId="4253E37B" w:rsidR="008D374A" w:rsidRPr="008F5A70" w:rsidRDefault="008D374A">
      <w:pPr>
        <w:spacing w:after="200" w:line="259" w:lineRule="auto"/>
        <w:jc w:val="center"/>
        <w:rPr>
          <w:rFonts w:eastAsia="Gill Sans"/>
          <w:color w:val="5C068C"/>
          <w:sz w:val="20"/>
          <w:szCs w:val="20"/>
        </w:rPr>
      </w:pPr>
    </w:p>
    <w:p w14:paraId="52ADC1D6" w14:textId="77777777" w:rsidR="008D374A" w:rsidRPr="008F5A70" w:rsidRDefault="008D374A">
      <w:pPr>
        <w:spacing w:after="200" w:line="259" w:lineRule="auto"/>
        <w:jc w:val="center"/>
        <w:rPr>
          <w:rFonts w:eastAsia="Gill Sans"/>
          <w:b/>
          <w:bCs/>
          <w:color w:val="5C068C"/>
          <w:sz w:val="20"/>
          <w:szCs w:val="20"/>
        </w:rPr>
      </w:pPr>
    </w:p>
    <w:p w14:paraId="3C0A2654" w14:textId="392A20C1" w:rsidR="008F5A70" w:rsidRDefault="00A62298" w:rsidP="008F5A70">
      <w:pPr>
        <w:pStyle w:val="Heading2"/>
        <w:jc w:val="center"/>
        <w:rPr>
          <w:b/>
          <w:bCs/>
          <w:sz w:val="20"/>
          <w:szCs w:val="20"/>
        </w:rPr>
      </w:pPr>
      <w:r>
        <w:rPr>
          <w:b/>
          <w:bCs/>
          <w:sz w:val="20"/>
          <w:szCs w:val="20"/>
        </w:rPr>
        <w:t>SPECIFICATION: DETAILS OF REQUIREMENTS</w:t>
      </w:r>
    </w:p>
    <w:p w14:paraId="1F37705C" w14:textId="77777777" w:rsidR="005B1AA8" w:rsidRDefault="005B1AA8" w:rsidP="005B1AA8"/>
    <w:p w14:paraId="65D15E2B" w14:textId="77777777" w:rsidR="005B1AA8" w:rsidRPr="005B1AA8" w:rsidRDefault="005B1AA8" w:rsidP="005B1AA8"/>
    <w:p w14:paraId="7BD76E89" w14:textId="77777777" w:rsidR="008F5A70" w:rsidRPr="008F5A70" w:rsidRDefault="008F5A70" w:rsidP="008F5A70">
      <w:pPr>
        <w:pStyle w:val="Heading2"/>
        <w:rPr>
          <w:sz w:val="20"/>
          <w:szCs w:val="20"/>
        </w:rPr>
      </w:pPr>
    </w:p>
    <w:p w14:paraId="5A3B210A" w14:textId="77777777" w:rsidR="00937937" w:rsidRPr="00937937" w:rsidRDefault="00A62298" w:rsidP="00937937">
      <w:pPr>
        <w:rPr>
          <w:sz w:val="20"/>
          <w:szCs w:val="20"/>
        </w:rPr>
      </w:pPr>
      <w:r>
        <w:rPr>
          <w:sz w:val="20"/>
          <w:szCs w:val="20"/>
        </w:rPr>
        <w:t xml:space="preserve">Specification for the </w:t>
      </w:r>
      <w:r w:rsidR="00937937" w:rsidRPr="00937937">
        <w:rPr>
          <w:sz w:val="20"/>
          <w:szCs w:val="20"/>
        </w:rPr>
        <w:t>delivery of Investigational Medicinal Products for IMPEDE-PKD drug trial.</w:t>
      </w:r>
    </w:p>
    <w:p w14:paraId="12B86613" w14:textId="296F537B" w:rsidR="008F5A70" w:rsidRPr="00937937" w:rsidRDefault="008F5A70" w:rsidP="008F5A70">
      <w:pPr>
        <w:pStyle w:val="Heading2"/>
        <w:jc w:val="center"/>
        <w:rPr>
          <w:sz w:val="20"/>
          <w:szCs w:val="20"/>
        </w:rPr>
      </w:pPr>
    </w:p>
    <w:p w14:paraId="2DB95742" w14:textId="60AEBAC1" w:rsidR="008F5A70" w:rsidRPr="008F5A70" w:rsidRDefault="00937937" w:rsidP="008F5A70">
      <w:pPr>
        <w:pStyle w:val="Heading2"/>
        <w:jc w:val="center"/>
        <w:rPr>
          <w:sz w:val="20"/>
          <w:szCs w:val="20"/>
        </w:rPr>
      </w:pPr>
      <w:r>
        <w:rPr>
          <w:sz w:val="20"/>
          <w:szCs w:val="20"/>
        </w:rPr>
        <w:t>Atamis Reference Number: C289889</w:t>
      </w:r>
    </w:p>
    <w:p w14:paraId="3A5548C8" w14:textId="77777777" w:rsidR="008F5A70" w:rsidRPr="008F5A70" w:rsidRDefault="008F5A70" w:rsidP="008F5A70">
      <w:pPr>
        <w:pStyle w:val="Heading2"/>
        <w:jc w:val="center"/>
        <w:rPr>
          <w:sz w:val="20"/>
          <w:szCs w:val="20"/>
        </w:rPr>
      </w:pPr>
    </w:p>
    <w:p w14:paraId="74D5F745" w14:textId="6AC9FD42" w:rsidR="008F5A70" w:rsidRPr="008F5A70" w:rsidRDefault="008F5A70" w:rsidP="008F5A70">
      <w:pPr>
        <w:pStyle w:val="Heading2"/>
        <w:jc w:val="center"/>
        <w:rPr>
          <w:sz w:val="20"/>
          <w:szCs w:val="20"/>
        </w:rPr>
      </w:pPr>
      <w:r w:rsidRPr="008F5A70">
        <w:rPr>
          <w:sz w:val="20"/>
          <w:szCs w:val="20"/>
        </w:rPr>
        <w:t xml:space="preserve">Deadline for receipt of Tenders to be received:  </w:t>
      </w:r>
      <w:r w:rsidR="00E2788C">
        <w:rPr>
          <w:sz w:val="20"/>
          <w:szCs w:val="20"/>
        </w:rPr>
        <w:t>2</w:t>
      </w:r>
      <w:r w:rsidR="007B67F1">
        <w:rPr>
          <w:sz w:val="20"/>
          <w:szCs w:val="20"/>
        </w:rPr>
        <w:t>7</w:t>
      </w:r>
      <w:r w:rsidR="00E2788C">
        <w:rPr>
          <w:sz w:val="20"/>
          <w:szCs w:val="20"/>
        </w:rPr>
        <w:t>/08/2024 13:00</w:t>
      </w:r>
    </w:p>
    <w:p w14:paraId="6EF211A5" w14:textId="77777777" w:rsidR="008D374A" w:rsidRPr="008F5A70" w:rsidRDefault="008D374A">
      <w:pPr>
        <w:spacing w:after="200" w:line="259" w:lineRule="auto"/>
        <w:jc w:val="center"/>
        <w:rPr>
          <w:rFonts w:eastAsia="Gill Sans"/>
          <w:color w:val="5C068C"/>
          <w:sz w:val="20"/>
          <w:szCs w:val="20"/>
        </w:rPr>
      </w:pPr>
    </w:p>
    <w:p w14:paraId="579BDE27" w14:textId="77777777" w:rsidR="008D374A" w:rsidRPr="008F5A70" w:rsidRDefault="008D374A">
      <w:pPr>
        <w:spacing w:after="200" w:line="259" w:lineRule="auto"/>
        <w:jc w:val="center"/>
        <w:rPr>
          <w:rFonts w:eastAsia="Gill Sans"/>
          <w:color w:val="5C068C"/>
          <w:sz w:val="20"/>
          <w:szCs w:val="20"/>
        </w:rPr>
      </w:pPr>
    </w:p>
    <w:p w14:paraId="11A657B6" w14:textId="77777777" w:rsidR="008D374A" w:rsidRPr="008F5A70" w:rsidRDefault="008D374A">
      <w:pPr>
        <w:spacing w:after="200" w:line="259" w:lineRule="auto"/>
        <w:jc w:val="center"/>
        <w:rPr>
          <w:rFonts w:eastAsia="Gill Sans"/>
          <w:color w:val="5C068C"/>
          <w:sz w:val="20"/>
          <w:szCs w:val="20"/>
        </w:rPr>
      </w:pPr>
    </w:p>
    <w:p w14:paraId="357F96EB" w14:textId="77777777" w:rsidR="008D374A" w:rsidRPr="008F5A70" w:rsidRDefault="008D374A">
      <w:pPr>
        <w:spacing w:after="200" w:line="259" w:lineRule="auto"/>
        <w:jc w:val="center"/>
        <w:rPr>
          <w:rFonts w:eastAsia="Gill Sans"/>
          <w:color w:val="5C068C"/>
          <w:sz w:val="20"/>
          <w:szCs w:val="20"/>
        </w:rPr>
      </w:pPr>
    </w:p>
    <w:p w14:paraId="7ACD78E1" w14:textId="77777777" w:rsidR="008D374A" w:rsidRPr="008F5A70" w:rsidRDefault="008D374A">
      <w:pPr>
        <w:spacing w:after="200" w:line="259" w:lineRule="auto"/>
        <w:jc w:val="center"/>
        <w:rPr>
          <w:rFonts w:eastAsia="Gill Sans"/>
          <w:color w:val="5C068C"/>
          <w:sz w:val="20"/>
          <w:szCs w:val="20"/>
        </w:rPr>
      </w:pPr>
    </w:p>
    <w:p w14:paraId="37A342D4" w14:textId="77777777" w:rsidR="008D374A" w:rsidRPr="008F5A70" w:rsidRDefault="008D374A">
      <w:pPr>
        <w:spacing w:after="200" w:line="259" w:lineRule="auto"/>
        <w:jc w:val="center"/>
        <w:rPr>
          <w:rFonts w:eastAsia="Gill Sans"/>
          <w:color w:val="5C068C"/>
          <w:sz w:val="20"/>
          <w:szCs w:val="20"/>
        </w:rPr>
      </w:pPr>
    </w:p>
    <w:p w14:paraId="0D4798DC" w14:textId="77777777" w:rsidR="008D374A" w:rsidRPr="008F5A70" w:rsidRDefault="008D374A">
      <w:pPr>
        <w:spacing w:after="200" w:line="259" w:lineRule="auto"/>
        <w:jc w:val="center"/>
        <w:rPr>
          <w:rFonts w:eastAsia="Gill Sans"/>
          <w:color w:val="5C068C"/>
          <w:sz w:val="20"/>
          <w:szCs w:val="20"/>
        </w:rPr>
      </w:pPr>
    </w:p>
    <w:p w14:paraId="0EBFDB3C" w14:textId="77777777" w:rsidR="008D374A" w:rsidRPr="008F5A70" w:rsidRDefault="008D374A">
      <w:pPr>
        <w:spacing w:after="200" w:line="259" w:lineRule="auto"/>
        <w:jc w:val="center"/>
        <w:rPr>
          <w:rFonts w:eastAsia="Gill Sans"/>
          <w:color w:val="5C068C"/>
          <w:sz w:val="20"/>
          <w:szCs w:val="20"/>
        </w:rPr>
      </w:pPr>
    </w:p>
    <w:p w14:paraId="714A3FD2" w14:textId="77777777" w:rsidR="008D374A" w:rsidRPr="008F5A70" w:rsidRDefault="008D374A">
      <w:pPr>
        <w:spacing w:after="200" w:line="259" w:lineRule="auto"/>
        <w:jc w:val="center"/>
        <w:rPr>
          <w:rFonts w:eastAsia="Gill Sans"/>
          <w:color w:val="5C068C"/>
          <w:sz w:val="20"/>
          <w:szCs w:val="20"/>
        </w:rPr>
      </w:pPr>
    </w:p>
    <w:p w14:paraId="487F4FE1" w14:textId="77777777" w:rsidR="008D374A" w:rsidRPr="008F5A70" w:rsidRDefault="008D374A">
      <w:pPr>
        <w:spacing w:after="200" w:line="259" w:lineRule="auto"/>
        <w:jc w:val="center"/>
        <w:rPr>
          <w:rFonts w:eastAsia="Gill Sans"/>
          <w:color w:val="5C068C"/>
          <w:sz w:val="20"/>
          <w:szCs w:val="20"/>
        </w:rPr>
      </w:pPr>
    </w:p>
    <w:p w14:paraId="5728367D" w14:textId="77777777" w:rsidR="008D374A" w:rsidRDefault="008D374A">
      <w:pPr>
        <w:spacing w:after="200" w:line="259" w:lineRule="auto"/>
        <w:jc w:val="center"/>
        <w:rPr>
          <w:rFonts w:eastAsia="Gill Sans"/>
          <w:color w:val="5C068C"/>
          <w:sz w:val="20"/>
          <w:szCs w:val="20"/>
        </w:rPr>
      </w:pPr>
    </w:p>
    <w:p w14:paraId="59616F3A" w14:textId="77777777" w:rsidR="008F5A70" w:rsidRDefault="008F5A70">
      <w:pPr>
        <w:spacing w:after="200" w:line="259" w:lineRule="auto"/>
        <w:jc w:val="center"/>
        <w:rPr>
          <w:rFonts w:eastAsia="Gill Sans"/>
          <w:color w:val="5C068C"/>
          <w:sz w:val="20"/>
          <w:szCs w:val="20"/>
        </w:rPr>
      </w:pPr>
    </w:p>
    <w:p w14:paraId="132B6E3A" w14:textId="77777777" w:rsidR="008F5A70" w:rsidRPr="008F5A70" w:rsidRDefault="008F5A70">
      <w:pPr>
        <w:spacing w:after="200" w:line="259" w:lineRule="auto"/>
        <w:jc w:val="center"/>
        <w:rPr>
          <w:rFonts w:eastAsia="Gill Sans"/>
          <w:color w:val="5C068C"/>
          <w:sz w:val="20"/>
          <w:szCs w:val="20"/>
        </w:rPr>
      </w:pPr>
    </w:p>
    <w:p w14:paraId="3CBF4BC0" w14:textId="77777777" w:rsidR="008D374A" w:rsidRPr="008F5A70" w:rsidRDefault="008F5A70">
      <w:pPr>
        <w:spacing w:after="200" w:line="259" w:lineRule="auto"/>
        <w:jc w:val="center"/>
        <w:rPr>
          <w:rFonts w:eastAsia="Gill Sans"/>
          <w:color w:val="5C068C"/>
          <w:sz w:val="20"/>
          <w:szCs w:val="20"/>
        </w:rPr>
      </w:pPr>
      <w:r w:rsidRPr="008F5A70">
        <w:rPr>
          <w:rFonts w:eastAsia="Gill Sans"/>
          <w:color w:val="5C068C"/>
          <w:sz w:val="20"/>
          <w:szCs w:val="20"/>
        </w:rPr>
        <w:lastRenderedPageBreak/>
        <w:br/>
      </w:r>
    </w:p>
    <w:tbl>
      <w:tblPr>
        <w:tblStyle w:val="TableGrid"/>
        <w:tblW w:w="0" w:type="auto"/>
        <w:tblLook w:val="04A0" w:firstRow="1" w:lastRow="0" w:firstColumn="1" w:lastColumn="0" w:noHBand="0" w:noVBand="1"/>
      </w:tblPr>
      <w:tblGrid>
        <w:gridCol w:w="8335"/>
        <w:gridCol w:w="684"/>
      </w:tblGrid>
      <w:tr w:rsidR="00B22303" w:rsidRPr="008F5A70" w14:paraId="03B32F7F" w14:textId="2340F4AE" w:rsidTr="00B22303">
        <w:tc>
          <w:tcPr>
            <w:tcW w:w="8359" w:type="dxa"/>
            <w:shd w:val="clear" w:color="auto" w:fill="0070C0"/>
          </w:tcPr>
          <w:p w14:paraId="737FAA3F" w14:textId="2C07B41B" w:rsidR="00B22303" w:rsidRPr="008F5A70" w:rsidRDefault="00B22303" w:rsidP="008F5A70">
            <w:pPr>
              <w:spacing w:after="200" w:line="259" w:lineRule="auto"/>
              <w:rPr>
                <w:rFonts w:eastAsia="Gill Sans"/>
                <w:color w:val="5C068C"/>
                <w:sz w:val="20"/>
                <w:szCs w:val="20"/>
              </w:rPr>
            </w:pPr>
            <w:r w:rsidRPr="008F5A70">
              <w:rPr>
                <w:rFonts w:eastAsia="Gill Sans"/>
                <w:color w:val="FFFFFF" w:themeColor="background1"/>
                <w:sz w:val="20"/>
                <w:szCs w:val="20"/>
              </w:rPr>
              <w:t xml:space="preserve">Table of Contents </w:t>
            </w:r>
          </w:p>
        </w:tc>
        <w:tc>
          <w:tcPr>
            <w:tcW w:w="660" w:type="dxa"/>
            <w:shd w:val="clear" w:color="auto" w:fill="0070C0"/>
          </w:tcPr>
          <w:p w14:paraId="0DF76D2A" w14:textId="14B0A7B6" w:rsidR="00B22303" w:rsidRPr="008F5A70" w:rsidRDefault="00B22303" w:rsidP="008F5A70">
            <w:pPr>
              <w:spacing w:after="200" w:line="259" w:lineRule="auto"/>
              <w:rPr>
                <w:rFonts w:eastAsia="Gill Sans"/>
                <w:color w:val="FFFFFF" w:themeColor="background1"/>
                <w:sz w:val="20"/>
                <w:szCs w:val="20"/>
              </w:rPr>
            </w:pPr>
            <w:r>
              <w:rPr>
                <w:rFonts w:eastAsia="Gill Sans"/>
                <w:color w:val="FFFFFF" w:themeColor="background1"/>
                <w:sz w:val="20"/>
                <w:szCs w:val="20"/>
              </w:rPr>
              <w:t>Page</w:t>
            </w:r>
          </w:p>
        </w:tc>
      </w:tr>
      <w:tr w:rsidR="00B22303" w:rsidRPr="008F5A70" w14:paraId="6E37AA0C" w14:textId="68238F57" w:rsidTr="00B22303">
        <w:trPr>
          <w:trHeight w:val="303"/>
        </w:trPr>
        <w:tc>
          <w:tcPr>
            <w:tcW w:w="8359" w:type="dxa"/>
          </w:tcPr>
          <w:p w14:paraId="0C31D150" w14:textId="7AA02565" w:rsidR="00B22303" w:rsidRPr="00B22303" w:rsidRDefault="00B22303" w:rsidP="00B22303">
            <w:pPr>
              <w:spacing w:line="276" w:lineRule="auto"/>
            </w:pPr>
            <w:r w:rsidRPr="00B22303">
              <w:t>Trial Title</w:t>
            </w:r>
            <w:r>
              <w:t xml:space="preserve"> </w:t>
            </w:r>
          </w:p>
        </w:tc>
        <w:tc>
          <w:tcPr>
            <w:tcW w:w="660" w:type="dxa"/>
          </w:tcPr>
          <w:p w14:paraId="373EE774" w14:textId="5113E62C" w:rsidR="00B22303" w:rsidRPr="00B22303" w:rsidRDefault="00B22303" w:rsidP="00B22303">
            <w:pPr>
              <w:jc w:val="right"/>
            </w:pPr>
            <w:r>
              <w:t>3</w:t>
            </w:r>
          </w:p>
        </w:tc>
      </w:tr>
      <w:tr w:rsidR="00B22303" w:rsidRPr="008F5A70" w14:paraId="1AB3340B" w14:textId="034227BC" w:rsidTr="00B22303">
        <w:tc>
          <w:tcPr>
            <w:tcW w:w="8359" w:type="dxa"/>
          </w:tcPr>
          <w:p w14:paraId="68839335" w14:textId="6CC77D1D" w:rsidR="00B22303" w:rsidRPr="00B22303" w:rsidRDefault="00B22303" w:rsidP="00B22303">
            <w:pPr>
              <w:spacing w:line="276" w:lineRule="auto"/>
            </w:pPr>
            <w:r w:rsidRPr="00B22303">
              <w:t>Trial Objectives</w:t>
            </w:r>
            <w:r>
              <w:t xml:space="preserve"> </w:t>
            </w:r>
          </w:p>
        </w:tc>
        <w:tc>
          <w:tcPr>
            <w:tcW w:w="660" w:type="dxa"/>
          </w:tcPr>
          <w:p w14:paraId="1BFAFB91" w14:textId="0371FAE2" w:rsidR="00B22303" w:rsidRPr="00B22303" w:rsidRDefault="00B22303" w:rsidP="00B22303">
            <w:pPr>
              <w:jc w:val="right"/>
            </w:pPr>
            <w:r>
              <w:t>3</w:t>
            </w:r>
          </w:p>
        </w:tc>
      </w:tr>
      <w:tr w:rsidR="00B22303" w:rsidRPr="008F5A70" w14:paraId="23915AE0" w14:textId="069199DC" w:rsidTr="00B22303">
        <w:tc>
          <w:tcPr>
            <w:tcW w:w="8359" w:type="dxa"/>
          </w:tcPr>
          <w:p w14:paraId="67E05107" w14:textId="3C17B141" w:rsidR="00B22303" w:rsidRPr="00B22303" w:rsidRDefault="00B22303" w:rsidP="00B22303">
            <w:pPr>
              <w:spacing w:line="276" w:lineRule="auto"/>
            </w:pPr>
            <w:r w:rsidRPr="00B22303">
              <w:t>Sponsor</w:t>
            </w:r>
            <w:r>
              <w:t xml:space="preserve"> </w:t>
            </w:r>
          </w:p>
        </w:tc>
        <w:tc>
          <w:tcPr>
            <w:tcW w:w="660" w:type="dxa"/>
          </w:tcPr>
          <w:p w14:paraId="1AC84F89" w14:textId="46B25BDC" w:rsidR="00B22303" w:rsidRPr="00B22303" w:rsidRDefault="00B22303" w:rsidP="00B22303">
            <w:pPr>
              <w:jc w:val="right"/>
            </w:pPr>
            <w:r>
              <w:t>3</w:t>
            </w:r>
          </w:p>
        </w:tc>
      </w:tr>
      <w:tr w:rsidR="00B22303" w:rsidRPr="008F5A70" w14:paraId="411DBBE3" w14:textId="11A0009B" w:rsidTr="00B22303">
        <w:tc>
          <w:tcPr>
            <w:tcW w:w="8359" w:type="dxa"/>
          </w:tcPr>
          <w:p w14:paraId="1A581B58" w14:textId="73F7DDDB" w:rsidR="00B22303" w:rsidRPr="00B22303" w:rsidRDefault="00B22303" w:rsidP="00B22303">
            <w:pPr>
              <w:spacing w:line="276" w:lineRule="auto"/>
            </w:pPr>
            <w:r w:rsidRPr="00B22303">
              <w:t>Coordinating Centre</w:t>
            </w:r>
            <w:r>
              <w:t xml:space="preserve">  </w:t>
            </w:r>
          </w:p>
        </w:tc>
        <w:tc>
          <w:tcPr>
            <w:tcW w:w="660" w:type="dxa"/>
          </w:tcPr>
          <w:p w14:paraId="4243F8E0" w14:textId="437AE3C2" w:rsidR="00B22303" w:rsidRPr="00B22303" w:rsidRDefault="00B22303" w:rsidP="00B22303">
            <w:pPr>
              <w:jc w:val="right"/>
            </w:pPr>
            <w:r>
              <w:t>3</w:t>
            </w:r>
          </w:p>
        </w:tc>
      </w:tr>
      <w:tr w:rsidR="00B22303" w:rsidRPr="008F5A70" w14:paraId="0699F09C" w14:textId="44AF768D" w:rsidTr="00B22303">
        <w:tc>
          <w:tcPr>
            <w:tcW w:w="8359" w:type="dxa"/>
          </w:tcPr>
          <w:p w14:paraId="2CBDC0CB" w14:textId="07071332" w:rsidR="00B22303" w:rsidRPr="00B22303" w:rsidRDefault="00B22303" w:rsidP="00B22303">
            <w:pPr>
              <w:spacing w:line="276" w:lineRule="auto"/>
            </w:pPr>
            <w:r w:rsidRPr="00B22303">
              <w:t>Trial Design</w:t>
            </w:r>
            <w:r>
              <w:t xml:space="preserve">  </w:t>
            </w:r>
          </w:p>
        </w:tc>
        <w:tc>
          <w:tcPr>
            <w:tcW w:w="660" w:type="dxa"/>
          </w:tcPr>
          <w:p w14:paraId="1A63DC83" w14:textId="5C806556" w:rsidR="00B22303" w:rsidRPr="00B22303" w:rsidRDefault="00B22303" w:rsidP="00B22303">
            <w:pPr>
              <w:jc w:val="right"/>
            </w:pPr>
            <w:r>
              <w:t>4</w:t>
            </w:r>
          </w:p>
        </w:tc>
      </w:tr>
      <w:tr w:rsidR="00B22303" w:rsidRPr="008F5A70" w14:paraId="36C8DC43" w14:textId="040F468A" w:rsidTr="00B22303">
        <w:tc>
          <w:tcPr>
            <w:tcW w:w="8359" w:type="dxa"/>
          </w:tcPr>
          <w:p w14:paraId="5AB04160" w14:textId="5DE57FC3" w:rsidR="00B22303" w:rsidRPr="00B22303" w:rsidRDefault="00B22303" w:rsidP="00B22303">
            <w:pPr>
              <w:spacing w:line="276" w:lineRule="auto"/>
            </w:pPr>
            <w:r w:rsidRPr="00B22303">
              <w:t>Participants</w:t>
            </w:r>
            <w:r>
              <w:t xml:space="preserve"> </w:t>
            </w:r>
          </w:p>
        </w:tc>
        <w:tc>
          <w:tcPr>
            <w:tcW w:w="660" w:type="dxa"/>
          </w:tcPr>
          <w:p w14:paraId="5911D168" w14:textId="44BC889B" w:rsidR="00B22303" w:rsidRPr="00B22303" w:rsidRDefault="00B22303" w:rsidP="00B22303">
            <w:pPr>
              <w:jc w:val="right"/>
            </w:pPr>
            <w:r>
              <w:t>4</w:t>
            </w:r>
          </w:p>
        </w:tc>
      </w:tr>
      <w:tr w:rsidR="00B22303" w:rsidRPr="008F5A70" w14:paraId="4A26A8D7" w14:textId="1B9B623E" w:rsidTr="00B22303">
        <w:tc>
          <w:tcPr>
            <w:tcW w:w="8359" w:type="dxa"/>
          </w:tcPr>
          <w:p w14:paraId="52B6CEC1" w14:textId="486348B6" w:rsidR="00B22303" w:rsidRPr="00B22303" w:rsidRDefault="00B22303" w:rsidP="00B22303">
            <w:pPr>
              <w:spacing w:line="276" w:lineRule="auto"/>
            </w:pPr>
            <w:r w:rsidRPr="00B22303">
              <w:t>Interventions</w:t>
            </w:r>
            <w:r>
              <w:t xml:space="preserve">  </w:t>
            </w:r>
          </w:p>
        </w:tc>
        <w:tc>
          <w:tcPr>
            <w:tcW w:w="660" w:type="dxa"/>
          </w:tcPr>
          <w:p w14:paraId="3314A7BC" w14:textId="0FD17F86" w:rsidR="00B22303" w:rsidRPr="00B22303" w:rsidRDefault="00B22303" w:rsidP="00B22303">
            <w:pPr>
              <w:jc w:val="right"/>
            </w:pPr>
            <w:r>
              <w:t>4</w:t>
            </w:r>
          </w:p>
        </w:tc>
      </w:tr>
      <w:tr w:rsidR="00B22303" w:rsidRPr="008F5A70" w14:paraId="5942A0BD" w14:textId="3A73AE84" w:rsidTr="00B22303">
        <w:tc>
          <w:tcPr>
            <w:tcW w:w="8359" w:type="dxa"/>
          </w:tcPr>
          <w:p w14:paraId="67AFAB11" w14:textId="23E94509" w:rsidR="00B22303" w:rsidRPr="00B22303" w:rsidRDefault="00B22303" w:rsidP="00B22303">
            <w:pPr>
              <w:spacing w:line="276" w:lineRule="auto"/>
            </w:pPr>
            <w:r w:rsidRPr="00B22303">
              <w:t>Randomisation</w:t>
            </w:r>
            <w:r>
              <w:t xml:space="preserve">  </w:t>
            </w:r>
          </w:p>
        </w:tc>
        <w:tc>
          <w:tcPr>
            <w:tcW w:w="660" w:type="dxa"/>
          </w:tcPr>
          <w:p w14:paraId="02FAC1EB" w14:textId="7315E9A7" w:rsidR="00B22303" w:rsidRPr="00B22303" w:rsidRDefault="00B22303" w:rsidP="00B22303">
            <w:pPr>
              <w:jc w:val="right"/>
            </w:pPr>
            <w:r>
              <w:t>4</w:t>
            </w:r>
          </w:p>
        </w:tc>
      </w:tr>
      <w:tr w:rsidR="00B22303" w:rsidRPr="008F5A70" w14:paraId="3B03FC8F" w14:textId="68EDFE2E" w:rsidTr="00B22303">
        <w:tc>
          <w:tcPr>
            <w:tcW w:w="8359" w:type="dxa"/>
          </w:tcPr>
          <w:p w14:paraId="6C1D4C46" w14:textId="470A38B8" w:rsidR="00B22303" w:rsidRPr="00B22303" w:rsidRDefault="00B22303" w:rsidP="00B22303">
            <w:pPr>
              <w:spacing w:line="276" w:lineRule="auto"/>
            </w:pPr>
            <w:r w:rsidRPr="00B22303">
              <w:t>Dose Titration</w:t>
            </w:r>
            <w:r>
              <w:t xml:space="preserve">  </w:t>
            </w:r>
          </w:p>
        </w:tc>
        <w:tc>
          <w:tcPr>
            <w:tcW w:w="660" w:type="dxa"/>
          </w:tcPr>
          <w:p w14:paraId="0D3D1231" w14:textId="2AB1B1CB" w:rsidR="00B22303" w:rsidRPr="00B22303" w:rsidRDefault="00B22303" w:rsidP="00B22303">
            <w:pPr>
              <w:jc w:val="right"/>
            </w:pPr>
            <w:r>
              <w:t>4</w:t>
            </w:r>
          </w:p>
        </w:tc>
      </w:tr>
      <w:tr w:rsidR="00B22303" w:rsidRPr="008F5A70" w14:paraId="5A21A95C" w14:textId="7AEFA65B" w:rsidTr="00B22303">
        <w:tc>
          <w:tcPr>
            <w:tcW w:w="8359" w:type="dxa"/>
          </w:tcPr>
          <w:p w14:paraId="22FCDFC7" w14:textId="6E2ECB80" w:rsidR="00B22303" w:rsidRPr="00B22303" w:rsidRDefault="00B22303" w:rsidP="00B22303">
            <w:pPr>
              <w:spacing w:line="276" w:lineRule="auto"/>
            </w:pPr>
            <w:r w:rsidRPr="00B22303">
              <w:t>IMP Requirements</w:t>
            </w:r>
            <w:r>
              <w:t xml:space="preserve">  </w:t>
            </w:r>
          </w:p>
        </w:tc>
        <w:tc>
          <w:tcPr>
            <w:tcW w:w="660" w:type="dxa"/>
          </w:tcPr>
          <w:p w14:paraId="56CDF8FA" w14:textId="7DFE719D" w:rsidR="00B22303" w:rsidRPr="00B22303" w:rsidRDefault="00B22303" w:rsidP="00B22303">
            <w:pPr>
              <w:jc w:val="right"/>
            </w:pPr>
            <w:r>
              <w:t>5</w:t>
            </w:r>
          </w:p>
        </w:tc>
      </w:tr>
      <w:tr w:rsidR="00B22303" w:rsidRPr="008F5A70" w14:paraId="21C34EFE" w14:textId="36D57BD8" w:rsidTr="00B22303">
        <w:tc>
          <w:tcPr>
            <w:tcW w:w="8359" w:type="dxa"/>
          </w:tcPr>
          <w:p w14:paraId="586B26FB" w14:textId="1441D37B" w:rsidR="00B22303" w:rsidRPr="00B22303" w:rsidRDefault="00B22303" w:rsidP="00B22303">
            <w:pPr>
              <w:spacing w:line="276" w:lineRule="auto"/>
            </w:pPr>
            <w:r w:rsidRPr="00B22303">
              <w:t>Certification, Qualifications, Competencies Training and Policy Requirements</w:t>
            </w:r>
            <w:r>
              <w:t xml:space="preserve">  </w:t>
            </w:r>
          </w:p>
        </w:tc>
        <w:tc>
          <w:tcPr>
            <w:tcW w:w="660" w:type="dxa"/>
          </w:tcPr>
          <w:p w14:paraId="36FCCBF6" w14:textId="25598F12" w:rsidR="00B22303" w:rsidRPr="00B22303" w:rsidRDefault="00B22303" w:rsidP="00B22303">
            <w:pPr>
              <w:jc w:val="right"/>
            </w:pPr>
            <w:r>
              <w:t>6</w:t>
            </w:r>
          </w:p>
        </w:tc>
      </w:tr>
      <w:tr w:rsidR="00B22303" w:rsidRPr="008F5A70" w14:paraId="6A2A300A" w14:textId="1B296294" w:rsidTr="00B22303">
        <w:tc>
          <w:tcPr>
            <w:tcW w:w="8359" w:type="dxa"/>
          </w:tcPr>
          <w:p w14:paraId="5CBA17A6" w14:textId="322B5B10" w:rsidR="00B22303" w:rsidRPr="00B22303" w:rsidRDefault="00B22303" w:rsidP="00B22303">
            <w:pPr>
              <w:spacing w:line="276" w:lineRule="auto"/>
            </w:pPr>
            <w:r w:rsidRPr="00B22303">
              <w:t>Trial Summary</w:t>
            </w:r>
          </w:p>
        </w:tc>
        <w:tc>
          <w:tcPr>
            <w:tcW w:w="660" w:type="dxa"/>
          </w:tcPr>
          <w:p w14:paraId="1DB782D0" w14:textId="77D262E7" w:rsidR="00B22303" w:rsidRPr="00B22303" w:rsidRDefault="00B22303" w:rsidP="00B22303">
            <w:pPr>
              <w:jc w:val="right"/>
            </w:pPr>
            <w:r>
              <w:t>6</w:t>
            </w:r>
          </w:p>
        </w:tc>
      </w:tr>
      <w:tr w:rsidR="00B22303" w:rsidRPr="008F5A70" w14:paraId="66D4F6AC" w14:textId="24221E23" w:rsidTr="00B22303">
        <w:tc>
          <w:tcPr>
            <w:tcW w:w="8359" w:type="dxa"/>
          </w:tcPr>
          <w:p w14:paraId="6F81EFAF" w14:textId="44514416" w:rsidR="00B22303" w:rsidRPr="00B22303" w:rsidRDefault="00B22303" w:rsidP="00B22303">
            <w:pPr>
              <w:spacing w:line="276" w:lineRule="auto"/>
            </w:pPr>
            <w:r w:rsidRPr="00B22303">
              <w:t>Purchase or Production of IMP and Placebo</w:t>
            </w:r>
          </w:p>
        </w:tc>
        <w:tc>
          <w:tcPr>
            <w:tcW w:w="660" w:type="dxa"/>
          </w:tcPr>
          <w:p w14:paraId="4BEADD83" w14:textId="5D292F0D" w:rsidR="00B22303" w:rsidRPr="00B22303" w:rsidRDefault="00B22303" w:rsidP="00B22303">
            <w:pPr>
              <w:jc w:val="right"/>
            </w:pPr>
            <w:r>
              <w:t>7</w:t>
            </w:r>
          </w:p>
        </w:tc>
      </w:tr>
      <w:tr w:rsidR="00B22303" w:rsidRPr="008F5A70" w14:paraId="35DF7A60" w14:textId="0C40B84B" w:rsidTr="00B22303">
        <w:tc>
          <w:tcPr>
            <w:tcW w:w="8359" w:type="dxa"/>
          </w:tcPr>
          <w:p w14:paraId="1308061E" w14:textId="7CADE092" w:rsidR="00B22303" w:rsidRPr="00B22303" w:rsidRDefault="00B22303" w:rsidP="00B22303">
            <w:pPr>
              <w:spacing w:line="276" w:lineRule="auto"/>
            </w:pPr>
            <w:r w:rsidRPr="00B22303">
              <w:t>Storage</w:t>
            </w:r>
          </w:p>
        </w:tc>
        <w:tc>
          <w:tcPr>
            <w:tcW w:w="660" w:type="dxa"/>
          </w:tcPr>
          <w:p w14:paraId="29EAD696" w14:textId="0FFEFEBC" w:rsidR="00B22303" w:rsidRPr="00B22303" w:rsidRDefault="00B22303" w:rsidP="00B22303">
            <w:pPr>
              <w:jc w:val="right"/>
            </w:pPr>
            <w:r>
              <w:t>7</w:t>
            </w:r>
          </w:p>
        </w:tc>
      </w:tr>
      <w:tr w:rsidR="00B22303" w:rsidRPr="008F5A70" w14:paraId="4D6FA04F" w14:textId="3136FAF4" w:rsidTr="00B22303">
        <w:tc>
          <w:tcPr>
            <w:tcW w:w="8359" w:type="dxa"/>
          </w:tcPr>
          <w:p w14:paraId="596687AB" w14:textId="358D466A" w:rsidR="00B22303" w:rsidRPr="00B22303" w:rsidRDefault="00B22303" w:rsidP="00B22303">
            <w:pPr>
              <w:spacing w:line="276" w:lineRule="auto"/>
            </w:pPr>
            <w:r w:rsidRPr="00B22303">
              <w:t>Packaging for the blinded trial</w:t>
            </w:r>
          </w:p>
        </w:tc>
        <w:tc>
          <w:tcPr>
            <w:tcW w:w="660" w:type="dxa"/>
          </w:tcPr>
          <w:p w14:paraId="254640E7" w14:textId="447F332F" w:rsidR="00B22303" w:rsidRPr="00B22303" w:rsidRDefault="00B22303" w:rsidP="00B22303">
            <w:pPr>
              <w:jc w:val="right"/>
            </w:pPr>
            <w:r>
              <w:t>8</w:t>
            </w:r>
          </w:p>
        </w:tc>
      </w:tr>
      <w:tr w:rsidR="00B22303" w:rsidRPr="008F5A70" w14:paraId="592CBCA2" w14:textId="1334A4BA" w:rsidTr="00B22303">
        <w:tc>
          <w:tcPr>
            <w:tcW w:w="8359" w:type="dxa"/>
          </w:tcPr>
          <w:p w14:paraId="1AA8CF7D" w14:textId="09DFA645" w:rsidR="00B22303" w:rsidRPr="00B22303" w:rsidRDefault="00B22303" w:rsidP="00B22303">
            <w:pPr>
              <w:spacing w:line="276" w:lineRule="auto"/>
            </w:pPr>
            <w:r w:rsidRPr="00B22303">
              <w:t>Labelling</w:t>
            </w:r>
          </w:p>
        </w:tc>
        <w:tc>
          <w:tcPr>
            <w:tcW w:w="660" w:type="dxa"/>
          </w:tcPr>
          <w:p w14:paraId="65A03FFF" w14:textId="5EDB7773" w:rsidR="00B22303" w:rsidRPr="00B22303" w:rsidRDefault="00B22303" w:rsidP="00B22303">
            <w:pPr>
              <w:jc w:val="right"/>
            </w:pPr>
            <w:r>
              <w:t>8</w:t>
            </w:r>
          </w:p>
        </w:tc>
      </w:tr>
      <w:tr w:rsidR="00B22303" w:rsidRPr="008F5A70" w14:paraId="4CF2EA12" w14:textId="4FC3FDF7" w:rsidTr="00B22303">
        <w:tc>
          <w:tcPr>
            <w:tcW w:w="8359" w:type="dxa"/>
          </w:tcPr>
          <w:p w14:paraId="244D84F8" w14:textId="63FA528C" w:rsidR="00B22303" w:rsidRPr="00B22303" w:rsidRDefault="00B22303" w:rsidP="00B22303">
            <w:pPr>
              <w:spacing w:line="276" w:lineRule="auto"/>
            </w:pPr>
            <w:r w:rsidRPr="00B22303">
              <w:t>Qualified Person (QP) Release</w:t>
            </w:r>
          </w:p>
        </w:tc>
        <w:tc>
          <w:tcPr>
            <w:tcW w:w="660" w:type="dxa"/>
          </w:tcPr>
          <w:p w14:paraId="2CF2CEE3" w14:textId="24826DC4" w:rsidR="00B22303" w:rsidRPr="00B22303" w:rsidRDefault="00B22303" w:rsidP="00B22303">
            <w:pPr>
              <w:jc w:val="right"/>
            </w:pPr>
            <w:r>
              <w:t>9</w:t>
            </w:r>
          </w:p>
        </w:tc>
      </w:tr>
      <w:tr w:rsidR="00B22303" w:rsidRPr="008F5A70" w14:paraId="171324C2" w14:textId="79F7B25A" w:rsidTr="00B22303">
        <w:tc>
          <w:tcPr>
            <w:tcW w:w="8359" w:type="dxa"/>
          </w:tcPr>
          <w:p w14:paraId="1E0A956C" w14:textId="153DA884" w:rsidR="00B22303" w:rsidRPr="00B22303" w:rsidRDefault="00B22303" w:rsidP="00B22303">
            <w:pPr>
              <w:spacing w:line="276" w:lineRule="auto"/>
            </w:pPr>
            <w:r w:rsidRPr="00B22303">
              <w:t>Distribution</w:t>
            </w:r>
          </w:p>
        </w:tc>
        <w:tc>
          <w:tcPr>
            <w:tcW w:w="660" w:type="dxa"/>
          </w:tcPr>
          <w:p w14:paraId="2E82295F" w14:textId="3AB9BCC3" w:rsidR="00B22303" w:rsidRPr="00B22303" w:rsidRDefault="00B22303" w:rsidP="00B22303">
            <w:pPr>
              <w:jc w:val="right"/>
            </w:pPr>
            <w:r>
              <w:t>9</w:t>
            </w:r>
          </w:p>
        </w:tc>
      </w:tr>
      <w:tr w:rsidR="00B22303" w:rsidRPr="008F5A70" w14:paraId="47963E8E" w14:textId="5279F2F5" w:rsidTr="00B22303">
        <w:tc>
          <w:tcPr>
            <w:tcW w:w="8359" w:type="dxa"/>
          </w:tcPr>
          <w:p w14:paraId="5475D5C1" w14:textId="797699C1" w:rsidR="00B22303" w:rsidRPr="00B22303" w:rsidRDefault="00B22303" w:rsidP="00B22303">
            <w:pPr>
              <w:spacing w:line="276" w:lineRule="auto"/>
            </w:pPr>
            <w:r w:rsidRPr="00B22303">
              <w:t>Performance Standards</w:t>
            </w:r>
          </w:p>
        </w:tc>
        <w:tc>
          <w:tcPr>
            <w:tcW w:w="660" w:type="dxa"/>
          </w:tcPr>
          <w:p w14:paraId="2B6A8BDA" w14:textId="38E41D90" w:rsidR="00B22303" w:rsidRPr="00B22303" w:rsidRDefault="00B22303" w:rsidP="00B22303">
            <w:pPr>
              <w:jc w:val="right"/>
            </w:pPr>
            <w:r>
              <w:t>10</w:t>
            </w:r>
          </w:p>
        </w:tc>
      </w:tr>
      <w:tr w:rsidR="00B22303" w:rsidRPr="008F5A70" w14:paraId="6A2B9202" w14:textId="318404C9" w:rsidTr="00B22303">
        <w:tc>
          <w:tcPr>
            <w:tcW w:w="8359" w:type="dxa"/>
          </w:tcPr>
          <w:p w14:paraId="69EAA793" w14:textId="55F57E18" w:rsidR="00B22303" w:rsidRPr="00B22303" w:rsidRDefault="00B22303" w:rsidP="00B22303">
            <w:pPr>
              <w:spacing w:line="276" w:lineRule="auto"/>
            </w:pPr>
            <w:r w:rsidRPr="00B22303">
              <w:t xml:space="preserve">Performance and Contract Management </w:t>
            </w:r>
          </w:p>
        </w:tc>
        <w:tc>
          <w:tcPr>
            <w:tcW w:w="660" w:type="dxa"/>
          </w:tcPr>
          <w:p w14:paraId="30B85DA6" w14:textId="49FC60E3" w:rsidR="00B22303" w:rsidRPr="00B22303" w:rsidRDefault="00B22303" w:rsidP="00B22303">
            <w:pPr>
              <w:jc w:val="right"/>
            </w:pPr>
            <w:r>
              <w:t>11</w:t>
            </w:r>
          </w:p>
        </w:tc>
      </w:tr>
      <w:tr w:rsidR="00B22303" w:rsidRPr="008F5A70" w14:paraId="5BFF4922" w14:textId="2BED7FD9" w:rsidTr="00B22303">
        <w:tc>
          <w:tcPr>
            <w:tcW w:w="8359" w:type="dxa"/>
          </w:tcPr>
          <w:p w14:paraId="248D4E3D" w14:textId="45F337A9" w:rsidR="00B22303" w:rsidRPr="00B22303" w:rsidRDefault="00B22303" w:rsidP="00B22303">
            <w:pPr>
              <w:spacing w:line="276" w:lineRule="auto"/>
            </w:pPr>
            <w:r w:rsidRPr="00B22303">
              <w:t>Complaints Management</w:t>
            </w:r>
          </w:p>
        </w:tc>
        <w:tc>
          <w:tcPr>
            <w:tcW w:w="660" w:type="dxa"/>
          </w:tcPr>
          <w:p w14:paraId="514E79CE" w14:textId="79C44BE2" w:rsidR="00B22303" w:rsidRPr="00B22303" w:rsidRDefault="00B22303" w:rsidP="00B22303">
            <w:pPr>
              <w:jc w:val="right"/>
            </w:pPr>
            <w:r>
              <w:t>12</w:t>
            </w:r>
          </w:p>
        </w:tc>
      </w:tr>
    </w:tbl>
    <w:p w14:paraId="11C9E5A3" w14:textId="77777777" w:rsidR="008D374A" w:rsidRPr="008F5A70" w:rsidRDefault="008D374A">
      <w:pPr>
        <w:spacing w:after="200" w:line="259" w:lineRule="auto"/>
        <w:jc w:val="center"/>
        <w:rPr>
          <w:rFonts w:eastAsia="Gill Sans"/>
          <w:color w:val="5C068C"/>
          <w:sz w:val="20"/>
          <w:szCs w:val="20"/>
        </w:rPr>
      </w:pPr>
    </w:p>
    <w:p w14:paraId="097B4C60" w14:textId="77777777" w:rsidR="008D374A" w:rsidRPr="008F5A70" w:rsidRDefault="008D374A">
      <w:pPr>
        <w:rPr>
          <w:sz w:val="20"/>
          <w:szCs w:val="20"/>
        </w:rPr>
      </w:pPr>
    </w:p>
    <w:p w14:paraId="5A2DAE27" w14:textId="77777777" w:rsidR="008D374A" w:rsidRPr="008F5A70" w:rsidRDefault="008D374A">
      <w:pPr>
        <w:spacing w:line="240" w:lineRule="auto"/>
        <w:jc w:val="right"/>
        <w:rPr>
          <w:rFonts w:eastAsia="Gill Sans"/>
          <w:b/>
          <w:color w:val="5C068C"/>
          <w:sz w:val="20"/>
          <w:szCs w:val="20"/>
        </w:rPr>
      </w:pPr>
    </w:p>
    <w:p w14:paraId="61CF4CF6" w14:textId="77777777" w:rsidR="008D374A" w:rsidRPr="008F5A70" w:rsidRDefault="008D374A">
      <w:pPr>
        <w:spacing w:line="360" w:lineRule="auto"/>
        <w:ind w:left="1985" w:hanging="1276"/>
        <w:rPr>
          <w:rFonts w:eastAsia="Gill Sans"/>
          <w:color w:val="5C068C"/>
          <w:sz w:val="20"/>
          <w:szCs w:val="20"/>
          <w:highlight w:val="yellow"/>
        </w:rPr>
      </w:pPr>
    </w:p>
    <w:p w14:paraId="68C86663" w14:textId="77777777" w:rsidR="008D374A" w:rsidRPr="008F5A70" w:rsidRDefault="008D374A">
      <w:pPr>
        <w:rPr>
          <w:sz w:val="20"/>
          <w:szCs w:val="20"/>
        </w:rPr>
      </w:pPr>
    </w:p>
    <w:p w14:paraId="6B0CC8D1" w14:textId="77777777" w:rsidR="008D374A" w:rsidRPr="008F5A70" w:rsidRDefault="008D374A">
      <w:pPr>
        <w:rPr>
          <w:sz w:val="20"/>
          <w:szCs w:val="20"/>
        </w:rPr>
      </w:pPr>
    </w:p>
    <w:p w14:paraId="6480E67F" w14:textId="77777777" w:rsidR="008D374A" w:rsidRPr="008F5A70" w:rsidRDefault="008D374A">
      <w:pPr>
        <w:rPr>
          <w:sz w:val="20"/>
          <w:szCs w:val="20"/>
        </w:rPr>
      </w:pPr>
    </w:p>
    <w:p w14:paraId="4017779E" w14:textId="77777777" w:rsidR="008D374A" w:rsidRPr="008F5A70" w:rsidRDefault="008D374A">
      <w:pPr>
        <w:rPr>
          <w:sz w:val="20"/>
          <w:szCs w:val="20"/>
        </w:rPr>
      </w:pPr>
    </w:p>
    <w:p w14:paraId="5F54CE4D" w14:textId="77777777" w:rsidR="008D374A" w:rsidRPr="008F5A70" w:rsidRDefault="008D374A">
      <w:pPr>
        <w:rPr>
          <w:sz w:val="20"/>
          <w:szCs w:val="20"/>
        </w:rPr>
      </w:pPr>
    </w:p>
    <w:p w14:paraId="537B3B02" w14:textId="77777777" w:rsidR="008D374A" w:rsidRPr="008F5A70" w:rsidRDefault="008D374A">
      <w:pPr>
        <w:rPr>
          <w:sz w:val="20"/>
          <w:szCs w:val="20"/>
        </w:rPr>
      </w:pPr>
    </w:p>
    <w:p w14:paraId="3993B02A" w14:textId="77777777" w:rsidR="008D374A" w:rsidRPr="008F5A70" w:rsidRDefault="008D374A">
      <w:pPr>
        <w:rPr>
          <w:sz w:val="20"/>
          <w:szCs w:val="20"/>
        </w:rPr>
      </w:pPr>
    </w:p>
    <w:p w14:paraId="71DA1F6F" w14:textId="77777777" w:rsidR="008D374A" w:rsidRPr="008F5A70" w:rsidRDefault="008D374A">
      <w:pPr>
        <w:rPr>
          <w:sz w:val="20"/>
          <w:szCs w:val="20"/>
        </w:rPr>
      </w:pPr>
    </w:p>
    <w:p w14:paraId="57F4DFE8" w14:textId="77777777" w:rsidR="008D374A" w:rsidRPr="008F5A70" w:rsidRDefault="008D374A">
      <w:pPr>
        <w:rPr>
          <w:sz w:val="20"/>
          <w:szCs w:val="20"/>
        </w:rPr>
      </w:pPr>
    </w:p>
    <w:p w14:paraId="683EA76A" w14:textId="77777777" w:rsidR="008D374A" w:rsidRPr="008F5A70" w:rsidRDefault="008D374A">
      <w:pPr>
        <w:rPr>
          <w:sz w:val="20"/>
          <w:szCs w:val="20"/>
        </w:rPr>
      </w:pPr>
    </w:p>
    <w:p w14:paraId="46A96912" w14:textId="77777777" w:rsidR="008D374A" w:rsidRPr="008F5A70" w:rsidRDefault="008D374A">
      <w:pPr>
        <w:rPr>
          <w:sz w:val="20"/>
          <w:szCs w:val="20"/>
        </w:rPr>
      </w:pPr>
    </w:p>
    <w:p w14:paraId="6C30B007" w14:textId="77777777" w:rsidR="008D374A" w:rsidRPr="008F5A70" w:rsidRDefault="008D374A">
      <w:pPr>
        <w:rPr>
          <w:sz w:val="20"/>
          <w:szCs w:val="20"/>
        </w:rPr>
      </w:pPr>
    </w:p>
    <w:p w14:paraId="22DDEA3D" w14:textId="77777777" w:rsidR="008D374A" w:rsidRDefault="008D374A">
      <w:pPr>
        <w:rPr>
          <w:sz w:val="20"/>
          <w:szCs w:val="20"/>
        </w:rPr>
      </w:pPr>
    </w:p>
    <w:p w14:paraId="4E4DBBAF" w14:textId="77777777" w:rsidR="008F5A70" w:rsidRDefault="008F5A70">
      <w:pPr>
        <w:rPr>
          <w:sz w:val="20"/>
          <w:szCs w:val="20"/>
        </w:rPr>
      </w:pPr>
    </w:p>
    <w:p w14:paraId="2BCF44CC" w14:textId="77777777" w:rsidR="008F5A70" w:rsidRDefault="008F5A70">
      <w:pPr>
        <w:rPr>
          <w:sz w:val="20"/>
          <w:szCs w:val="20"/>
        </w:rPr>
      </w:pPr>
    </w:p>
    <w:p w14:paraId="1090588F" w14:textId="77777777" w:rsidR="008F5A70" w:rsidRDefault="008F5A70">
      <w:pPr>
        <w:rPr>
          <w:sz w:val="20"/>
          <w:szCs w:val="20"/>
        </w:rPr>
      </w:pPr>
    </w:p>
    <w:p w14:paraId="4331AB33" w14:textId="77777777" w:rsidR="008F5A70" w:rsidRDefault="008F5A70">
      <w:pPr>
        <w:rPr>
          <w:sz w:val="20"/>
          <w:szCs w:val="20"/>
        </w:rPr>
      </w:pPr>
    </w:p>
    <w:p w14:paraId="7D653D7E" w14:textId="77777777" w:rsidR="008F5A70" w:rsidRDefault="008F5A70">
      <w:pPr>
        <w:rPr>
          <w:sz w:val="20"/>
          <w:szCs w:val="20"/>
        </w:rPr>
      </w:pPr>
    </w:p>
    <w:p w14:paraId="63EA0AA3" w14:textId="77777777" w:rsidR="008F5A70" w:rsidRDefault="008F5A70">
      <w:pPr>
        <w:rPr>
          <w:sz w:val="20"/>
          <w:szCs w:val="20"/>
        </w:rPr>
      </w:pPr>
    </w:p>
    <w:p w14:paraId="36F07A17" w14:textId="77777777" w:rsidR="008F5A70" w:rsidRPr="008F5A70" w:rsidRDefault="008F5A70">
      <w:pPr>
        <w:rPr>
          <w:sz w:val="20"/>
          <w:szCs w:val="20"/>
        </w:rPr>
      </w:pPr>
    </w:p>
    <w:p w14:paraId="366FFD01" w14:textId="77777777" w:rsidR="008D374A" w:rsidRPr="008F5A70" w:rsidRDefault="008D374A">
      <w:pPr>
        <w:rPr>
          <w:sz w:val="20"/>
          <w:szCs w:val="20"/>
        </w:rPr>
      </w:pPr>
      <w:bookmarkStart w:id="0" w:name="_gjdgxs" w:colFirst="0" w:colLast="0"/>
      <w:bookmarkEnd w:id="0"/>
    </w:p>
    <w:p w14:paraId="0149D6D9" w14:textId="77777777" w:rsidR="008D374A" w:rsidRPr="008F5A70" w:rsidRDefault="008D374A">
      <w:pPr>
        <w:rPr>
          <w:sz w:val="20"/>
          <w:szCs w:val="20"/>
        </w:rPr>
      </w:pPr>
    </w:p>
    <w:p w14:paraId="08C40140" w14:textId="77777777" w:rsidR="008D374A" w:rsidRPr="008F5A70" w:rsidRDefault="008D374A">
      <w:pPr>
        <w:rPr>
          <w:sz w:val="20"/>
          <w:szCs w:val="20"/>
        </w:rPr>
      </w:pPr>
    </w:p>
    <w:p w14:paraId="7B9ADD31" w14:textId="77777777" w:rsidR="008F5A70" w:rsidRPr="008F5A70" w:rsidRDefault="008F5A70">
      <w:pPr>
        <w:rPr>
          <w:sz w:val="20"/>
          <w:szCs w:val="20"/>
        </w:rPr>
      </w:pPr>
    </w:p>
    <w:p w14:paraId="13A14412" w14:textId="77777777" w:rsidR="006457C8" w:rsidRPr="00F9741F" w:rsidRDefault="006457C8" w:rsidP="00F9741F">
      <w:pPr>
        <w:pStyle w:val="Heading5"/>
      </w:pPr>
      <w:r w:rsidRPr="00F9741F">
        <w:t>Trial Title</w:t>
      </w:r>
    </w:p>
    <w:p w14:paraId="2CBD2734" w14:textId="77777777" w:rsidR="006457C8" w:rsidRPr="006457C8" w:rsidRDefault="006457C8" w:rsidP="006457C8">
      <w:pPr>
        <w:rPr>
          <w:sz w:val="20"/>
          <w:szCs w:val="20"/>
        </w:rPr>
      </w:pPr>
      <w:r w:rsidRPr="006457C8">
        <w:rPr>
          <w:sz w:val="20"/>
          <w:szCs w:val="20"/>
        </w:rPr>
        <w:t>Implementation of Metformin therapy to Ease Decline of kidney function in Polycystic Kidney Disease (IMPEDE-PKD) Randomised Placebo-Controlled Trial (NIHR156614)</w:t>
      </w:r>
    </w:p>
    <w:p w14:paraId="6F95C65C" w14:textId="77777777" w:rsidR="006457C8" w:rsidRPr="006457C8" w:rsidRDefault="006457C8" w:rsidP="006457C8">
      <w:pPr>
        <w:rPr>
          <w:sz w:val="20"/>
          <w:szCs w:val="20"/>
        </w:rPr>
      </w:pPr>
    </w:p>
    <w:p w14:paraId="5FE7BAC5" w14:textId="77777777" w:rsidR="006457C8" w:rsidRPr="00F9741F" w:rsidRDefault="006457C8" w:rsidP="00F9741F">
      <w:pPr>
        <w:pStyle w:val="Heading5"/>
      </w:pPr>
      <w:r w:rsidRPr="00F9741F">
        <w:t>Trial Objectives</w:t>
      </w:r>
    </w:p>
    <w:p w14:paraId="57F50170" w14:textId="77777777" w:rsidR="006457C8" w:rsidRPr="006457C8" w:rsidRDefault="006457C8" w:rsidP="006457C8">
      <w:pPr>
        <w:rPr>
          <w:sz w:val="20"/>
          <w:szCs w:val="20"/>
        </w:rPr>
      </w:pPr>
      <w:r w:rsidRPr="006457C8">
        <w:rPr>
          <w:sz w:val="20"/>
          <w:szCs w:val="20"/>
        </w:rPr>
        <w:t>To evaluate the long-term efficacy of metformin therapy in slowing the rate of kidney function decline in metformin versus placebo treated autosomal dominant polycystic kidney disease participants.</w:t>
      </w:r>
    </w:p>
    <w:p w14:paraId="1812748E" w14:textId="77777777" w:rsidR="008D374A" w:rsidRPr="006457C8" w:rsidRDefault="008D374A">
      <w:pPr>
        <w:pBdr>
          <w:top w:val="nil"/>
          <w:left w:val="nil"/>
          <w:bottom w:val="nil"/>
          <w:right w:val="nil"/>
          <w:between w:val="nil"/>
        </w:pBdr>
        <w:spacing w:line="240" w:lineRule="auto"/>
        <w:jc w:val="both"/>
        <w:rPr>
          <w:rFonts w:eastAsia="Gill Sans"/>
          <w:color w:val="FF0000"/>
          <w:sz w:val="20"/>
          <w:szCs w:val="20"/>
        </w:rPr>
      </w:pPr>
    </w:p>
    <w:p w14:paraId="59BFDEDA" w14:textId="77777777" w:rsidR="006457C8" w:rsidRPr="006457C8" w:rsidRDefault="006457C8" w:rsidP="00F9741F">
      <w:pPr>
        <w:pStyle w:val="Heading5"/>
      </w:pPr>
      <w:bookmarkStart w:id="1" w:name="_Hlk171950772"/>
      <w:r w:rsidRPr="006457C8">
        <w:t>Sponsor</w:t>
      </w:r>
    </w:p>
    <w:bookmarkEnd w:id="1"/>
    <w:p w14:paraId="30D54496" w14:textId="77777777" w:rsidR="006457C8" w:rsidRPr="006457C8" w:rsidRDefault="006457C8" w:rsidP="006457C8">
      <w:pPr>
        <w:rPr>
          <w:sz w:val="20"/>
          <w:szCs w:val="20"/>
        </w:rPr>
      </w:pPr>
      <w:r w:rsidRPr="006457C8">
        <w:rPr>
          <w:sz w:val="20"/>
          <w:szCs w:val="20"/>
        </w:rPr>
        <w:t>Sheffield Teaching Hospitals (STH)</w:t>
      </w:r>
    </w:p>
    <w:p w14:paraId="00B4FDD8" w14:textId="77777777" w:rsidR="006457C8" w:rsidRPr="006457C8" w:rsidRDefault="006457C8" w:rsidP="006457C8">
      <w:pPr>
        <w:rPr>
          <w:sz w:val="20"/>
          <w:szCs w:val="20"/>
        </w:rPr>
      </w:pPr>
    </w:p>
    <w:p w14:paraId="3A7B08A8" w14:textId="77777777" w:rsidR="006457C8" w:rsidRPr="006457C8" w:rsidRDefault="006457C8" w:rsidP="00F9741F">
      <w:pPr>
        <w:pStyle w:val="Heading5"/>
      </w:pPr>
      <w:bookmarkStart w:id="2" w:name="_Hlk171950777"/>
      <w:r w:rsidRPr="006457C8">
        <w:t>Coordinating Centre</w:t>
      </w:r>
    </w:p>
    <w:bookmarkEnd w:id="2"/>
    <w:p w14:paraId="1D07EFEC" w14:textId="77777777" w:rsidR="006457C8" w:rsidRPr="006457C8" w:rsidRDefault="006457C8" w:rsidP="006457C8">
      <w:pPr>
        <w:spacing w:line="240" w:lineRule="auto"/>
        <w:rPr>
          <w:sz w:val="20"/>
          <w:szCs w:val="20"/>
        </w:rPr>
      </w:pPr>
      <w:r w:rsidRPr="006457C8">
        <w:rPr>
          <w:sz w:val="20"/>
          <w:szCs w:val="20"/>
        </w:rPr>
        <w:t>Norwich Clinical Trials Unit (NCTU)</w:t>
      </w:r>
    </w:p>
    <w:p w14:paraId="548BFC56" w14:textId="77777777" w:rsidR="006457C8" w:rsidRPr="006457C8" w:rsidRDefault="006457C8" w:rsidP="006457C8">
      <w:pPr>
        <w:rPr>
          <w:sz w:val="20"/>
          <w:szCs w:val="20"/>
        </w:rPr>
      </w:pPr>
    </w:p>
    <w:p w14:paraId="195C53A6" w14:textId="4940BB68" w:rsidR="006457C8" w:rsidRPr="006457C8" w:rsidRDefault="006457C8" w:rsidP="00F9741F">
      <w:pPr>
        <w:pStyle w:val="Heading5"/>
      </w:pPr>
      <w:bookmarkStart w:id="3" w:name="_Hlk171950785"/>
      <w:r w:rsidRPr="006457C8">
        <w:t>Tr</w:t>
      </w:r>
      <w:r w:rsidR="0068412E">
        <w:t>ia</w:t>
      </w:r>
      <w:r w:rsidRPr="006457C8">
        <w:t>l Design</w:t>
      </w:r>
    </w:p>
    <w:bookmarkEnd w:id="3"/>
    <w:p w14:paraId="0601CA12" w14:textId="77777777" w:rsidR="006457C8" w:rsidRPr="006457C8" w:rsidRDefault="006457C8" w:rsidP="006457C8">
      <w:pPr>
        <w:spacing w:line="240" w:lineRule="auto"/>
        <w:rPr>
          <w:sz w:val="20"/>
          <w:szCs w:val="20"/>
        </w:rPr>
      </w:pPr>
      <w:r w:rsidRPr="006457C8">
        <w:rPr>
          <w:sz w:val="20"/>
          <w:szCs w:val="20"/>
        </w:rPr>
        <w:t>Pragmatic, multi-centre, double-blind, parallel group randomised controlled trial of metformin versus placebo in ADPKD patients.</w:t>
      </w:r>
    </w:p>
    <w:p w14:paraId="0DB1C1F3" w14:textId="77777777" w:rsidR="006457C8" w:rsidRPr="006457C8" w:rsidRDefault="006457C8" w:rsidP="006457C8">
      <w:pPr>
        <w:rPr>
          <w:sz w:val="20"/>
          <w:szCs w:val="20"/>
        </w:rPr>
      </w:pPr>
    </w:p>
    <w:p w14:paraId="776A3D99" w14:textId="77777777" w:rsidR="006457C8" w:rsidRDefault="006457C8" w:rsidP="006457C8">
      <w:pPr>
        <w:rPr>
          <w:sz w:val="20"/>
          <w:szCs w:val="20"/>
        </w:rPr>
      </w:pPr>
    </w:p>
    <w:p w14:paraId="45CA1288" w14:textId="77777777" w:rsidR="00B22303" w:rsidRPr="006457C8" w:rsidRDefault="00B22303" w:rsidP="006457C8">
      <w:pPr>
        <w:rPr>
          <w:sz w:val="20"/>
          <w:szCs w:val="20"/>
        </w:rPr>
      </w:pPr>
    </w:p>
    <w:p w14:paraId="41CA0ADF" w14:textId="77777777" w:rsidR="006457C8" w:rsidRPr="006457C8" w:rsidRDefault="006457C8" w:rsidP="00F9741F">
      <w:pPr>
        <w:pStyle w:val="Heading5"/>
      </w:pPr>
      <w:bookmarkStart w:id="4" w:name="_Hlk171950790"/>
      <w:r w:rsidRPr="006457C8">
        <w:t>Participants</w:t>
      </w:r>
      <w:bookmarkEnd w:id="4"/>
    </w:p>
    <w:p w14:paraId="6B30A773" w14:textId="7F0FE340" w:rsidR="008D374A" w:rsidRPr="006457C8" w:rsidRDefault="006457C8" w:rsidP="006457C8">
      <w:pPr>
        <w:pBdr>
          <w:top w:val="nil"/>
          <w:left w:val="nil"/>
          <w:bottom w:val="nil"/>
          <w:right w:val="nil"/>
          <w:between w:val="nil"/>
        </w:pBdr>
        <w:spacing w:line="240" w:lineRule="auto"/>
        <w:jc w:val="both"/>
        <w:rPr>
          <w:rFonts w:eastAsia="Gill Sans"/>
          <w:color w:val="FF0000"/>
          <w:sz w:val="20"/>
          <w:szCs w:val="20"/>
        </w:rPr>
      </w:pPr>
      <w:r w:rsidRPr="006457C8">
        <w:rPr>
          <w:sz w:val="20"/>
          <w:szCs w:val="20"/>
        </w:rPr>
        <w:t>300 participants with Autosomal Dominant Polycystic Kidney Disease (ADPKD). These participants will be recruited from 35-40 NHS Trusts</w:t>
      </w:r>
    </w:p>
    <w:p w14:paraId="1D7413B2" w14:textId="77777777" w:rsidR="008D374A" w:rsidRPr="006457C8" w:rsidRDefault="008D374A">
      <w:pPr>
        <w:pBdr>
          <w:top w:val="nil"/>
          <w:left w:val="nil"/>
          <w:bottom w:val="nil"/>
          <w:right w:val="nil"/>
          <w:between w:val="nil"/>
        </w:pBdr>
        <w:spacing w:line="240" w:lineRule="auto"/>
        <w:jc w:val="both"/>
        <w:rPr>
          <w:rFonts w:eastAsia="Gill Sans"/>
          <w:color w:val="FF0000"/>
          <w:sz w:val="20"/>
          <w:szCs w:val="20"/>
        </w:rPr>
      </w:pPr>
    </w:p>
    <w:p w14:paraId="58B35631" w14:textId="77777777" w:rsidR="006457C8" w:rsidRPr="006457C8" w:rsidRDefault="006457C8" w:rsidP="00F9741F">
      <w:pPr>
        <w:pStyle w:val="Heading5"/>
      </w:pPr>
      <w:bookmarkStart w:id="5" w:name="_Hlk171950797"/>
      <w:r w:rsidRPr="006457C8">
        <w:lastRenderedPageBreak/>
        <w:t>Interventions</w:t>
      </w:r>
    </w:p>
    <w:bookmarkEnd w:id="5"/>
    <w:p w14:paraId="72FE8451" w14:textId="77777777" w:rsidR="006457C8" w:rsidRPr="006457C8" w:rsidRDefault="006457C8" w:rsidP="006457C8">
      <w:pPr>
        <w:spacing w:line="240" w:lineRule="auto"/>
        <w:rPr>
          <w:sz w:val="20"/>
          <w:szCs w:val="20"/>
        </w:rPr>
      </w:pPr>
      <w:r w:rsidRPr="006457C8">
        <w:rPr>
          <w:sz w:val="20"/>
          <w:szCs w:val="20"/>
        </w:rPr>
        <w:t>Participants randomised to the interventional arm will receive a once daily extended release (ER) metformin preparation between 1000mg-2000mg based on the maximum dose tolerated. ER preparations have slower gastric absorption, reaching peak plasma concentrations at 7 hours (IR preparations = 3 hours). They are therefore associated with reduced gastrointestinal symptoms and coupled with once daily administration this provides improved compliance.</w:t>
      </w:r>
    </w:p>
    <w:p w14:paraId="2927148F" w14:textId="77777777" w:rsidR="006457C8" w:rsidRPr="006457C8" w:rsidRDefault="006457C8" w:rsidP="006457C8">
      <w:pPr>
        <w:spacing w:line="240" w:lineRule="auto"/>
        <w:rPr>
          <w:sz w:val="20"/>
          <w:szCs w:val="20"/>
        </w:rPr>
      </w:pPr>
    </w:p>
    <w:p w14:paraId="5B4C729C" w14:textId="77777777" w:rsidR="006457C8" w:rsidRPr="006457C8" w:rsidRDefault="006457C8" w:rsidP="006457C8">
      <w:pPr>
        <w:spacing w:line="240" w:lineRule="auto"/>
        <w:rPr>
          <w:sz w:val="20"/>
          <w:szCs w:val="20"/>
        </w:rPr>
      </w:pPr>
      <w:r w:rsidRPr="006457C8">
        <w:rPr>
          <w:sz w:val="20"/>
          <w:szCs w:val="20"/>
        </w:rPr>
        <w:t>Participants randomised to the control arm will receive a matched placebo.</w:t>
      </w:r>
    </w:p>
    <w:p w14:paraId="1ED5C183" w14:textId="77777777" w:rsidR="006457C8" w:rsidRPr="006457C8" w:rsidRDefault="006457C8" w:rsidP="006457C8">
      <w:pPr>
        <w:spacing w:line="240" w:lineRule="auto"/>
        <w:rPr>
          <w:sz w:val="20"/>
          <w:szCs w:val="20"/>
        </w:rPr>
      </w:pPr>
    </w:p>
    <w:p w14:paraId="096D7537" w14:textId="77777777" w:rsidR="006457C8" w:rsidRPr="006457C8" w:rsidRDefault="006457C8" w:rsidP="006457C8">
      <w:pPr>
        <w:spacing w:line="240" w:lineRule="auto"/>
        <w:rPr>
          <w:sz w:val="20"/>
          <w:szCs w:val="20"/>
        </w:rPr>
      </w:pPr>
    </w:p>
    <w:p w14:paraId="4736826A" w14:textId="77777777" w:rsidR="006457C8" w:rsidRPr="006457C8" w:rsidRDefault="006457C8" w:rsidP="00F9741F">
      <w:pPr>
        <w:pStyle w:val="Heading5"/>
      </w:pPr>
      <w:bookmarkStart w:id="6" w:name="_Hlk171950806"/>
      <w:r w:rsidRPr="006457C8">
        <w:t>Randomisation</w:t>
      </w:r>
      <w:bookmarkEnd w:id="6"/>
    </w:p>
    <w:p w14:paraId="113608A2" w14:textId="77777777" w:rsidR="006457C8" w:rsidRPr="006457C8" w:rsidRDefault="006457C8" w:rsidP="006457C8">
      <w:pPr>
        <w:spacing w:line="240" w:lineRule="auto"/>
        <w:rPr>
          <w:sz w:val="20"/>
          <w:szCs w:val="20"/>
        </w:rPr>
      </w:pPr>
      <w:r w:rsidRPr="006457C8">
        <w:rPr>
          <w:sz w:val="20"/>
          <w:szCs w:val="20"/>
        </w:rPr>
        <w:t>Randomisation will be performed by NCTU and the global sponsor and will allocate participants to either active Metformin arm or the matched placebo control (1:1)</w:t>
      </w:r>
    </w:p>
    <w:p w14:paraId="60F5E672" w14:textId="77777777" w:rsidR="006457C8" w:rsidRPr="006457C8" w:rsidRDefault="006457C8" w:rsidP="006457C8">
      <w:pPr>
        <w:spacing w:line="240" w:lineRule="auto"/>
        <w:rPr>
          <w:sz w:val="20"/>
          <w:szCs w:val="20"/>
        </w:rPr>
      </w:pPr>
    </w:p>
    <w:p w14:paraId="54969B13" w14:textId="77777777" w:rsidR="006457C8" w:rsidRPr="006457C8" w:rsidRDefault="006457C8" w:rsidP="006457C8">
      <w:pPr>
        <w:spacing w:line="240" w:lineRule="auto"/>
        <w:rPr>
          <w:sz w:val="20"/>
          <w:szCs w:val="20"/>
        </w:rPr>
      </w:pPr>
    </w:p>
    <w:p w14:paraId="30C804D1" w14:textId="77777777" w:rsidR="006457C8" w:rsidRPr="006457C8" w:rsidRDefault="006457C8" w:rsidP="00F9741F">
      <w:pPr>
        <w:pStyle w:val="Heading5"/>
      </w:pPr>
      <w:bookmarkStart w:id="7" w:name="_Hlk171950816"/>
      <w:r w:rsidRPr="006457C8">
        <w:t>Dose Titration</w:t>
      </w:r>
    </w:p>
    <w:bookmarkEnd w:id="7"/>
    <w:p w14:paraId="046D8266" w14:textId="77777777" w:rsidR="006457C8" w:rsidRPr="006457C8" w:rsidRDefault="006457C8" w:rsidP="006457C8">
      <w:pPr>
        <w:spacing w:line="240" w:lineRule="auto"/>
        <w:rPr>
          <w:sz w:val="20"/>
          <w:szCs w:val="20"/>
        </w:rPr>
      </w:pPr>
      <w:r w:rsidRPr="006457C8">
        <w:rPr>
          <w:sz w:val="20"/>
          <w:szCs w:val="20"/>
        </w:rPr>
        <w:t xml:space="preserve">All participants will undergo a 12-week metformin run-in, commencing 1000mg daily. This will be titrated up every 4 weeks to the maximum tolerated dose (not exceeding 2000mg). This process will happen before they start the double-blind trial.   </w:t>
      </w:r>
    </w:p>
    <w:p w14:paraId="78302691" w14:textId="77777777" w:rsidR="006457C8" w:rsidRPr="006457C8" w:rsidRDefault="006457C8" w:rsidP="006457C8">
      <w:pPr>
        <w:spacing w:line="240" w:lineRule="auto"/>
        <w:rPr>
          <w:sz w:val="20"/>
          <w:szCs w:val="20"/>
        </w:rPr>
      </w:pPr>
    </w:p>
    <w:p w14:paraId="2F2FA5F2" w14:textId="51FE13EC" w:rsidR="00B22303" w:rsidRDefault="006457C8" w:rsidP="006457C8">
      <w:pPr>
        <w:spacing w:line="240" w:lineRule="auto"/>
        <w:rPr>
          <w:sz w:val="20"/>
          <w:szCs w:val="20"/>
        </w:rPr>
      </w:pPr>
      <w:r w:rsidRPr="006457C8">
        <w:rPr>
          <w:sz w:val="20"/>
          <w:szCs w:val="20"/>
        </w:rPr>
        <w:t>NB this drug will be provided by local sites from hospital stock and use an Annex 13 exemption. As a result, the drug for the run-in phase has been excluded from the requirements in this bid.</w:t>
      </w:r>
    </w:p>
    <w:p w14:paraId="472C29DD" w14:textId="77777777" w:rsidR="00B22303" w:rsidRDefault="00B22303" w:rsidP="006457C8">
      <w:pPr>
        <w:spacing w:line="240" w:lineRule="auto"/>
        <w:rPr>
          <w:sz w:val="20"/>
          <w:szCs w:val="20"/>
        </w:rPr>
      </w:pPr>
    </w:p>
    <w:p w14:paraId="62A80DB9" w14:textId="77777777" w:rsidR="00B22303" w:rsidRDefault="00B22303" w:rsidP="006457C8">
      <w:pPr>
        <w:spacing w:line="240" w:lineRule="auto"/>
        <w:rPr>
          <w:sz w:val="20"/>
          <w:szCs w:val="20"/>
        </w:rPr>
      </w:pPr>
    </w:p>
    <w:p w14:paraId="3C7C13C0" w14:textId="77777777" w:rsidR="00B22303" w:rsidRDefault="00B22303" w:rsidP="006457C8">
      <w:pPr>
        <w:spacing w:line="240" w:lineRule="auto"/>
        <w:rPr>
          <w:sz w:val="20"/>
          <w:szCs w:val="20"/>
        </w:rPr>
      </w:pPr>
    </w:p>
    <w:p w14:paraId="6C67D3DA" w14:textId="77777777" w:rsidR="00B22303" w:rsidRDefault="00B22303" w:rsidP="006457C8">
      <w:pPr>
        <w:spacing w:line="240" w:lineRule="auto"/>
        <w:rPr>
          <w:sz w:val="20"/>
          <w:szCs w:val="20"/>
        </w:rPr>
      </w:pPr>
    </w:p>
    <w:p w14:paraId="7047887E" w14:textId="77777777" w:rsidR="00B22303" w:rsidRDefault="00B22303" w:rsidP="006457C8">
      <w:pPr>
        <w:spacing w:line="240" w:lineRule="auto"/>
        <w:rPr>
          <w:sz w:val="20"/>
          <w:szCs w:val="20"/>
        </w:rPr>
      </w:pPr>
    </w:p>
    <w:p w14:paraId="1FB379AC" w14:textId="77777777" w:rsidR="00B22303" w:rsidRDefault="00B22303" w:rsidP="006457C8">
      <w:pPr>
        <w:spacing w:line="240" w:lineRule="auto"/>
        <w:rPr>
          <w:sz w:val="20"/>
          <w:szCs w:val="20"/>
        </w:rPr>
      </w:pPr>
    </w:p>
    <w:p w14:paraId="5B57C569" w14:textId="77777777" w:rsidR="00B22303" w:rsidRDefault="00B22303" w:rsidP="006457C8">
      <w:pPr>
        <w:spacing w:line="240" w:lineRule="auto"/>
        <w:rPr>
          <w:sz w:val="20"/>
          <w:szCs w:val="20"/>
        </w:rPr>
      </w:pPr>
    </w:p>
    <w:p w14:paraId="31C86653" w14:textId="77777777" w:rsidR="00B22303" w:rsidRDefault="00B22303" w:rsidP="006457C8">
      <w:pPr>
        <w:spacing w:line="240" w:lineRule="auto"/>
        <w:rPr>
          <w:sz w:val="20"/>
          <w:szCs w:val="20"/>
        </w:rPr>
      </w:pPr>
    </w:p>
    <w:p w14:paraId="556059A8" w14:textId="77777777" w:rsidR="00B22303" w:rsidRDefault="00B22303" w:rsidP="006457C8">
      <w:pPr>
        <w:spacing w:line="240" w:lineRule="auto"/>
        <w:rPr>
          <w:sz w:val="20"/>
          <w:szCs w:val="20"/>
        </w:rPr>
      </w:pPr>
    </w:p>
    <w:p w14:paraId="2D4BD68C" w14:textId="77777777" w:rsidR="00B22303" w:rsidRDefault="00B22303" w:rsidP="006457C8">
      <w:pPr>
        <w:spacing w:line="240" w:lineRule="auto"/>
        <w:rPr>
          <w:sz w:val="20"/>
          <w:szCs w:val="20"/>
        </w:rPr>
      </w:pPr>
    </w:p>
    <w:p w14:paraId="3389ADAA" w14:textId="77777777" w:rsidR="00B22303" w:rsidRDefault="00B22303" w:rsidP="006457C8">
      <w:pPr>
        <w:spacing w:line="240" w:lineRule="auto"/>
        <w:rPr>
          <w:sz w:val="20"/>
          <w:szCs w:val="20"/>
        </w:rPr>
      </w:pPr>
    </w:p>
    <w:p w14:paraId="11E56353" w14:textId="77777777" w:rsidR="007B67F1" w:rsidRDefault="007B67F1" w:rsidP="006457C8">
      <w:pPr>
        <w:spacing w:line="240" w:lineRule="auto"/>
        <w:rPr>
          <w:sz w:val="20"/>
          <w:szCs w:val="20"/>
        </w:rPr>
      </w:pPr>
    </w:p>
    <w:p w14:paraId="71711241" w14:textId="77777777" w:rsidR="007B67F1" w:rsidRDefault="007B67F1" w:rsidP="006457C8">
      <w:pPr>
        <w:spacing w:line="240" w:lineRule="auto"/>
        <w:rPr>
          <w:sz w:val="20"/>
          <w:szCs w:val="20"/>
        </w:rPr>
      </w:pPr>
    </w:p>
    <w:p w14:paraId="4AD062A5" w14:textId="77777777" w:rsidR="007B67F1" w:rsidRDefault="007B67F1" w:rsidP="006457C8">
      <w:pPr>
        <w:spacing w:line="240" w:lineRule="auto"/>
        <w:rPr>
          <w:sz w:val="20"/>
          <w:szCs w:val="20"/>
        </w:rPr>
      </w:pPr>
    </w:p>
    <w:p w14:paraId="3D865B41" w14:textId="77777777" w:rsidR="007B67F1" w:rsidRDefault="007B67F1" w:rsidP="006457C8">
      <w:pPr>
        <w:spacing w:line="240" w:lineRule="auto"/>
        <w:rPr>
          <w:sz w:val="20"/>
          <w:szCs w:val="20"/>
        </w:rPr>
      </w:pPr>
    </w:p>
    <w:p w14:paraId="309D6AFF" w14:textId="77777777" w:rsidR="007B67F1" w:rsidRDefault="007B67F1" w:rsidP="006457C8">
      <w:pPr>
        <w:spacing w:line="240" w:lineRule="auto"/>
        <w:rPr>
          <w:sz w:val="20"/>
          <w:szCs w:val="20"/>
        </w:rPr>
      </w:pPr>
    </w:p>
    <w:p w14:paraId="07AFDD79" w14:textId="77777777" w:rsidR="007B67F1" w:rsidRDefault="007B67F1" w:rsidP="006457C8">
      <w:pPr>
        <w:spacing w:line="240" w:lineRule="auto"/>
        <w:rPr>
          <w:sz w:val="20"/>
          <w:szCs w:val="20"/>
        </w:rPr>
      </w:pPr>
    </w:p>
    <w:p w14:paraId="57F172B8" w14:textId="77777777" w:rsidR="00B22303" w:rsidRDefault="00B22303" w:rsidP="006457C8">
      <w:pPr>
        <w:spacing w:line="240" w:lineRule="auto"/>
        <w:rPr>
          <w:sz w:val="20"/>
          <w:szCs w:val="20"/>
        </w:rPr>
      </w:pPr>
    </w:p>
    <w:p w14:paraId="54054FF8" w14:textId="77777777" w:rsidR="00B22303" w:rsidRDefault="00B22303" w:rsidP="006457C8">
      <w:pPr>
        <w:spacing w:line="240" w:lineRule="auto"/>
        <w:rPr>
          <w:sz w:val="20"/>
          <w:szCs w:val="20"/>
        </w:rPr>
      </w:pPr>
    </w:p>
    <w:p w14:paraId="4098DA79" w14:textId="77777777" w:rsidR="00B22303" w:rsidRDefault="00B22303" w:rsidP="006457C8">
      <w:pPr>
        <w:spacing w:line="240" w:lineRule="auto"/>
        <w:rPr>
          <w:sz w:val="20"/>
          <w:szCs w:val="20"/>
        </w:rPr>
      </w:pPr>
    </w:p>
    <w:p w14:paraId="47F9A1E2" w14:textId="77777777" w:rsidR="00B22303" w:rsidRDefault="00B22303" w:rsidP="006457C8">
      <w:pPr>
        <w:spacing w:line="240" w:lineRule="auto"/>
        <w:rPr>
          <w:sz w:val="20"/>
          <w:szCs w:val="20"/>
        </w:rPr>
      </w:pPr>
    </w:p>
    <w:p w14:paraId="5624AAC2" w14:textId="77777777" w:rsidR="00B22303" w:rsidRDefault="00B22303" w:rsidP="006457C8">
      <w:pPr>
        <w:spacing w:line="240" w:lineRule="auto"/>
        <w:rPr>
          <w:sz w:val="20"/>
          <w:szCs w:val="20"/>
        </w:rPr>
      </w:pPr>
    </w:p>
    <w:p w14:paraId="397A0996" w14:textId="77777777" w:rsidR="00055D84" w:rsidRPr="006457C8" w:rsidRDefault="00055D84" w:rsidP="006457C8">
      <w:pPr>
        <w:spacing w:line="240" w:lineRule="auto"/>
        <w:rPr>
          <w:sz w:val="20"/>
          <w:szCs w:val="20"/>
        </w:rPr>
      </w:pPr>
    </w:p>
    <w:p w14:paraId="60D39829" w14:textId="77777777" w:rsidR="006457C8" w:rsidRPr="006457C8" w:rsidRDefault="006457C8" w:rsidP="00F9741F">
      <w:pPr>
        <w:pStyle w:val="Heading5"/>
      </w:pPr>
      <w:bookmarkStart w:id="8" w:name="_Hlk171950824"/>
      <w:r w:rsidRPr="006457C8">
        <w:lastRenderedPageBreak/>
        <w:t>IMP Requirements</w:t>
      </w:r>
    </w:p>
    <w:bookmarkEnd w:id="8"/>
    <w:p w14:paraId="30814AF7"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Product:  Metformin XR 500mg tablets.</w:t>
      </w:r>
    </w:p>
    <w:p w14:paraId="6B25B90C"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Product: Placebo identical in appearance and packaging to the Metformin XR 500mg tablets.</w:t>
      </w:r>
    </w:p>
    <w:p w14:paraId="213900F7"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The contractor to purchase or manufacture Metformin XR 500mg tablets aiming for a shelf life of 2+ years.</w:t>
      </w:r>
    </w:p>
    <w:p w14:paraId="22E6C419" w14:textId="4C09B00A"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 xml:space="preserve">The Placebo tablets must have a </w:t>
      </w:r>
      <w:r w:rsidR="007B67F1" w:rsidRPr="006457C8">
        <w:rPr>
          <w:rFonts w:ascii="Arial" w:eastAsia="Times New Roman" w:hAnsi="Arial" w:cs="Arial"/>
          <w:sz w:val="20"/>
          <w:szCs w:val="20"/>
        </w:rPr>
        <w:t>shelf-life</w:t>
      </w:r>
      <w:r w:rsidRPr="006457C8">
        <w:rPr>
          <w:rFonts w:ascii="Arial" w:eastAsia="Times New Roman" w:hAnsi="Arial" w:cs="Arial"/>
          <w:sz w:val="20"/>
          <w:szCs w:val="20"/>
        </w:rPr>
        <w:t xml:space="preserve"> matching that of the Metformin XR 500mg tablets.</w:t>
      </w:r>
    </w:p>
    <w:p w14:paraId="09FDA7AF"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Daily Dose:  2000mg daily, target dose, minimum dose 1000mg daily in case of intolerance (assume that all patients will tolerate 2000mg daily)</w:t>
      </w:r>
    </w:p>
    <w:p w14:paraId="6316ABAE" w14:textId="77777777" w:rsidR="006457C8" w:rsidRPr="00E2788C"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 xml:space="preserve">Trial IMP to be available from </w:t>
      </w:r>
      <w:r w:rsidRPr="00E2788C">
        <w:rPr>
          <w:rFonts w:ascii="Arial" w:eastAsia="Times New Roman" w:hAnsi="Arial" w:cs="Arial"/>
          <w:sz w:val="20"/>
          <w:szCs w:val="20"/>
        </w:rPr>
        <w:t>01/10/2024 to 31/10/2028.</w:t>
      </w:r>
    </w:p>
    <w:p w14:paraId="77C51A82"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 xml:space="preserve">Recruitment period for participants 24 months (c. </w:t>
      </w:r>
      <w:r w:rsidRPr="00E2788C">
        <w:rPr>
          <w:rFonts w:ascii="Arial" w:eastAsia="Times New Roman" w:hAnsi="Arial" w:cs="Arial"/>
          <w:sz w:val="20"/>
          <w:szCs w:val="20"/>
        </w:rPr>
        <w:t>01/10/2024 – 31/10/2026</w:t>
      </w:r>
      <w:r w:rsidRPr="006457C8">
        <w:rPr>
          <w:rFonts w:ascii="Arial" w:eastAsia="Times New Roman" w:hAnsi="Arial" w:cs="Arial"/>
          <w:sz w:val="20"/>
          <w:szCs w:val="20"/>
        </w:rPr>
        <w:t>)</w:t>
      </w:r>
    </w:p>
    <w:p w14:paraId="5F96E76F"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 xml:space="preserve">Treatment length for each participant:  24 months (End of Treatment, last patient c. </w:t>
      </w:r>
      <w:r w:rsidRPr="00E2788C">
        <w:rPr>
          <w:rFonts w:ascii="Arial" w:eastAsia="Times New Roman" w:hAnsi="Arial" w:cs="Arial"/>
          <w:sz w:val="20"/>
          <w:szCs w:val="20"/>
        </w:rPr>
        <w:t>31/10/2028</w:t>
      </w:r>
      <w:r w:rsidRPr="006457C8">
        <w:rPr>
          <w:rFonts w:ascii="Arial" w:eastAsia="Times New Roman" w:hAnsi="Arial" w:cs="Arial"/>
          <w:sz w:val="20"/>
          <w:szCs w:val="20"/>
        </w:rPr>
        <w:t>)</w:t>
      </w:r>
    </w:p>
    <w:p w14:paraId="3B39710E"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Dispensing frequency: 6 monthly.</w:t>
      </w:r>
    </w:p>
    <w:p w14:paraId="25B2F6DC"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Pack size:  128 tablet bottles/blister packs packed into kits of 3 bottles/blister packs per kit.  Each participant will need 8 kits in total (24 bottles/blister packs)</w:t>
      </w:r>
    </w:p>
    <w:p w14:paraId="5DB5286B"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 xml:space="preserve">Number of participants in the UK:  300 randomised, recruitment period:  24 months.  =   1200 kits of placebo and 1200 kits of Metformin = 2400 kits plus necessary overage. </w:t>
      </w:r>
    </w:p>
    <w:p w14:paraId="09DC6A30"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 xml:space="preserve">Initial purchase will be for 20% of the total quantity of metformin and placebo. Future purchases dependent on the outcome of the internal pilot study. </w:t>
      </w:r>
    </w:p>
    <w:p w14:paraId="67E27AB1"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Number of sites: 35-40 UK sites proposed. Deliveries to be made direct to site pharmacies and to be covered by relevant temperature monitoring as appropriate for the product. Estimate 2 deliveries per site per production run.</w:t>
      </w:r>
    </w:p>
    <w:p w14:paraId="7689CE89"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Blinding:  Full blinding of IMP packs required. Packs to be identified with pack-specific IDs to allow pack allocation by an external globally managed IWRS system. </w:t>
      </w:r>
    </w:p>
    <w:p w14:paraId="1FC54FBD"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Simplified IMPD(s) and IMP labels required for regulatory submission during trial set up period and within 4 weeks of contract award.</w:t>
      </w:r>
    </w:p>
    <w:p w14:paraId="6F90C3C6" w14:textId="77777777"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eastAsia="Times New Roman" w:hAnsi="Arial" w:cs="Arial"/>
          <w:sz w:val="20"/>
          <w:szCs w:val="20"/>
        </w:rPr>
        <w:t>Minimum of 4 production runs (will depend on achievable shelf-life and taking into account a built-in stop/go milestone at the end of the internal pilot period).</w:t>
      </w:r>
    </w:p>
    <w:p w14:paraId="1FB37306" w14:textId="41461D8F" w:rsidR="006457C8" w:rsidRPr="006457C8" w:rsidRDefault="006457C8" w:rsidP="006457C8">
      <w:pPr>
        <w:pStyle w:val="ListParagraph"/>
        <w:numPr>
          <w:ilvl w:val="0"/>
          <w:numId w:val="9"/>
        </w:numPr>
        <w:spacing w:after="0" w:line="240" w:lineRule="auto"/>
        <w:contextualSpacing w:val="0"/>
        <w:rPr>
          <w:rFonts w:ascii="Arial" w:eastAsia="Times New Roman" w:hAnsi="Arial" w:cs="Arial"/>
          <w:sz w:val="20"/>
          <w:szCs w:val="20"/>
        </w:rPr>
      </w:pPr>
      <w:r w:rsidRPr="006457C8">
        <w:rPr>
          <w:rFonts w:ascii="Arial" w:hAnsi="Arial" w:cs="Arial"/>
          <w:sz w:val="20"/>
          <w:szCs w:val="20"/>
        </w:rPr>
        <w:t xml:space="preserve">If </w:t>
      </w:r>
      <w:r w:rsidR="0068412E">
        <w:rPr>
          <w:rFonts w:ascii="Arial" w:hAnsi="Arial" w:cs="Arial"/>
          <w:sz w:val="20"/>
          <w:szCs w:val="20"/>
        </w:rPr>
        <w:t>The bidder</w:t>
      </w:r>
      <w:r w:rsidRPr="006457C8">
        <w:rPr>
          <w:rFonts w:ascii="Arial" w:hAnsi="Arial" w:cs="Arial"/>
          <w:sz w:val="20"/>
          <w:szCs w:val="20"/>
        </w:rPr>
        <w:t xml:space="preserve"> plans to sub-contract any of the manufacturing services these must be expressly agreed in the contract or Technical Agreement with Sheffield Teaching Hospitals; and in any event the contractor shall remain responsible to Sheffield Teaching Hospitals at all times for the proper performance of the services by its sub-contractors.</w:t>
      </w:r>
    </w:p>
    <w:p w14:paraId="42507CD4" w14:textId="31BBBCC8" w:rsidR="006457C8" w:rsidRPr="00B22303" w:rsidRDefault="0068412E" w:rsidP="006457C8">
      <w:pPr>
        <w:pStyle w:val="ListParagraph"/>
        <w:numPr>
          <w:ilvl w:val="0"/>
          <w:numId w:val="9"/>
        </w:numPr>
        <w:spacing w:after="0" w:line="240" w:lineRule="auto"/>
        <w:contextualSpacing w:val="0"/>
        <w:rPr>
          <w:rFonts w:ascii="Arial" w:eastAsia="Times New Roman"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be able to produce data to support the shelf life of the placebo production and packaging within the timelines required by the project.</w:t>
      </w:r>
    </w:p>
    <w:p w14:paraId="3FC08767" w14:textId="77777777" w:rsidR="00B22303" w:rsidRDefault="00B22303" w:rsidP="00B22303">
      <w:pPr>
        <w:spacing w:line="240" w:lineRule="auto"/>
        <w:rPr>
          <w:rFonts w:eastAsia="Times New Roman"/>
          <w:sz w:val="20"/>
          <w:szCs w:val="20"/>
        </w:rPr>
      </w:pPr>
    </w:p>
    <w:p w14:paraId="7E81FD70" w14:textId="77777777" w:rsidR="00B22303" w:rsidRDefault="00B22303" w:rsidP="00B22303">
      <w:pPr>
        <w:spacing w:line="240" w:lineRule="auto"/>
        <w:rPr>
          <w:rFonts w:eastAsia="Times New Roman"/>
          <w:sz w:val="20"/>
          <w:szCs w:val="20"/>
        </w:rPr>
      </w:pPr>
    </w:p>
    <w:p w14:paraId="6D44A3B2" w14:textId="77777777" w:rsidR="00B22303" w:rsidRDefault="00B22303" w:rsidP="00B22303">
      <w:pPr>
        <w:spacing w:line="240" w:lineRule="auto"/>
        <w:rPr>
          <w:rFonts w:eastAsia="Times New Roman"/>
          <w:sz w:val="20"/>
          <w:szCs w:val="20"/>
        </w:rPr>
      </w:pPr>
    </w:p>
    <w:p w14:paraId="6F99F5FC" w14:textId="77777777" w:rsidR="00B22303" w:rsidRDefault="00B22303" w:rsidP="00B22303">
      <w:pPr>
        <w:spacing w:line="240" w:lineRule="auto"/>
        <w:rPr>
          <w:rFonts w:eastAsia="Times New Roman"/>
          <w:sz w:val="20"/>
          <w:szCs w:val="20"/>
        </w:rPr>
      </w:pPr>
    </w:p>
    <w:p w14:paraId="15A3014D" w14:textId="77777777" w:rsidR="00B22303" w:rsidRDefault="00B22303" w:rsidP="00B22303">
      <w:pPr>
        <w:spacing w:line="240" w:lineRule="auto"/>
        <w:rPr>
          <w:rFonts w:eastAsia="Times New Roman"/>
          <w:sz w:val="20"/>
          <w:szCs w:val="20"/>
        </w:rPr>
      </w:pPr>
    </w:p>
    <w:p w14:paraId="1EE13465" w14:textId="77777777" w:rsidR="00B22303" w:rsidRDefault="00B22303" w:rsidP="00B22303">
      <w:pPr>
        <w:spacing w:line="240" w:lineRule="auto"/>
        <w:rPr>
          <w:rFonts w:eastAsia="Times New Roman"/>
          <w:sz w:val="20"/>
          <w:szCs w:val="20"/>
        </w:rPr>
      </w:pPr>
    </w:p>
    <w:p w14:paraId="6561B742" w14:textId="77777777" w:rsidR="00B22303" w:rsidRDefault="00B22303" w:rsidP="00B22303">
      <w:pPr>
        <w:spacing w:line="240" w:lineRule="auto"/>
        <w:rPr>
          <w:rFonts w:eastAsia="Times New Roman"/>
          <w:sz w:val="20"/>
          <w:szCs w:val="20"/>
        </w:rPr>
      </w:pPr>
    </w:p>
    <w:p w14:paraId="1E1BE461" w14:textId="77777777" w:rsidR="00B22303" w:rsidRDefault="00B22303" w:rsidP="00B22303">
      <w:pPr>
        <w:spacing w:line="240" w:lineRule="auto"/>
        <w:rPr>
          <w:rFonts w:eastAsia="Times New Roman"/>
          <w:sz w:val="20"/>
          <w:szCs w:val="20"/>
        </w:rPr>
      </w:pPr>
    </w:p>
    <w:p w14:paraId="56E14622" w14:textId="77777777" w:rsidR="00B22303" w:rsidRDefault="00B22303" w:rsidP="00B22303">
      <w:pPr>
        <w:spacing w:line="240" w:lineRule="auto"/>
        <w:rPr>
          <w:rFonts w:eastAsia="Times New Roman"/>
          <w:sz w:val="20"/>
          <w:szCs w:val="20"/>
        </w:rPr>
      </w:pPr>
    </w:p>
    <w:p w14:paraId="5DF5F3BF" w14:textId="77777777" w:rsidR="00B22303" w:rsidRDefault="00B22303" w:rsidP="00B22303">
      <w:pPr>
        <w:spacing w:line="240" w:lineRule="auto"/>
        <w:rPr>
          <w:rFonts w:eastAsia="Times New Roman"/>
          <w:sz w:val="20"/>
          <w:szCs w:val="20"/>
        </w:rPr>
      </w:pPr>
    </w:p>
    <w:p w14:paraId="4849069F" w14:textId="77777777" w:rsidR="00B22303" w:rsidRDefault="00B22303" w:rsidP="00B22303">
      <w:pPr>
        <w:spacing w:line="240" w:lineRule="auto"/>
        <w:rPr>
          <w:rFonts w:eastAsia="Times New Roman"/>
          <w:sz w:val="20"/>
          <w:szCs w:val="20"/>
        </w:rPr>
      </w:pPr>
    </w:p>
    <w:p w14:paraId="0F1EE6A7" w14:textId="77777777" w:rsidR="00B22303" w:rsidRPr="00B22303" w:rsidRDefault="00B22303" w:rsidP="00B22303">
      <w:pPr>
        <w:spacing w:line="240" w:lineRule="auto"/>
        <w:rPr>
          <w:rFonts w:eastAsia="Times New Roman"/>
          <w:sz w:val="20"/>
          <w:szCs w:val="20"/>
        </w:rPr>
      </w:pPr>
    </w:p>
    <w:p w14:paraId="0867C314" w14:textId="77777777" w:rsidR="006457C8" w:rsidRPr="006457C8" w:rsidRDefault="006457C8" w:rsidP="006457C8">
      <w:pPr>
        <w:spacing w:line="240" w:lineRule="auto"/>
        <w:rPr>
          <w:rFonts w:eastAsia="Times New Roman"/>
          <w:sz w:val="20"/>
          <w:szCs w:val="20"/>
        </w:rPr>
      </w:pPr>
    </w:p>
    <w:p w14:paraId="0DD2E7EC" w14:textId="706AE53D" w:rsidR="008D374A" w:rsidRPr="006457C8" w:rsidRDefault="008F5A70" w:rsidP="00F9741F">
      <w:pPr>
        <w:pStyle w:val="Heading5"/>
      </w:pPr>
      <w:bookmarkStart w:id="9" w:name="_Hlk171950834"/>
      <w:r w:rsidRPr="006457C8">
        <w:lastRenderedPageBreak/>
        <w:t>Certification, Qualifications, Competencies Training and Policy Requirements</w:t>
      </w:r>
    </w:p>
    <w:bookmarkEnd w:id="9"/>
    <w:p w14:paraId="6F17F7C9" w14:textId="77777777" w:rsidR="008D374A" w:rsidRPr="006457C8" w:rsidRDefault="008D374A">
      <w:pPr>
        <w:spacing w:line="240" w:lineRule="auto"/>
        <w:ind w:left="709"/>
        <w:rPr>
          <w:rFonts w:eastAsia="Gill Sans"/>
          <w:b/>
          <w:color w:val="5C068C"/>
          <w:sz w:val="20"/>
          <w:szCs w:val="20"/>
        </w:rPr>
      </w:pPr>
    </w:p>
    <w:p w14:paraId="14386AB5" w14:textId="77777777" w:rsidR="00F9741F" w:rsidRDefault="006457C8" w:rsidP="006457C8">
      <w:pPr>
        <w:pStyle w:val="ListParagraph"/>
        <w:numPr>
          <w:ilvl w:val="0"/>
          <w:numId w:val="10"/>
        </w:numPr>
        <w:tabs>
          <w:tab w:val="left" w:pos="720"/>
        </w:tabs>
        <w:spacing w:after="0"/>
        <w:rPr>
          <w:rFonts w:ascii="Arial" w:hAnsi="Arial" w:cs="Arial"/>
          <w:bCs/>
          <w:color w:val="000000" w:themeColor="text1"/>
          <w:sz w:val="20"/>
          <w:szCs w:val="20"/>
        </w:rPr>
      </w:pPr>
      <w:r w:rsidRPr="00F9741F">
        <w:rPr>
          <w:rFonts w:ascii="Arial" w:hAnsi="Arial" w:cs="Arial"/>
          <w:bCs/>
          <w:color w:val="000000" w:themeColor="text1"/>
          <w:sz w:val="20"/>
          <w:szCs w:val="20"/>
        </w:rPr>
        <w:t>The bidding organisation must be a holder of, and supply a copy of, an MIA(IMP) license appropriate to the activities required for the manufacture of IMP and placebo required by this project.</w:t>
      </w:r>
    </w:p>
    <w:p w14:paraId="7AC49452" w14:textId="65D6B23E" w:rsidR="006457C8" w:rsidRPr="00F9741F" w:rsidRDefault="006457C8" w:rsidP="006457C8">
      <w:pPr>
        <w:pStyle w:val="ListParagraph"/>
        <w:numPr>
          <w:ilvl w:val="0"/>
          <w:numId w:val="10"/>
        </w:numPr>
        <w:tabs>
          <w:tab w:val="left" w:pos="720"/>
        </w:tabs>
        <w:spacing w:after="0"/>
        <w:rPr>
          <w:rFonts w:ascii="Arial" w:hAnsi="Arial" w:cs="Arial"/>
          <w:bCs/>
          <w:color w:val="000000" w:themeColor="text1"/>
          <w:sz w:val="20"/>
          <w:szCs w:val="20"/>
        </w:rPr>
      </w:pPr>
      <w:r w:rsidRPr="00F9741F">
        <w:rPr>
          <w:rFonts w:ascii="Arial" w:hAnsi="Arial" w:cs="Arial"/>
          <w:bCs/>
          <w:color w:val="000000" w:themeColor="text1"/>
          <w:sz w:val="20"/>
          <w:szCs w:val="20"/>
        </w:rPr>
        <w:t>The bidding organisation must be able to provide simplified-IMPD documentation for the IMP and placebo.</w:t>
      </w:r>
    </w:p>
    <w:p w14:paraId="53A84E44" w14:textId="05CBBD1B" w:rsidR="006457C8" w:rsidRPr="00F9741F" w:rsidRDefault="006457C8" w:rsidP="006457C8">
      <w:pPr>
        <w:pStyle w:val="ListParagraph"/>
        <w:numPr>
          <w:ilvl w:val="0"/>
          <w:numId w:val="10"/>
        </w:numPr>
        <w:rPr>
          <w:rFonts w:ascii="Arial" w:hAnsi="Arial" w:cs="Arial"/>
          <w:bCs/>
          <w:color w:val="000000" w:themeColor="text1"/>
          <w:sz w:val="20"/>
          <w:szCs w:val="20"/>
        </w:rPr>
      </w:pPr>
      <w:r w:rsidRPr="00F9741F">
        <w:rPr>
          <w:rFonts w:ascii="Arial" w:hAnsi="Arial" w:cs="Arial"/>
          <w:bCs/>
          <w:color w:val="000000" w:themeColor="text1"/>
          <w:sz w:val="20"/>
          <w:szCs w:val="20"/>
        </w:rPr>
        <w:t>The bidding organisation must be able to provide QP certification for the IMP and placebo for release of product for human use within the UK.</w:t>
      </w:r>
    </w:p>
    <w:p w14:paraId="3975B6D9" w14:textId="77777777" w:rsidR="007B67F1" w:rsidRDefault="006457C8" w:rsidP="006457C8">
      <w:pPr>
        <w:pStyle w:val="ListParagraph"/>
        <w:numPr>
          <w:ilvl w:val="0"/>
          <w:numId w:val="10"/>
        </w:numPr>
        <w:spacing w:after="0"/>
        <w:rPr>
          <w:rFonts w:ascii="Arial" w:hAnsi="Arial" w:cs="Arial"/>
          <w:bCs/>
          <w:color w:val="000000" w:themeColor="text1"/>
          <w:sz w:val="20"/>
          <w:szCs w:val="20"/>
        </w:rPr>
      </w:pPr>
      <w:r w:rsidRPr="00F9741F">
        <w:rPr>
          <w:rFonts w:ascii="Arial" w:hAnsi="Arial" w:cs="Arial"/>
          <w:bCs/>
          <w:color w:val="000000" w:themeColor="text1"/>
          <w:sz w:val="20"/>
          <w:szCs w:val="20"/>
        </w:rPr>
        <w:t>The bidding organisation must be able to provide appropriate analytical and stability testing to comply with requirements for QP UK release criteria.</w:t>
      </w:r>
    </w:p>
    <w:p w14:paraId="4C745336" w14:textId="2AB33E9C" w:rsidR="006457C8" w:rsidRPr="00F9741F" w:rsidRDefault="006457C8" w:rsidP="006457C8">
      <w:pPr>
        <w:pStyle w:val="ListParagraph"/>
        <w:numPr>
          <w:ilvl w:val="0"/>
          <w:numId w:val="10"/>
        </w:numPr>
        <w:spacing w:after="0"/>
        <w:rPr>
          <w:rFonts w:ascii="Arial" w:hAnsi="Arial" w:cs="Arial"/>
          <w:bCs/>
          <w:color w:val="000000" w:themeColor="text1"/>
          <w:sz w:val="20"/>
          <w:szCs w:val="20"/>
        </w:rPr>
      </w:pPr>
      <w:r w:rsidRPr="00F9741F">
        <w:rPr>
          <w:rFonts w:ascii="Arial" w:hAnsi="Arial" w:cs="Arial"/>
          <w:bCs/>
          <w:color w:val="000000" w:themeColor="text1"/>
          <w:sz w:val="20"/>
          <w:szCs w:val="20"/>
        </w:rPr>
        <w:t>The bidding organisation must be able to manage the project and documentation pertaining to the project to standards as laid out in UK GMP and GCP legislation.</w:t>
      </w:r>
    </w:p>
    <w:p w14:paraId="3AFD17C7" w14:textId="77777777" w:rsidR="008D374A" w:rsidRPr="006457C8" w:rsidRDefault="008D374A">
      <w:pPr>
        <w:spacing w:line="240" w:lineRule="auto"/>
        <w:ind w:left="720"/>
        <w:rPr>
          <w:rFonts w:eastAsia="Gill Sans"/>
          <w:b/>
          <w:color w:val="FF0000"/>
          <w:sz w:val="20"/>
          <w:szCs w:val="20"/>
        </w:rPr>
      </w:pPr>
    </w:p>
    <w:p w14:paraId="1F5FBC78" w14:textId="77777777" w:rsidR="008D374A" w:rsidRPr="006457C8" w:rsidRDefault="008D374A">
      <w:pPr>
        <w:spacing w:line="240" w:lineRule="auto"/>
        <w:jc w:val="both"/>
        <w:rPr>
          <w:rFonts w:eastAsia="Gill Sans"/>
          <w:color w:val="5C068C"/>
          <w:sz w:val="20"/>
          <w:szCs w:val="20"/>
        </w:rPr>
      </w:pPr>
    </w:p>
    <w:p w14:paraId="175728AF" w14:textId="77777777" w:rsidR="006457C8" w:rsidRPr="006457C8" w:rsidRDefault="006457C8" w:rsidP="00F9741F">
      <w:pPr>
        <w:pStyle w:val="Heading5"/>
      </w:pPr>
      <w:bookmarkStart w:id="10" w:name="_Hlk171950843"/>
      <w:r w:rsidRPr="006457C8">
        <w:t>Trial Summary</w:t>
      </w:r>
    </w:p>
    <w:bookmarkEnd w:id="10"/>
    <w:p w14:paraId="05C07CFF" w14:textId="3F407D7B" w:rsidR="006457C8" w:rsidRPr="006457C8" w:rsidRDefault="006457C8" w:rsidP="006457C8">
      <w:pPr>
        <w:spacing w:line="240" w:lineRule="auto"/>
        <w:rPr>
          <w:sz w:val="20"/>
          <w:szCs w:val="20"/>
        </w:rPr>
      </w:pPr>
      <w:r w:rsidRPr="006457C8">
        <w:rPr>
          <w:sz w:val="20"/>
          <w:szCs w:val="20"/>
        </w:rPr>
        <w:t xml:space="preserve">Once the contract is awarded, </w:t>
      </w:r>
      <w:r w:rsidR="0068412E">
        <w:rPr>
          <w:sz w:val="20"/>
          <w:szCs w:val="20"/>
        </w:rPr>
        <w:t>The bidder</w:t>
      </w:r>
      <w:r w:rsidRPr="006457C8">
        <w:rPr>
          <w:sz w:val="20"/>
          <w:szCs w:val="20"/>
        </w:rPr>
        <w:t xml:space="preserve"> must produce simplified-IMPD documentation within 4 weeks and supply to Sheffield Teaching Hospitals along with IMP labels and all relevant certificates required for MHRA and Ethics approval.</w:t>
      </w:r>
    </w:p>
    <w:p w14:paraId="4487F7B0" w14:textId="77777777" w:rsidR="006457C8" w:rsidRPr="006457C8" w:rsidRDefault="006457C8" w:rsidP="006457C8">
      <w:pPr>
        <w:spacing w:line="240" w:lineRule="auto"/>
        <w:rPr>
          <w:sz w:val="20"/>
          <w:szCs w:val="20"/>
        </w:rPr>
      </w:pPr>
      <w:r w:rsidRPr="006457C8">
        <w:rPr>
          <w:sz w:val="20"/>
          <w:szCs w:val="20"/>
        </w:rPr>
        <w:t>Sheffield Teaching Hospitals will then commence the recruitment of trial participants and the initial 12 weeks metformin run-in.</w:t>
      </w:r>
    </w:p>
    <w:p w14:paraId="2F35E57E" w14:textId="77777777" w:rsidR="006457C8" w:rsidRPr="006457C8" w:rsidRDefault="006457C8" w:rsidP="006457C8">
      <w:pPr>
        <w:spacing w:line="240" w:lineRule="auto"/>
        <w:rPr>
          <w:sz w:val="20"/>
          <w:szCs w:val="20"/>
        </w:rPr>
      </w:pPr>
      <w:r w:rsidRPr="006457C8">
        <w:rPr>
          <w:sz w:val="20"/>
          <w:szCs w:val="20"/>
        </w:rPr>
        <w:t>The expectation is that 300 participants will be recruited to the trial.</w:t>
      </w:r>
    </w:p>
    <w:p w14:paraId="41B1E259" w14:textId="77777777" w:rsidR="006457C8" w:rsidRPr="006457C8" w:rsidRDefault="006457C8" w:rsidP="006457C8">
      <w:pPr>
        <w:spacing w:line="240" w:lineRule="auto"/>
        <w:rPr>
          <w:sz w:val="20"/>
          <w:szCs w:val="20"/>
        </w:rPr>
      </w:pPr>
      <w:r w:rsidRPr="006457C8">
        <w:rPr>
          <w:sz w:val="20"/>
          <w:szCs w:val="20"/>
        </w:rPr>
        <w:t>Each participant will take either 4 tablets of Metformin XR 500mg or the placebo.</w:t>
      </w:r>
    </w:p>
    <w:p w14:paraId="6045466C" w14:textId="77777777" w:rsidR="006457C8" w:rsidRPr="006457C8" w:rsidRDefault="006457C8" w:rsidP="006457C8">
      <w:pPr>
        <w:spacing w:line="240" w:lineRule="auto"/>
        <w:rPr>
          <w:sz w:val="20"/>
          <w:szCs w:val="20"/>
        </w:rPr>
      </w:pPr>
      <w:r w:rsidRPr="006457C8">
        <w:rPr>
          <w:sz w:val="20"/>
          <w:szCs w:val="20"/>
        </w:rPr>
        <w:t>The tablets to be packaged into bottles/blister packs of 128 tablets.</w:t>
      </w:r>
    </w:p>
    <w:p w14:paraId="5CAB921F" w14:textId="77777777" w:rsidR="006457C8" w:rsidRPr="006457C8" w:rsidRDefault="006457C8" w:rsidP="006457C8">
      <w:pPr>
        <w:spacing w:line="240" w:lineRule="auto"/>
        <w:rPr>
          <w:sz w:val="20"/>
          <w:szCs w:val="20"/>
        </w:rPr>
      </w:pPr>
      <w:r w:rsidRPr="006457C8">
        <w:rPr>
          <w:sz w:val="20"/>
          <w:szCs w:val="20"/>
        </w:rPr>
        <w:t>The bottles to be supplied as kits of 3 bottles/blister packs.</w:t>
      </w:r>
    </w:p>
    <w:p w14:paraId="3D1196E3" w14:textId="5EEEAAE7" w:rsidR="006457C8" w:rsidRPr="006457C8" w:rsidRDefault="006457C8" w:rsidP="006457C8">
      <w:pPr>
        <w:spacing w:line="240" w:lineRule="auto"/>
        <w:rPr>
          <w:sz w:val="20"/>
          <w:szCs w:val="20"/>
        </w:rPr>
      </w:pPr>
      <w:r w:rsidRPr="006457C8">
        <w:rPr>
          <w:sz w:val="20"/>
          <w:szCs w:val="20"/>
        </w:rPr>
        <w:t xml:space="preserve">1200 kits, 3600 bottles/blister packs, 460,800 tablets, each of Metformin XR 500mg and a placebo, will be required throughout the trial if 300 participants are recruited-Plus necessary overages (please note that clarification on how many overages are required will form a question in </w:t>
      </w:r>
      <w:r w:rsidR="00BF37B1">
        <w:rPr>
          <w:sz w:val="20"/>
          <w:szCs w:val="20"/>
        </w:rPr>
        <w:t>Supplier Tender Return)</w:t>
      </w:r>
    </w:p>
    <w:p w14:paraId="66D66452" w14:textId="2369AFBC" w:rsidR="006457C8" w:rsidRPr="006457C8" w:rsidRDefault="0068412E" w:rsidP="006457C8">
      <w:pPr>
        <w:spacing w:line="240" w:lineRule="auto"/>
        <w:rPr>
          <w:sz w:val="20"/>
          <w:szCs w:val="20"/>
        </w:rPr>
      </w:pPr>
      <w:r>
        <w:rPr>
          <w:sz w:val="20"/>
          <w:szCs w:val="20"/>
        </w:rPr>
        <w:t>The bidder</w:t>
      </w:r>
      <w:r w:rsidR="006457C8" w:rsidRPr="006457C8">
        <w:rPr>
          <w:sz w:val="20"/>
          <w:szCs w:val="20"/>
        </w:rPr>
        <w:t xml:space="preserve"> should begin the process to prepare 240 kits each of the Metformin XR 500mg and placebo, once MHRA approval has been confirmed, to be ready for distribution to the participating Trusts in advance of the first participants reaching the end of their run-in period.</w:t>
      </w:r>
    </w:p>
    <w:p w14:paraId="49D3802B" w14:textId="77777777" w:rsidR="006457C8" w:rsidRPr="006457C8" w:rsidRDefault="006457C8" w:rsidP="006457C8">
      <w:pPr>
        <w:spacing w:line="240" w:lineRule="auto"/>
        <w:rPr>
          <w:sz w:val="20"/>
          <w:szCs w:val="20"/>
        </w:rPr>
      </w:pPr>
    </w:p>
    <w:p w14:paraId="51E8DE6B" w14:textId="77777777" w:rsidR="006457C8" w:rsidRPr="006457C8" w:rsidRDefault="006457C8" w:rsidP="006457C8">
      <w:pPr>
        <w:spacing w:line="240" w:lineRule="auto"/>
        <w:rPr>
          <w:sz w:val="20"/>
          <w:szCs w:val="20"/>
        </w:rPr>
      </w:pPr>
    </w:p>
    <w:p w14:paraId="6DA97ED1" w14:textId="77777777" w:rsidR="006457C8" w:rsidRPr="006457C8" w:rsidRDefault="006457C8" w:rsidP="006457C8">
      <w:pPr>
        <w:spacing w:line="240" w:lineRule="auto"/>
        <w:rPr>
          <w:sz w:val="20"/>
          <w:szCs w:val="20"/>
        </w:rPr>
      </w:pPr>
    </w:p>
    <w:p w14:paraId="1A7310DD" w14:textId="77777777" w:rsidR="006457C8" w:rsidRPr="006457C8" w:rsidRDefault="006457C8" w:rsidP="006457C8">
      <w:pPr>
        <w:spacing w:line="240" w:lineRule="auto"/>
        <w:rPr>
          <w:sz w:val="20"/>
          <w:szCs w:val="20"/>
        </w:rPr>
      </w:pPr>
    </w:p>
    <w:p w14:paraId="23FC65EF" w14:textId="77777777" w:rsidR="00F9741F" w:rsidRDefault="00F9741F" w:rsidP="00F9741F">
      <w:pPr>
        <w:pStyle w:val="Heading5"/>
      </w:pPr>
    </w:p>
    <w:p w14:paraId="5CACAB81" w14:textId="77777777" w:rsidR="00B22303" w:rsidRDefault="00B22303" w:rsidP="00B22303"/>
    <w:p w14:paraId="139F9479" w14:textId="77777777" w:rsidR="00B22303" w:rsidRDefault="00B22303" w:rsidP="00B22303"/>
    <w:p w14:paraId="301EAABC" w14:textId="77777777" w:rsidR="00B22303" w:rsidRPr="00B22303" w:rsidRDefault="00B22303" w:rsidP="00B22303"/>
    <w:p w14:paraId="267369F3" w14:textId="77777777" w:rsidR="00F9741F" w:rsidRDefault="00F9741F" w:rsidP="00F9741F">
      <w:pPr>
        <w:pStyle w:val="Heading5"/>
      </w:pPr>
    </w:p>
    <w:p w14:paraId="077F3D98" w14:textId="77777777" w:rsidR="00F9741F" w:rsidRDefault="00F9741F" w:rsidP="00F9741F">
      <w:pPr>
        <w:pStyle w:val="Heading5"/>
      </w:pPr>
    </w:p>
    <w:p w14:paraId="4B5AA85B" w14:textId="34B46479" w:rsidR="006457C8" w:rsidRPr="006457C8" w:rsidRDefault="006457C8" w:rsidP="00F9741F">
      <w:pPr>
        <w:pStyle w:val="Heading5"/>
      </w:pPr>
      <w:bookmarkStart w:id="11" w:name="_Hlk171950851"/>
      <w:r w:rsidRPr="006457C8">
        <w:t>Purchase or Production of IMP and Placebo</w:t>
      </w:r>
    </w:p>
    <w:bookmarkEnd w:id="11"/>
    <w:p w14:paraId="6FF97C21" w14:textId="01AB0ED6" w:rsidR="006457C8" w:rsidRPr="006457C8" w:rsidRDefault="006457C8" w:rsidP="006457C8">
      <w:pPr>
        <w:pStyle w:val="ListParagraph"/>
        <w:numPr>
          <w:ilvl w:val="0"/>
          <w:numId w:val="18"/>
        </w:numPr>
        <w:spacing w:after="0" w:line="240" w:lineRule="auto"/>
        <w:rPr>
          <w:rFonts w:ascii="Arial" w:hAnsi="Arial" w:cs="Arial"/>
          <w:sz w:val="20"/>
          <w:szCs w:val="20"/>
        </w:rPr>
      </w:pPr>
      <w:r w:rsidRPr="006457C8">
        <w:rPr>
          <w:rFonts w:ascii="Arial" w:hAnsi="Arial" w:cs="Arial"/>
          <w:sz w:val="20"/>
          <w:szCs w:val="20"/>
        </w:rPr>
        <w:t xml:space="preserve">Once MHRA approval has been granted, </w:t>
      </w:r>
      <w:r w:rsidR="007B67F1">
        <w:rPr>
          <w:rFonts w:ascii="Arial" w:hAnsi="Arial" w:cs="Arial"/>
          <w:sz w:val="20"/>
          <w:szCs w:val="20"/>
        </w:rPr>
        <w:t>the</w:t>
      </w:r>
      <w:r w:rsidR="0068412E">
        <w:rPr>
          <w:rFonts w:ascii="Arial" w:hAnsi="Arial" w:cs="Arial"/>
          <w:sz w:val="20"/>
          <w:szCs w:val="20"/>
        </w:rPr>
        <w:t xml:space="preserve"> bidder</w:t>
      </w:r>
      <w:r w:rsidRPr="006457C8">
        <w:rPr>
          <w:rFonts w:ascii="Arial" w:hAnsi="Arial" w:cs="Arial"/>
          <w:sz w:val="20"/>
          <w:szCs w:val="20"/>
        </w:rPr>
        <w:t xml:space="preserve"> </w:t>
      </w:r>
      <w:r w:rsidR="0068412E" w:rsidRPr="006457C8">
        <w:rPr>
          <w:rFonts w:ascii="Arial" w:hAnsi="Arial" w:cs="Arial"/>
          <w:sz w:val="20"/>
          <w:szCs w:val="20"/>
        </w:rPr>
        <w:t>will</w:t>
      </w:r>
      <w:r w:rsidRPr="006457C8">
        <w:rPr>
          <w:rFonts w:ascii="Arial" w:hAnsi="Arial" w:cs="Arial"/>
          <w:sz w:val="20"/>
          <w:szCs w:val="20"/>
        </w:rPr>
        <w:t xml:space="preserve"> begin production of Metformin XR 500mg and a matching placebo.</w:t>
      </w:r>
    </w:p>
    <w:p w14:paraId="511BEC5B" w14:textId="77777777" w:rsidR="006457C8" w:rsidRPr="006457C8" w:rsidRDefault="006457C8" w:rsidP="006457C8">
      <w:pPr>
        <w:pStyle w:val="ListParagraph"/>
        <w:numPr>
          <w:ilvl w:val="0"/>
          <w:numId w:val="18"/>
        </w:numPr>
        <w:spacing w:after="0" w:line="240" w:lineRule="auto"/>
        <w:rPr>
          <w:rFonts w:ascii="Arial" w:hAnsi="Arial" w:cs="Arial"/>
          <w:sz w:val="20"/>
          <w:szCs w:val="20"/>
        </w:rPr>
      </w:pPr>
      <w:r w:rsidRPr="006457C8">
        <w:rPr>
          <w:rFonts w:ascii="Arial" w:hAnsi="Arial" w:cs="Arial"/>
          <w:sz w:val="20"/>
          <w:szCs w:val="20"/>
        </w:rPr>
        <w:t>The initial purchase will be for 20% of the total quantity of Metformin XR 500mg and placebo.</w:t>
      </w:r>
    </w:p>
    <w:p w14:paraId="37474E54" w14:textId="32B40784" w:rsidR="006457C8" w:rsidRPr="006457C8" w:rsidRDefault="0068412E" w:rsidP="006457C8">
      <w:pPr>
        <w:pStyle w:val="ListParagraph"/>
        <w:numPr>
          <w:ilvl w:val="0"/>
          <w:numId w:val="18"/>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purchase or manufacture Metformin XR 500mg aiming for a shelf life of at least 2 years.</w:t>
      </w:r>
    </w:p>
    <w:p w14:paraId="4594BC3D" w14:textId="3DE66B23" w:rsidR="006457C8" w:rsidRPr="006457C8" w:rsidRDefault="0068412E" w:rsidP="006457C8">
      <w:pPr>
        <w:pStyle w:val="ListParagraph"/>
        <w:numPr>
          <w:ilvl w:val="0"/>
          <w:numId w:val="18"/>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manufacture a matching placebo, identical in appearance to the Metformin XR 500mg.</w:t>
      </w:r>
    </w:p>
    <w:p w14:paraId="76065430" w14:textId="77777777" w:rsidR="006457C8" w:rsidRPr="006457C8" w:rsidRDefault="006457C8" w:rsidP="006457C8">
      <w:pPr>
        <w:pStyle w:val="ListParagraph"/>
        <w:numPr>
          <w:ilvl w:val="0"/>
          <w:numId w:val="18"/>
        </w:numPr>
        <w:spacing w:after="0" w:line="240" w:lineRule="auto"/>
        <w:rPr>
          <w:rFonts w:ascii="Arial" w:hAnsi="Arial" w:cs="Arial"/>
          <w:sz w:val="20"/>
          <w:szCs w:val="20"/>
        </w:rPr>
      </w:pPr>
      <w:r w:rsidRPr="006457C8">
        <w:rPr>
          <w:rFonts w:ascii="Arial" w:hAnsi="Arial" w:cs="Arial"/>
          <w:sz w:val="20"/>
          <w:szCs w:val="20"/>
        </w:rPr>
        <w:t>The shelf life of the Placebo tablets must at least match that of the Metformin XR 500mg</w:t>
      </w:r>
    </w:p>
    <w:p w14:paraId="6BD8A215" w14:textId="2A7BC7CA" w:rsidR="006457C8" w:rsidRPr="006457C8" w:rsidRDefault="006457C8" w:rsidP="006457C8">
      <w:pPr>
        <w:pStyle w:val="ListParagraph"/>
        <w:numPr>
          <w:ilvl w:val="0"/>
          <w:numId w:val="18"/>
        </w:numPr>
        <w:spacing w:after="0" w:line="240" w:lineRule="auto"/>
        <w:rPr>
          <w:rFonts w:ascii="Arial" w:hAnsi="Arial" w:cs="Arial"/>
          <w:sz w:val="20"/>
          <w:szCs w:val="20"/>
        </w:rPr>
      </w:pPr>
      <w:r w:rsidRPr="006457C8">
        <w:rPr>
          <w:rFonts w:ascii="Arial" w:hAnsi="Arial" w:cs="Arial"/>
          <w:sz w:val="20"/>
          <w:szCs w:val="20"/>
        </w:rPr>
        <w:t xml:space="preserve">Any sub-contracting of manufacturing services must be expressly agreed in the contract with Sheffield Teaching Hospitals; and in any event </w:t>
      </w:r>
      <w:r w:rsidR="0068412E">
        <w:rPr>
          <w:rFonts w:ascii="Arial" w:hAnsi="Arial" w:cs="Arial"/>
          <w:sz w:val="20"/>
          <w:szCs w:val="20"/>
        </w:rPr>
        <w:t>The bidder</w:t>
      </w:r>
      <w:r w:rsidRPr="006457C8">
        <w:rPr>
          <w:rFonts w:ascii="Arial" w:hAnsi="Arial" w:cs="Arial"/>
          <w:sz w:val="20"/>
          <w:szCs w:val="20"/>
        </w:rPr>
        <w:t xml:space="preserve"> shall remain responsible to Sheffield Teaching Hospitals at all times for the proper performance of the contract.</w:t>
      </w:r>
    </w:p>
    <w:p w14:paraId="70CEE827" w14:textId="11E7B2C2" w:rsidR="006457C8" w:rsidRPr="006457C8" w:rsidRDefault="0068412E" w:rsidP="006457C8">
      <w:pPr>
        <w:pStyle w:val="ListParagraph"/>
        <w:numPr>
          <w:ilvl w:val="0"/>
          <w:numId w:val="18"/>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be able to produce data to support the shelf life of the placebo production and packaging.</w:t>
      </w:r>
    </w:p>
    <w:p w14:paraId="4CAD08FE" w14:textId="2CBEA80D" w:rsidR="006457C8" w:rsidRPr="006457C8" w:rsidRDefault="006457C8" w:rsidP="006457C8">
      <w:pPr>
        <w:pStyle w:val="ListParagraph"/>
        <w:numPr>
          <w:ilvl w:val="0"/>
          <w:numId w:val="18"/>
        </w:numPr>
        <w:spacing w:after="0" w:line="240" w:lineRule="auto"/>
        <w:rPr>
          <w:rFonts w:ascii="Arial" w:hAnsi="Arial" w:cs="Arial"/>
          <w:sz w:val="20"/>
          <w:szCs w:val="20"/>
        </w:rPr>
      </w:pPr>
      <w:r w:rsidRPr="006457C8">
        <w:rPr>
          <w:rFonts w:ascii="Arial" w:hAnsi="Arial" w:cs="Arial"/>
          <w:sz w:val="20"/>
          <w:szCs w:val="20"/>
        </w:rPr>
        <w:t xml:space="preserve">If </w:t>
      </w:r>
      <w:r w:rsidR="0068412E">
        <w:rPr>
          <w:rFonts w:ascii="Arial" w:hAnsi="Arial" w:cs="Arial"/>
          <w:sz w:val="20"/>
          <w:szCs w:val="20"/>
        </w:rPr>
        <w:t>The bidder</w:t>
      </w:r>
      <w:r w:rsidRPr="006457C8">
        <w:rPr>
          <w:rFonts w:ascii="Arial" w:hAnsi="Arial" w:cs="Arial"/>
          <w:sz w:val="20"/>
          <w:szCs w:val="20"/>
        </w:rPr>
        <w:t xml:space="preserve"> has a process to allow for </w:t>
      </w:r>
      <w:r w:rsidR="007B67F1" w:rsidRPr="006457C8">
        <w:rPr>
          <w:rFonts w:ascii="Arial" w:hAnsi="Arial" w:cs="Arial"/>
          <w:sz w:val="20"/>
          <w:szCs w:val="20"/>
        </w:rPr>
        <w:t>shelf-life</w:t>
      </w:r>
      <w:r w:rsidRPr="006457C8">
        <w:rPr>
          <w:rFonts w:ascii="Arial" w:hAnsi="Arial" w:cs="Arial"/>
          <w:sz w:val="20"/>
          <w:szCs w:val="20"/>
        </w:rPr>
        <w:t xml:space="preserve"> extension, up to the maximum allowed for the product, if the full shelf life is not assigned initially, details must be confirmed in the contract.</w:t>
      </w:r>
    </w:p>
    <w:p w14:paraId="253ED69C" w14:textId="77777777" w:rsidR="006457C8" w:rsidRPr="006457C8" w:rsidRDefault="006457C8" w:rsidP="006457C8">
      <w:pPr>
        <w:spacing w:line="240" w:lineRule="auto"/>
        <w:rPr>
          <w:sz w:val="20"/>
          <w:szCs w:val="20"/>
        </w:rPr>
      </w:pPr>
    </w:p>
    <w:p w14:paraId="76BBEC72" w14:textId="77777777" w:rsidR="006457C8" w:rsidRPr="006457C8" w:rsidRDefault="006457C8" w:rsidP="006457C8">
      <w:pPr>
        <w:spacing w:line="240" w:lineRule="auto"/>
        <w:rPr>
          <w:color w:val="0070C0"/>
          <w:sz w:val="20"/>
          <w:szCs w:val="20"/>
        </w:rPr>
      </w:pPr>
    </w:p>
    <w:p w14:paraId="226AC016" w14:textId="77777777" w:rsidR="006457C8" w:rsidRPr="006457C8" w:rsidRDefault="006457C8" w:rsidP="006457C8">
      <w:pPr>
        <w:spacing w:line="240" w:lineRule="auto"/>
        <w:rPr>
          <w:color w:val="0070C0"/>
          <w:sz w:val="20"/>
          <w:szCs w:val="20"/>
        </w:rPr>
      </w:pPr>
    </w:p>
    <w:p w14:paraId="7457CA68" w14:textId="77777777" w:rsidR="006457C8" w:rsidRPr="006457C8" w:rsidRDefault="006457C8" w:rsidP="006457C8">
      <w:pPr>
        <w:spacing w:line="240" w:lineRule="auto"/>
        <w:rPr>
          <w:color w:val="0070C0"/>
          <w:sz w:val="20"/>
          <w:szCs w:val="20"/>
        </w:rPr>
      </w:pPr>
    </w:p>
    <w:p w14:paraId="66FCDD62" w14:textId="77777777" w:rsidR="006457C8" w:rsidRPr="006457C8" w:rsidRDefault="006457C8" w:rsidP="006457C8">
      <w:pPr>
        <w:spacing w:line="240" w:lineRule="auto"/>
        <w:rPr>
          <w:color w:val="0070C0"/>
          <w:sz w:val="20"/>
          <w:szCs w:val="20"/>
        </w:rPr>
      </w:pPr>
    </w:p>
    <w:p w14:paraId="0DC5DE22" w14:textId="77777777" w:rsidR="006457C8" w:rsidRPr="006457C8" w:rsidRDefault="006457C8" w:rsidP="00F9741F">
      <w:pPr>
        <w:pStyle w:val="Heading5"/>
      </w:pPr>
      <w:bookmarkStart w:id="12" w:name="_Hlk171950861"/>
      <w:r w:rsidRPr="006457C8">
        <w:t>Storage</w:t>
      </w:r>
    </w:p>
    <w:bookmarkEnd w:id="12"/>
    <w:p w14:paraId="7AE7768B" w14:textId="71F25A2A" w:rsidR="006457C8" w:rsidRPr="006457C8" w:rsidRDefault="0068412E" w:rsidP="006457C8">
      <w:pPr>
        <w:pStyle w:val="ListParagraph"/>
        <w:numPr>
          <w:ilvl w:val="0"/>
          <w:numId w:val="12"/>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be able to purchase, accept and store bulk shipments of active drugs from raw material manufacturers. There may be up to five bulk deliveries of the IMP.</w:t>
      </w:r>
    </w:p>
    <w:p w14:paraId="1CBBBB8B" w14:textId="77777777" w:rsidR="006457C8" w:rsidRPr="006457C8" w:rsidRDefault="006457C8" w:rsidP="006457C8">
      <w:pPr>
        <w:pStyle w:val="ListParagraph"/>
        <w:numPr>
          <w:ilvl w:val="0"/>
          <w:numId w:val="12"/>
        </w:numPr>
        <w:spacing w:after="0" w:line="240" w:lineRule="auto"/>
        <w:rPr>
          <w:rFonts w:ascii="Arial" w:hAnsi="Arial" w:cs="Arial"/>
          <w:sz w:val="20"/>
          <w:szCs w:val="20"/>
        </w:rPr>
      </w:pPr>
      <w:r w:rsidRPr="006457C8">
        <w:rPr>
          <w:rFonts w:ascii="Arial" w:hAnsi="Arial" w:cs="Arial"/>
          <w:sz w:val="20"/>
          <w:szCs w:val="20"/>
        </w:rPr>
        <w:t>Trial stock must be stored in line with the requirement of each product.</w:t>
      </w:r>
    </w:p>
    <w:p w14:paraId="69167F83" w14:textId="77777777" w:rsidR="006457C8" w:rsidRPr="00E2788C" w:rsidRDefault="006457C8" w:rsidP="006457C8">
      <w:pPr>
        <w:pStyle w:val="ListParagraph"/>
        <w:numPr>
          <w:ilvl w:val="0"/>
          <w:numId w:val="12"/>
        </w:numPr>
        <w:spacing w:after="0" w:line="240" w:lineRule="auto"/>
        <w:rPr>
          <w:rFonts w:ascii="Arial" w:hAnsi="Arial" w:cs="Arial"/>
          <w:sz w:val="20"/>
          <w:szCs w:val="20"/>
        </w:rPr>
      </w:pPr>
      <w:r w:rsidRPr="00E2788C">
        <w:rPr>
          <w:rFonts w:ascii="Arial" w:hAnsi="Arial" w:cs="Arial"/>
          <w:sz w:val="20"/>
          <w:szCs w:val="20"/>
        </w:rPr>
        <w:t>Trial stock must be stored in a facility with appropriate environmental and temperature monitoring covering a period up to 31/10/2028, with the ability to accommodate any agreed extension if required.</w:t>
      </w:r>
    </w:p>
    <w:p w14:paraId="1F26B163" w14:textId="77777777" w:rsidR="006457C8" w:rsidRPr="006457C8" w:rsidRDefault="006457C8" w:rsidP="006457C8">
      <w:pPr>
        <w:pStyle w:val="ListParagraph"/>
        <w:numPr>
          <w:ilvl w:val="0"/>
          <w:numId w:val="12"/>
        </w:numPr>
        <w:spacing w:after="0" w:line="240" w:lineRule="auto"/>
        <w:rPr>
          <w:rFonts w:ascii="Arial" w:hAnsi="Arial" w:cs="Arial"/>
          <w:sz w:val="20"/>
          <w:szCs w:val="20"/>
        </w:rPr>
      </w:pPr>
      <w:r w:rsidRPr="006457C8">
        <w:rPr>
          <w:rFonts w:ascii="Arial" w:hAnsi="Arial" w:cs="Arial"/>
          <w:sz w:val="20"/>
          <w:szCs w:val="20"/>
        </w:rPr>
        <w:t>Any temperature deviations (of raw product or packaged trial stock) during storage must be reported to STH/NCTU.</w:t>
      </w:r>
    </w:p>
    <w:p w14:paraId="2A6FF2EA" w14:textId="77777777" w:rsidR="006457C8" w:rsidRPr="006457C8" w:rsidRDefault="006457C8" w:rsidP="006457C8">
      <w:pPr>
        <w:spacing w:line="240" w:lineRule="auto"/>
        <w:rPr>
          <w:sz w:val="20"/>
          <w:szCs w:val="20"/>
        </w:rPr>
      </w:pPr>
    </w:p>
    <w:p w14:paraId="23C6CD95" w14:textId="77777777" w:rsidR="006457C8" w:rsidRPr="006457C8" w:rsidRDefault="006457C8" w:rsidP="006457C8">
      <w:pPr>
        <w:spacing w:line="240" w:lineRule="auto"/>
        <w:rPr>
          <w:color w:val="0070C0"/>
          <w:sz w:val="20"/>
          <w:szCs w:val="20"/>
        </w:rPr>
      </w:pPr>
    </w:p>
    <w:p w14:paraId="1CC9870D" w14:textId="77777777" w:rsidR="006457C8" w:rsidRPr="006457C8" w:rsidRDefault="006457C8" w:rsidP="006457C8">
      <w:pPr>
        <w:spacing w:line="240" w:lineRule="auto"/>
        <w:rPr>
          <w:color w:val="0070C0"/>
          <w:sz w:val="20"/>
          <w:szCs w:val="20"/>
        </w:rPr>
      </w:pPr>
    </w:p>
    <w:p w14:paraId="7A4EC0DB" w14:textId="77777777" w:rsidR="006457C8" w:rsidRDefault="006457C8" w:rsidP="006457C8">
      <w:pPr>
        <w:spacing w:line="240" w:lineRule="auto"/>
        <w:rPr>
          <w:color w:val="0070C0"/>
          <w:sz w:val="20"/>
          <w:szCs w:val="20"/>
        </w:rPr>
      </w:pPr>
    </w:p>
    <w:p w14:paraId="0F114C9E" w14:textId="77777777" w:rsidR="00F9741F" w:rsidRDefault="00F9741F" w:rsidP="006457C8">
      <w:pPr>
        <w:spacing w:line="240" w:lineRule="auto"/>
        <w:rPr>
          <w:color w:val="0070C0"/>
          <w:sz w:val="20"/>
          <w:szCs w:val="20"/>
        </w:rPr>
      </w:pPr>
    </w:p>
    <w:p w14:paraId="50984237" w14:textId="77777777" w:rsidR="00B22303" w:rsidRDefault="00B22303" w:rsidP="006457C8">
      <w:pPr>
        <w:spacing w:line="240" w:lineRule="auto"/>
        <w:rPr>
          <w:color w:val="0070C0"/>
          <w:sz w:val="20"/>
          <w:szCs w:val="20"/>
        </w:rPr>
      </w:pPr>
    </w:p>
    <w:p w14:paraId="0265ACE1" w14:textId="77777777" w:rsidR="00B22303" w:rsidRDefault="00B22303" w:rsidP="006457C8">
      <w:pPr>
        <w:spacing w:line="240" w:lineRule="auto"/>
        <w:rPr>
          <w:color w:val="0070C0"/>
          <w:sz w:val="20"/>
          <w:szCs w:val="20"/>
        </w:rPr>
      </w:pPr>
    </w:p>
    <w:p w14:paraId="2D331995" w14:textId="77777777" w:rsidR="00F9741F" w:rsidRPr="006457C8" w:rsidRDefault="00F9741F" w:rsidP="006457C8">
      <w:pPr>
        <w:spacing w:line="240" w:lineRule="auto"/>
        <w:rPr>
          <w:color w:val="0070C0"/>
          <w:sz w:val="20"/>
          <w:szCs w:val="20"/>
        </w:rPr>
      </w:pPr>
    </w:p>
    <w:p w14:paraId="3A49882C" w14:textId="77777777" w:rsidR="006457C8" w:rsidRPr="006457C8" w:rsidRDefault="006457C8" w:rsidP="006457C8">
      <w:pPr>
        <w:spacing w:line="240" w:lineRule="auto"/>
        <w:rPr>
          <w:color w:val="0070C0"/>
          <w:sz w:val="20"/>
          <w:szCs w:val="20"/>
        </w:rPr>
      </w:pPr>
    </w:p>
    <w:p w14:paraId="31F9C824" w14:textId="77777777" w:rsidR="006457C8" w:rsidRPr="006457C8" w:rsidRDefault="006457C8" w:rsidP="00F9741F">
      <w:pPr>
        <w:pStyle w:val="Heading5"/>
      </w:pPr>
      <w:bookmarkStart w:id="13" w:name="_Hlk171950878"/>
      <w:r w:rsidRPr="006457C8">
        <w:lastRenderedPageBreak/>
        <w:t>Packaging for the blinded trial</w:t>
      </w:r>
    </w:p>
    <w:bookmarkEnd w:id="13"/>
    <w:p w14:paraId="567FE3D8" w14:textId="77777777" w:rsidR="006457C8" w:rsidRPr="006457C8" w:rsidRDefault="006457C8" w:rsidP="006457C8">
      <w:pPr>
        <w:pStyle w:val="ListParagraph"/>
        <w:numPr>
          <w:ilvl w:val="0"/>
          <w:numId w:val="13"/>
        </w:numPr>
        <w:spacing w:after="0" w:line="240" w:lineRule="auto"/>
        <w:rPr>
          <w:rFonts w:ascii="Arial" w:hAnsi="Arial" w:cs="Arial"/>
          <w:sz w:val="20"/>
          <w:szCs w:val="20"/>
        </w:rPr>
      </w:pPr>
      <w:r w:rsidRPr="006457C8">
        <w:rPr>
          <w:rFonts w:ascii="Arial" w:hAnsi="Arial" w:cs="Arial"/>
          <w:sz w:val="20"/>
          <w:szCs w:val="20"/>
        </w:rPr>
        <w:t>After the initial order as detailed in the trial summary, further campaigns will be run in accordance with the requirements of the trial and in consultation with STH and NCTU.</w:t>
      </w:r>
    </w:p>
    <w:p w14:paraId="0354BC59" w14:textId="77777777" w:rsidR="006457C8" w:rsidRPr="006457C8" w:rsidRDefault="006457C8" w:rsidP="006457C8">
      <w:pPr>
        <w:pStyle w:val="ListParagraph"/>
        <w:numPr>
          <w:ilvl w:val="0"/>
          <w:numId w:val="13"/>
        </w:numPr>
        <w:spacing w:after="0" w:line="240" w:lineRule="auto"/>
        <w:rPr>
          <w:rFonts w:ascii="Arial" w:hAnsi="Arial" w:cs="Arial"/>
          <w:sz w:val="20"/>
          <w:szCs w:val="20"/>
        </w:rPr>
      </w:pPr>
      <w:r w:rsidRPr="006457C8">
        <w:rPr>
          <w:rFonts w:ascii="Arial" w:hAnsi="Arial" w:cs="Arial"/>
          <w:sz w:val="20"/>
          <w:szCs w:val="20"/>
        </w:rPr>
        <w:t>Tablets must either be counted into child-resistant, tamper-evident bottles or packed into suitable primary blister packs and secondary packaging for each of the IMPs</w:t>
      </w:r>
    </w:p>
    <w:p w14:paraId="64CA64DE" w14:textId="77777777" w:rsidR="006457C8" w:rsidRPr="006457C8" w:rsidRDefault="006457C8" w:rsidP="006457C8">
      <w:pPr>
        <w:pStyle w:val="ListParagraph"/>
        <w:numPr>
          <w:ilvl w:val="0"/>
          <w:numId w:val="13"/>
        </w:numPr>
        <w:spacing w:after="0" w:line="240" w:lineRule="auto"/>
        <w:rPr>
          <w:rFonts w:ascii="Arial" w:hAnsi="Arial" w:cs="Arial"/>
          <w:sz w:val="20"/>
          <w:szCs w:val="20"/>
        </w:rPr>
      </w:pPr>
      <w:r w:rsidRPr="006457C8">
        <w:rPr>
          <w:rFonts w:ascii="Arial" w:hAnsi="Arial" w:cs="Arial"/>
          <w:sz w:val="20"/>
          <w:szCs w:val="20"/>
        </w:rPr>
        <w:t>The appearance of the Metformin XR 500mg tablets and the placebo must be identical</w:t>
      </w:r>
    </w:p>
    <w:p w14:paraId="438C7DE1" w14:textId="77777777" w:rsidR="006457C8" w:rsidRPr="006457C8" w:rsidRDefault="006457C8" w:rsidP="006457C8">
      <w:pPr>
        <w:pStyle w:val="ListParagraph"/>
        <w:numPr>
          <w:ilvl w:val="0"/>
          <w:numId w:val="13"/>
        </w:numPr>
        <w:spacing w:after="0" w:line="240" w:lineRule="auto"/>
        <w:rPr>
          <w:rFonts w:ascii="Arial" w:hAnsi="Arial" w:cs="Arial"/>
          <w:sz w:val="20"/>
          <w:szCs w:val="20"/>
        </w:rPr>
      </w:pPr>
      <w:r w:rsidRPr="006457C8">
        <w:rPr>
          <w:rFonts w:ascii="Arial" w:hAnsi="Arial" w:cs="Arial"/>
          <w:sz w:val="20"/>
          <w:szCs w:val="20"/>
        </w:rPr>
        <w:t>The packaging for the Metformin and placebo must be identical.</w:t>
      </w:r>
    </w:p>
    <w:p w14:paraId="7FC5FA6D" w14:textId="77777777" w:rsidR="006457C8" w:rsidRPr="006457C8" w:rsidRDefault="006457C8" w:rsidP="006457C8">
      <w:pPr>
        <w:pStyle w:val="ListParagraph"/>
        <w:numPr>
          <w:ilvl w:val="0"/>
          <w:numId w:val="13"/>
        </w:numPr>
        <w:spacing w:after="0" w:line="240" w:lineRule="auto"/>
        <w:rPr>
          <w:rFonts w:ascii="Arial" w:hAnsi="Arial" w:cs="Arial"/>
          <w:sz w:val="20"/>
          <w:szCs w:val="20"/>
        </w:rPr>
      </w:pPr>
      <w:r w:rsidRPr="006457C8">
        <w:rPr>
          <w:rFonts w:ascii="Arial" w:hAnsi="Arial" w:cs="Arial"/>
          <w:sz w:val="20"/>
          <w:szCs w:val="20"/>
        </w:rPr>
        <w:t>Bottle/blister pack size must be 128 tablets and these should be packaged into kits of 3 packs. The total number of tablets/packs/kits is detailed in the trial summary.</w:t>
      </w:r>
    </w:p>
    <w:p w14:paraId="692511B2" w14:textId="77777777" w:rsidR="006457C8" w:rsidRPr="006457C8" w:rsidRDefault="006457C8" w:rsidP="006457C8">
      <w:pPr>
        <w:pStyle w:val="ListParagraph"/>
        <w:numPr>
          <w:ilvl w:val="0"/>
          <w:numId w:val="13"/>
        </w:numPr>
        <w:spacing w:after="0" w:line="240" w:lineRule="auto"/>
        <w:rPr>
          <w:rFonts w:ascii="Arial" w:hAnsi="Arial" w:cs="Arial"/>
          <w:sz w:val="20"/>
          <w:szCs w:val="20"/>
        </w:rPr>
      </w:pPr>
      <w:r w:rsidRPr="006457C8">
        <w:rPr>
          <w:rFonts w:ascii="Arial" w:hAnsi="Arial" w:cs="Arial"/>
          <w:sz w:val="20"/>
          <w:szCs w:val="20"/>
        </w:rPr>
        <w:t>All bottles/blister packs from the same packaging and labelling campaign must be labelled with the same expiry date i.e. using the expiry date from the product with the earliest expiry date.</w:t>
      </w:r>
    </w:p>
    <w:p w14:paraId="4E24BB4C" w14:textId="56C8677A" w:rsidR="006457C8" w:rsidRPr="006457C8" w:rsidRDefault="0068412E" w:rsidP="006457C8">
      <w:pPr>
        <w:pStyle w:val="ListParagraph"/>
        <w:numPr>
          <w:ilvl w:val="0"/>
          <w:numId w:val="13"/>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retain a sample of bottles/blister packs for each IMP in accordance with current regulations and make these available to STH/NCTU upon request to enable product identity confirmation testing if required.</w:t>
      </w:r>
    </w:p>
    <w:p w14:paraId="72322015" w14:textId="086FC5ED" w:rsidR="006457C8" w:rsidRPr="006457C8" w:rsidRDefault="0068412E" w:rsidP="006457C8">
      <w:pPr>
        <w:pStyle w:val="ListParagraph"/>
        <w:numPr>
          <w:ilvl w:val="0"/>
          <w:numId w:val="13"/>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keep a record of batch numbers and expiry dates used for each bottle/blister pack and will supply this in an agreed format to STH/NCTU.</w:t>
      </w:r>
    </w:p>
    <w:p w14:paraId="0805BECB" w14:textId="454DE6B1" w:rsidR="006457C8" w:rsidRPr="006457C8" w:rsidRDefault="0068412E" w:rsidP="006457C8">
      <w:pPr>
        <w:pStyle w:val="ListParagraph"/>
        <w:numPr>
          <w:ilvl w:val="0"/>
          <w:numId w:val="13"/>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prepare a packaging and labelling batch record for each batch of the product.</w:t>
      </w:r>
    </w:p>
    <w:p w14:paraId="5F751A48" w14:textId="5804E7D6" w:rsidR="006457C8" w:rsidRPr="006457C8" w:rsidRDefault="0068412E" w:rsidP="006457C8">
      <w:pPr>
        <w:pStyle w:val="ListParagraph"/>
        <w:numPr>
          <w:ilvl w:val="0"/>
          <w:numId w:val="13"/>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keep all original packaging and labelling batch records documentation for a minimum of 25 years.</w:t>
      </w:r>
    </w:p>
    <w:p w14:paraId="2A7E2043" w14:textId="3830EA02" w:rsidR="006457C8" w:rsidRPr="006457C8" w:rsidRDefault="0068412E" w:rsidP="006457C8">
      <w:pPr>
        <w:pStyle w:val="ListParagraph"/>
        <w:numPr>
          <w:ilvl w:val="0"/>
          <w:numId w:val="13"/>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provide Sheffield Teaching Hospitals NHS Foundation Trust STH) &amp; Norwich Clinical Trials Unit (NCTU) with any corresponding batch documentation as agreed in the technical agreement.</w:t>
      </w:r>
    </w:p>
    <w:p w14:paraId="43A87797" w14:textId="348BCAC7" w:rsidR="006457C8" w:rsidRPr="006457C8" w:rsidRDefault="0068412E" w:rsidP="006457C8">
      <w:pPr>
        <w:pStyle w:val="ListParagraph"/>
        <w:numPr>
          <w:ilvl w:val="0"/>
          <w:numId w:val="13"/>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provide a simplified Investigational Medicinal Product Dossier (sIMPD) to support placebo manufacture and stability of active drugs and matching placebo within 4 weeks of the contract being signed.</w:t>
      </w:r>
    </w:p>
    <w:p w14:paraId="3100C01C" w14:textId="77777777" w:rsidR="006457C8" w:rsidRPr="006457C8" w:rsidRDefault="006457C8" w:rsidP="006457C8">
      <w:pPr>
        <w:spacing w:line="240" w:lineRule="auto"/>
        <w:rPr>
          <w:sz w:val="20"/>
          <w:szCs w:val="20"/>
        </w:rPr>
      </w:pPr>
    </w:p>
    <w:p w14:paraId="04D6CD5D" w14:textId="77777777" w:rsidR="006457C8" w:rsidRPr="006457C8" w:rsidRDefault="006457C8" w:rsidP="006457C8">
      <w:pPr>
        <w:spacing w:line="240" w:lineRule="auto"/>
        <w:rPr>
          <w:color w:val="0070C0"/>
          <w:sz w:val="20"/>
          <w:szCs w:val="20"/>
        </w:rPr>
      </w:pPr>
    </w:p>
    <w:p w14:paraId="3F911E6F" w14:textId="77777777" w:rsidR="006457C8" w:rsidRPr="006457C8" w:rsidRDefault="006457C8" w:rsidP="006457C8">
      <w:pPr>
        <w:spacing w:line="240" w:lineRule="auto"/>
        <w:rPr>
          <w:color w:val="0070C0"/>
          <w:sz w:val="20"/>
          <w:szCs w:val="20"/>
        </w:rPr>
      </w:pPr>
    </w:p>
    <w:p w14:paraId="3D496443" w14:textId="77777777" w:rsidR="006457C8" w:rsidRPr="006457C8" w:rsidRDefault="006457C8" w:rsidP="00F9741F">
      <w:pPr>
        <w:pStyle w:val="Heading5"/>
      </w:pPr>
      <w:bookmarkStart w:id="14" w:name="_Hlk171950885"/>
      <w:r w:rsidRPr="006457C8">
        <w:t>Labelling</w:t>
      </w:r>
    </w:p>
    <w:bookmarkEnd w:id="14"/>
    <w:p w14:paraId="4398334F" w14:textId="7B377D6F" w:rsidR="006457C8" w:rsidRPr="006457C8" w:rsidRDefault="0068412E" w:rsidP="006457C8">
      <w:pPr>
        <w:pStyle w:val="ListParagraph"/>
        <w:numPr>
          <w:ilvl w:val="0"/>
          <w:numId w:val="14"/>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create an Annex 13 compliant label (English language only) for primary packaging as agreed by both parties with text provided by STH/NCTU within 4 weeks of the contract being signed.</w:t>
      </w:r>
    </w:p>
    <w:p w14:paraId="40F536CA" w14:textId="52E51623" w:rsidR="006457C8" w:rsidRPr="006457C8" w:rsidRDefault="0068412E" w:rsidP="006457C8">
      <w:pPr>
        <w:pStyle w:val="ListParagraph"/>
        <w:numPr>
          <w:ilvl w:val="0"/>
          <w:numId w:val="14"/>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apply the agreed Annex 13 compliant label with a product identifier to each bottle, upon agreement from STH/NCTU that labelling may commence -this will usually be after regulatory approval of the label.</w:t>
      </w:r>
    </w:p>
    <w:p w14:paraId="1A43BC1A" w14:textId="400546E8" w:rsidR="006457C8" w:rsidRPr="006457C8" w:rsidRDefault="0068412E" w:rsidP="006457C8">
      <w:pPr>
        <w:pStyle w:val="ListParagraph"/>
        <w:numPr>
          <w:ilvl w:val="0"/>
          <w:numId w:val="14"/>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have the capacity to re-label for expiry date extensions throughout the contract period if required.</w:t>
      </w:r>
    </w:p>
    <w:p w14:paraId="4C1DFF44" w14:textId="77777777" w:rsidR="006457C8" w:rsidRPr="006457C8" w:rsidRDefault="006457C8" w:rsidP="006457C8">
      <w:pPr>
        <w:spacing w:line="240" w:lineRule="auto"/>
        <w:rPr>
          <w:sz w:val="20"/>
          <w:szCs w:val="20"/>
        </w:rPr>
      </w:pPr>
    </w:p>
    <w:p w14:paraId="35D6C2AC" w14:textId="77777777" w:rsidR="006457C8" w:rsidRPr="006457C8" w:rsidRDefault="006457C8" w:rsidP="006457C8">
      <w:pPr>
        <w:spacing w:line="240" w:lineRule="auto"/>
        <w:rPr>
          <w:sz w:val="20"/>
          <w:szCs w:val="20"/>
        </w:rPr>
      </w:pPr>
    </w:p>
    <w:p w14:paraId="0AF71AB4" w14:textId="77777777" w:rsidR="006457C8" w:rsidRPr="006457C8" w:rsidRDefault="006457C8" w:rsidP="006457C8">
      <w:pPr>
        <w:spacing w:line="240" w:lineRule="auto"/>
        <w:rPr>
          <w:sz w:val="20"/>
          <w:szCs w:val="20"/>
        </w:rPr>
      </w:pPr>
    </w:p>
    <w:p w14:paraId="44C8132D" w14:textId="77777777" w:rsidR="006457C8" w:rsidRPr="006457C8" w:rsidRDefault="006457C8" w:rsidP="006457C8">
      <w:pPr>
        <w:spacing w:line="240" w:lineRule="auto"/>
        <w:rPr>
          <w:sz w:val="20"/>
          <w:szCs w:val="20"/>
        </w:rPr>
      </w:pPr>
    </w:p>
    <w:p w14:paraId="4A94907F" w14:textId="77777777" w:rsidR="006457C8" w:rsidRPr="006457C8" w:rsidRDefault="006457C8" w:rsidP="006457C8">
      <w:pPr>
        <w:spacing w:line="240" w:lineRule="auto"/>
        <w:rPr>
          <w:sz w:val="20"/>
          <w:szCs w:val="20"/>
        </w:rPr>
      </w:pPr>
    </w:p>
    <w:p w14:paraId="4078283C" w14:textId="77777777" w:rsidR="006457C8" w:rsidRPr="006457C8" w:rsidRDefault="006457C8" w:rsidP="006457C8">
      <w:pPr>
        <w:spacing w:line="240" w:lineRule="auto"/>
        <w:rPr>
          <w:sz w:val="20"/>
          <w:szCs w:val="20"/>
        </w:rPr>
      </w:pPr>
    </w:p>
    <w:p w14:paraId="5CAC664E" w14:textId="77777777" w:rsidR="006457C8" w:rsidRPr="006457C8" w:rsidRDefault="006457C8" w:rsidP="006457C8">
      <w:pPr>
        <w:spacing w:line="240" w:lineRule="auto"/>
        <w:rPr>
          <w:sz w:val="20"/>
          <w:szCs w:val="20"/>
        </w:rPr>
      </w:pPr>
    </w:p>
    <w:p w14:paraId="5CDD9660" w14:textId="77777777" w:rsidR="006457C8" w:rsidRPr="006457C8" w:rsidRDefault="006457C8" w:rsidP="00F9741F">
      <w:pPr>
        <w:pStyle w:val="Heading5"/>
      </w:pPr>
      <w:bookmarkStart w:id="15" w:name="_Hlk171950893"/>
      <w:r w:rsidRPr="006457C8">
        <w:lastRenderedPageBreak/>
        <w:t>Qualified Person (QP) Release</w:t>
      </w:r>
    </w:p>
    <w:bookmarkEnd w:id="15"/>
    <w:p w14:paraId="3BDECB20" w14:textId="6F8FB3D6" w:rsidR="006457C8" w:rsidRPr="006457C8" w:rsidRDefault="0068412E" w:rsidP="006457C8">
      <w:pPr>
        <w:pStyle w:val="ListParagraph"/>
        <w:numPr>
          <w:ilvl w:val="0"/>
          <w:numId w:val="15"/>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have capacity for Qualified Person (QP) certification of packaged and labelled trial drug in line with UK requirements.</w:t>
      </w:r>
    </w:p>
    <w:p w14:paraId="6D2353D4" w14:textId="65927EEF" w:rsidR="006457C8" w:rsidRPr="006457C8" w:rsidRDefault="0068412E" w:rsidP="006457C8">
      <w:pPr>
        <w:pStyle w:val="ListParagraph"/>
        <w:numPr>
          <w:ilvl w:val="0"/>
          <w:numId w:val="15"/>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provide QP certification to NCTU for the finished products in line with UK requirements prior to distribution.</w:t>
      </w:r>
    </w:p>
    <w:p w14:paraId="7F53D79C" w14:textId="21C9D103" w:rsidR="006457C8" w:rsidRPr="006457C8" w:rsidRDefault="006457C8" w:rsidP="006457C8">
      <w:pPr>
        <w:pStyle w:val="ListParagraph"/>
        <w:numPr>
          <w:ilvl w:val="0"/>
          <w:numId w:val="15"/>
        </w:numPr>
        <w:spacing w:after="0" w:line="240" w:lineRule="auto"/>
        <w:rPr>
          <w:rFonts w:ascii="Arial" w:hAnsi="Arial" w:cs="Arial"/>
          <w:sz w:val="20"/>
          <w:szCs w:val="20"/>
        </w:rPr>
      </w:pPr>
      <w:r w:rsidRPr="006457C8">
        <w:rPr>
          <w:rFonts w:ascii="Arial" w:hAnsi="Arial" w:cs="Arial"/>
          <w:sz w:val="20"/>
          <w:szCs w:val="20"/>
        </w:rPr>
        <w:t xml:space="preserve">Once QP certification has been performed </w:t>
      </w:r>
      <w:r w:rsidR="0068412E">
        <w:rPr>
          <w:rFonts w:ascii="Arial" w:hAnsi="Arial" w:cs="Arial"/>
          <w:sz w:val="20"/>
          <w:szCs w:val="20"/>
        </w:rPr>
        <w:t>The bidder</w:t>
      </w:r>
      <w:r w:rsidRPr="006457C8">
        <w:rPr>
          <w:rFonts w:ascii="Arial" w:hAnsi="Arial" w:cs="Arial"/>
          <w:sz w:val="20"/>
          <w:szCs w:val="20"/>
        </w:rPr>
        <w:t xml:space="preserve"> must notify NCTU of the bottles that have been released and are available for dispatch to sites.</w:t>
      </w:r>
    </w:p>
    <w:p w14:paraId="4E837594" w14:textId="77777777" w:rsidR="006457C8" w:rsidRPr="006457C8" w:rsidRDefault="006457C8" w:rsidP="006457C8">
      <w:pPr>
        <w:spacing w:line="240" w:lineRule="auto"/>
        <w:rPr>
          <w:color w:val="0070C0"/>
          <w:sz w:val="20"/>
          <w:szCs w:val="20"/>
        </w:rPr>
      </w:pPr>
    </w:p>
    <w:p w14:paraId="24429CFD" w14:textId="77777777" w:rsidR="006457C8" w:rsidRPr="006457C8" w:rsidRDefault="006457C8" w:rsidP="006457C8">
      <w:pPr>
        <w:spacing w:line="240" w:lineRule="auto"/>
        <w:rPr>
          <w:color w:val="0070C0"/>
          <w:sz w:val="20"/>
          <w:szCs w:val="20"/>
        </w:rPr>
      </w:pPr>
    </w:p>
    <w:p w14:paraId="2A8D50CE" w14:textId="77777777" w:rsidR="006457C8" w:rsidRPr="006457C8" w:rsidRDefault="006457C8" w:rsidP="00F9741F">
      <w:pPr>
        <w:pStyle w:val="Heading5"/>
      </w:pPr>
      <w:bookmarkStart w:id="16" w:name="_Hlk171950899"/>
      <w:r w:rsidRPr="006457C8">
        <w:t>Distribution</w:t>
      </w:r>
    </w:p>
    <w:bookmarkEnd w:id="16"/>
    <w:p w14:paraId="0A61BFD6" w14:textId="5CA5016D" w:rsidR="006457C8" w:rsidRPr="006457C8" w:rsidRDefault="0068412E" w:rsidP="006457C8">
      <w:pPr>
        <w:pStyle w:val="ListParagraph"/>
        <w:numPr>
          <w:ilvl w:val="0"/>
          <w:numId w:val="16"/>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have the ability and capacity to distribute IMP to approx. 35-40 NHS Trust sites within the UK over a 50-month period according to recruitment rate and in coordination with NCTU. The number of sites may increase or decrease depending on the needs of the trial.</w:t>
      </w:r>
    </w:p>
    <w:p w14:paraId="630935C7" w14:textId="1AFED3B4" w:rsidR="006457C8" w:rsidRPr="006457C8" w:rsidRDefault="0068412E" w:rsidP="006457C8">
      <w:pPr>
        <w:pStyle w:val="ListParagraph"/>
        <w:numPr>
          <w:ilvl w:val="0"/>
          <w:numId w:val="16"/>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provide temperature-controlled shipping to NHS sites using the most cost-effective method.</w:t>
      </w:r>
    </w:p>
    <w:p w14:paraId="7361069B" w14:textId="1E1F7022" w:rsidR="006457C8" w:rsidRPr="006457C8" w:rsidRDefault="0068412E" w:rsidP="006457C8">
      <w:pPr>
        <w:pStyle w:val="ListParagraph"/>
        <w:numPr>
          <w:ilvl w:val="0"/>
          <w:numId w:val="16"/>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have the capacity to distribute the first shipment to NHS sites within 12 weeks of Sheffield Teaching Hospitals confirming MHRA approval.</w:t>
      </w:r>
    </w:p>
    <w:p w14:paraId="6C47570D" w14:textId="0152439F" w:rsidR="006457C8" w:rsidRPr="006457C8" w:rsidRDefault="0068412E" w:rsidP="006457C8">
      <w:pPr>
        <w:pStyle w:val="ListParagraph"/>
        <w:numPr>
          <w:ilvl w:val="0"/>
          <w:numId w:val="16"/>
        </w:numPr>
        <w:spacing w:after="0" w:line="240" w:lineRule="auto"/>
        <w:rPr>
          <w:rFonts w:ascii="Arial" w:hAnsi="Arial" w:cs="Arial"/>
          <w:sz w:val="20"/>
          <w:szCs w:val="20"/>
        </w:rPr>
      </w:pPr>
      <w:r>
        <w:rPr>
          <w:rFonts w:ascii="Arial" w:hAnsi="Arial" w:cs="Arial"/>
          <w:sz w:val="20"/>
          <w:szCs w:val="20"/>
        </w:rPr>
        <w:t>The bidder</w:t>
      </w:r>
      <w:r w:rsidR="006457C8" w:rsidRPr="006457C8" w:rsidDel="00886245">
        <w:rPr>
          <w:rFonts w:ascii="Arial" w:hAnsi="Arial" w:cs="Arial"/>
          <w:sz w:val="20"/>
          <w:szCs w:val="20"/>
        </w:rPr>
        <w:t xml:space="preserve"> </w:t>
      </w:r>
      <w:r w:rsidR="006457C8" w:rsidRPr="006457C8">
        <w:rPr>
          <w:rFonts w:ascii="Arial" w:hAnsi="Arial" w:cs="Arial"/>
          <w:sz w:val="20"/>
          <w:szCs w:val="20"/>
        </w:rPr>
        <w:t>must have appropriate distribution systems and agreements in place to be able to distribute drugs to site within 5 working days of receipt of a drug order request and produce SOPs for these processes.</w:t>
      </w:r>
    </w:p>
    <w:p w14:paraId="07E3798C" w14:textId="26FF49FD" w:rsidR="006457C8" w:rsidRPr="006457C8" w:rsidRDefault="0068412E" w:rsidP="006457C8">
      <w:pPr>
        <w:pStyle w:val="ListParagraph"/>
        <w:numPr>
          <w:ilvl w:val="0"/>
          <w:numId w:val="16"/>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be able to make approximately 8 deliveries per site in total. The number of deliveries may increase or decrease depending on the needs of the trial.</w:t>
      </w:r>
    </w:p>
    <w:p w14:paraId="3CBAB206" w14:textId="3D445785" w:rsidR="006457C8" w:rsidRPr="006457C8" w:rsidRDefault="006457C8" w:rsidP="006457C8">
      <w:pPr>
        <w:pStyle w:val="ListParagraph"/>
        <w:numPr>
          <w:ilvl w:val="0"/>
          <w:numId w:val="16"/>
        </w:numPr>
        <w:spacing w:after="0" w:line="240" w:lineRule="auto"/>
        <w:rPr>
          <w:rFonts w:ascii="Arial" w:hAnsi="Arial" w:cs="Arial"/>
          <w:sz w:val="20"/>
          <w:szCs w:val="20"/>
        </w:rPr>
      </w:pPr>
      <w:r w:rsidRPr="006457C8">
        <w:rPr>
          <w:rFonts w:ascii="Arial" w:hAnsi="Arial" w:cs="Arial"/>
          <w:sz w:val="20"/>
          <w:szCs w:val="20"/>
        </w:rPr>
        <w:t xml:space="preserve">Upon order request </w:t>
      </w:r>
      <w:r w:rsidR="00F40EDA">
        <w:rPr>
          <w:rFonts w:ascii="Arial" w:hAnsi="Arial" w:cs="Arial"/>
          <w:sz w:val="20"/>
          <w:szCs w:val="20"/>
        </w:rPr>
        <w:t>the</w:t>
      </w:r>
      <w:r w:rsidR="0068412E">
        <w:rPr>
          <w:rFonts w:ascii="Arial" w:hAnsi="Arial" w:cs="Arial"/>
          <w:sz w:val="20"/>
          <w:szCs w:val="20"/>
        </w:rPr>
        <w:t xml:space="preserve"> bidder</w:t>
      </w:r>
      <w:r w:rsidRPr="006457C8" w:rsidDel="00886245">
        <w:rPr>
          <w:rFonts w:ascii="Arial" w:hAnsi="Arial" w:cs="Arial"/>
          <w:sz w:val="20"/>
          <w:szCs w:val="20"/>
        </w:rPr>
        <w:t xml:space="preserve"> </w:t>
      </w:r>
      <w:r w:rsidRPr="006457C8">
        <w:rPr>
          <w:rFonts w:ascii="Arial" w:hAnsi="Arial" w:cs="Arial"/>
          <w:sz w:val="20"/>
          <w:szCs w:val="20"/>
        </w:rPr>
        <w:t>must pack the required bottles specified by NCTU and provide confirmation of dispatch to NHS sites, to NCTU via a method to be agreed with NCTU.</w:t>
      </w:r>
    </w:p>
    <w:p w14:paraId="614C5290" w14:textId="77777777" w:rsidR="006457C8" w:rsidRPr="006457C8" w:rsidRDefault="006457C8" w:rsidP="006457C8">
      <w:pPr>
        <w:pStyle w:val="ListParagraph"/>
        <w:numPr>
          <w:ilvl w:val="0"/>
          <w:numId w:val="16"/>
        </w:numPr>
        <w:spacing w:after="0" w:line="240" w:lineRule="auto"/>
        <w:rPr>
          <w:rFonts w:ascii="Arial" w:hAnsi="Arial" w:cs="Arial"/>
          <w:sz w:val="20"/>
          <w:szCs w:val="20"/>
        </w:rPr>
      </w:pPr>
      <w:r w:rsidRPr="006457C8">
        <w:rPr>
          <w:rFonts w:ascii="Arial" w:hAnsi="Arial" w:cs="Arial"/>
          <w:sz w:val="20"/>
          <w:szCs w:val="20"/>
        </w:rPr>
        <w:t>Proof of delivery must be made available upon request.</w:t>
      </w:r>
    </w:p>
    <w:p w14:paraId="48085BF8" w14:textId="00287F98" w:rsidR="006457C8" w:rsidRPr="006457C8" w:rsidRDefault="0068412E" w:rsidP="006457C8">
      <w:pPr>
        <w:pStyle w:val="ListParagraph"/>
        <w:numPr>
          <w:ilvl w:val="0"/>
          <w:numId w:val="16"/>
        </w:numPr>
        <w:spacing w:after="0" w:line="240" w:lineRule="auto"/>
        <w:rPr>
          <w:rFonts w:ascii="Arial" w:hAnsi="Arial" w:cs="Arial"/>
          <w:sz w:val="20"/>
          <w:szCs w:val="20"/>
        </w:rPr>
      </w:pPr>
      <w:r>
        <w:rPr>
          <w:rFonts w:ascii="Arial" w:hAnsi="Arial" w:cs="Arial"/>
          <w:sz w:val="20"/>
          <w:szCs w:val="20"/>
        </w:rPr>
        <w:t>The bidder</w:t>
      </w:r>
      <w:r w:rsidR="006457C8" w:rsidRPr="006457C8" w:rsidDel="00886245">
        <w:rPr>
          <w:rFonts w:ascii="Arial" w:hAnsi="Arial" w:cs="Arial"/>
          <w:sz w:val="20"/>
          <w:szCs w:val="20"/>
        </w:rPr>
        <w:t xml:space="preserve"> </w:t>
      </w:r>
      <w:r w:rsidR="006457C8" w:rsidRPr="006457C8">
        <w:rPr>
          <w:rFonts w:ascii="Arial" w:hAnsi="Arial" w:cs="Arial"/>
          <w:sz w:val="20"/>
          <w:szCs w:val="20"/>
        </w:rPr>
        <w:t>must arrange replacement of damaged shipments/bottles received at site pharmacy and resupply with bottles and will be responsible for covering any cost associated with this.</w:t>
      </w:r>
    </w:p>
    <w:p w14:paraId="03BD0407" w14:textId="77777777" w:rsidR="006457C8" w:rsidRPr="006457C8" w:rsidRDefault="006457C8" w:rsidP="006457C8">
      <w:pPr>
        <w:pStyle w:val="ListParagraph"/>
        <w:numPr>
          <w:ilvl w:val="0"/>
          <w:numId w:val="16"/>
        </w:numPr>
        <w:spacing w:after="0" w:line="240" w:lineRule="auto"/>
        <w:rPr>
          <w:rFonts w:ascii="Arial" w:hAnsi="Arial" w:cs="Arial"/>
          <w:sz w:val="20"/>
          <w:szCs w:val="20"/>
        </w:rPr>
      </w:pPr>
      <w:r w:rsidRPr="006457C8">
        <w:rPr>
          <w:rFonts w:ascii="Arial" w:hAnsi="Arial" w:cs="Arial"/>
          <w:sz w:val="20"/>
          <w:szCs w:val="20"/>
        </w:rPr>
        <w:t>All shipments must include a Packing Note confirming each bottle included and QP release for each.</w:t>
      </w:r>
    </w:p>
    <w:p w14:paraId="0550263C" w14:textId="4BCB247D" w:rsidR="006457C8" w:rsidRPr="006457C8" w:rsidRDefault="006457C8" w:rsidP="006457C8">
      <w:pPr>
        <w:pStyle w:val="ListParagraph"/>
        <w:numPr>
          <w:ilvl w:val="0"/>
          <w:numId w:val="16"/>
        </w:numPr>
        <w:spacing w:after="0" w:line="240" w:lineRule="auto"/>
        <w:rPr>
          <w:rFonts w:ascii="Arial" w:hAnsi="Arial" w:cs="Arial"/>
          <w:sz w:val="20"/>
          <w:szCs w:val="20"/>
        </w:rPr>
      </w:pPr>
      <w:r w:rsidRPr="006457C8">
        <w:rPr>
          <w:rFonts w:ascii="Arial" w:hAnsi="Arial" w:cs="Arial"/>
          <w:sz w:val="20"/>
          <w:szCs w:val="20"/>
        </w:rPr>
        <w:t xml:space="preserve">Should the need to recall trial treatment arise from advice from the manufacturer, supplier or the Sponsor, </w:t>
      </w:r>
      <w:r w:rsidR="00F40EDA">
        <w:rPr>
          <w:rFonts w:ascii="Arial" w:hAnsi="Arial" w:cs="Arial"/>
          <w:sz w:val="20"/>
          <w:szCs w:val="20"/>
        </w:rPr>
        <w:t>the</w:t>
      </w:r>
      <w:r w:rsidR="0068412E">
        <w:rPr>
          <w:rFonts w:ascii="Arial" w:hAnsi="Arial" w:cs="Arial"/>
          <w:sz w:val="20"/>
          <w:szCs w:val="20"/>
        </w:rPr>
        <w:t xml:space="preserve"> bidder</w:t>
      </w:r>
      <w:r w:rsidRPr="006457C8">
        <w:rPr>
          <w:rFonts w:ascii="Arial" w:hAnsi="Arial" w:cs="Arial"/>
          <w:sz w:val="20"/>
          <w:szCs w:val="20"/>
        </w:rPr>
        <w:t xml:space="preserve"> must assist NCTU in determining all bottles affected and assist with recall in a timely manner.</w:t>
      </w:r>
    </w:p>
    <w:p w14:paraId="6ED78D48" w14:textId="77777777" w:rsidR="006457C8" w:rsidRPr="006457C8" w:rsidRDefault="006457C8" w:rsidP="006457C8">
      <w:pPr>
        <w:spacing w:line="240" w:lineRule="auto"/>
        <w:rPr>
          <w:sz w:val="20"/>
          <w:szCs w:val="20"/>
        </w:rPr>
      </w:pPr>
    </w:p>
    <w:p w14:paraId="5E53F9EB" w14:textId="77777777" w:rsidR="006457C8" w:rsidRPr="006457C8" w:rsidRDefault="006457C8" w:rsidP="006457C8">
      <w:pPr>
        <w:spacing w:line="240" w:lineRule="auto"/>
        <w:rPr>
          <w:sz w:val="20"/>
          <w:szCs w:val="20"/>
        </w:rPr>
      </w:pPr>
    </w:p>
    <w:p w14:paraId="56A78276" w14:textId="77777777" w:rsidR="006457C8" w:rsidRPr="006457C8" w:rsidRDefault="006457C8" w:rsidP="006457C8">
      <w:pPr>
        <w:spacing w:line="240" w:lineRule="auto"/>
        <w:rPr>
          <w:sz w:val="20"/>
          <w:szCs w:val="20"/>
        </w:rPr>
      </w:pPr>
    </w:p>
    <w:p w14:paraId="7344DDC1" w14:textId="77777777" w:rsidR="006457C8" w:rsidRPr="006457C8" w:rsidRDefault="006457C8" w:rsidP="006457C8">
      <w:pPr>
        <w:spacing w:line="240" w:lineRule="auto"/>
        <w:rPr>
          <w:sz w:val="20"/>
          <w:szCs w:val="20"/>
        </w:rPr>
      </w:pPr>
    </w:p>
    <w:p w14:paraId="33FC1CBD" w14:textId="77777777" w:rsidR="006457C8" w:rsidRDefault="006457C8" w:rsidP="006457C8">
      <w:pPr>
        <w:spacing w:line="240" w:lineRule="auto"/>
        <w:rPr>
          <w:sz w:val="20"/>
          <w:szCs w:val="20"/>
        </w:rPr>
      </w:pPr>
    </w:p>
    <w:p w14:paraId="08612DA3" w14:textId="77777777" w:rsidR="00F9741F" w:rsidRDefault="00F9741F" w:rsidP="006457C8">
      <w:pPr>
        <w:spacing w:line="240" w:lineRule="auto"/>
        <w:rPr>
          <w:sz w:val="20"/>
          <w:szCs w:val="20"/>
        </w:rPr>
      </w:pPr>
    </w:p>
    <w:p w14:paraId="622DF2D9" w14:textId="77777777" w:rsidR="00F9741F" w:rsidRPr="006457C8" w:rsidRDefault="00F9741F" w:rsidP="006457C8">
      <w:pPr>
        <w:spacing w:line="240" w:lineRule="auto"/>
        <w:rPr>
          <w:sz w:val="20"/>
          <w:szCs w:val="20"/>
        </w:rPr>
      </w:pPr>
    </w:p>
    <w:p w14:paraId="69E76097" w14:textId="77777777" w:rsidR="006457C8" w:rsidRPr="006457C8" w:rsidRDefault="006457C8" w:rsidP="006457C8">
      <w:pPr>
        <w:spacing w:line="240" w:lineRule="auto"/>
        <w:rPr>
          <w:sz w:val="20"/>
          <w:szCs w:val="20"/>
        </w:rPr>
      </w:pPr>
    </w:p>
    <w:p w14:paraId="6C716A34" w14:textId="77777777" w:rsidR="006457C8" w:rsidRPr="006457C8" w:rsidRDefault="006457C8" w:rsidP="006457C8">
      <w:pPr>
        <w:spacing w:line="240" w:lineRule="auto"/>
        <w:rPr>
          <w:sz w:val="20"/>
          <w:szCs w:val="20"/>
        </w:rPr>
      </w:pPr>
    </w:p>
    <w:p w14:paraId="56043590" w14:textId="77777777" w:rsidR="006457C8" w:rsidRPr="006457C8" w:rsidRDefault="006457C8" w:rsidP="006457C8">
      <w:pPr>
        <w:spacing w:line="240" w:lineRule="auto"/>
        <w:rPr>
          <w:sz w:val="20"/>
          <w:szCs w:val="20"/>
        </w:rPr>
      </w:pPr>
    </w:p>
    <w:p w14:paraId="7A87CC12" w14:textId="77777777" w:rsidR="006457C8" w:rsidRPr="006457C8" w:rsidRDefault="006457C8" w:rsidP="006457C8">
      <w:pPr>
        <w:spacing w:line="240" w:lineRule="auto"/>
        <w:rPr>
          <w:sz w:val="20"/>
          <w:szCs w:val="20"/>
        </w:rPr>
      </w:pPr>
    </w:p>
    <w:p w14:paraId="46ACCAEC" w14:textId="77777777" w:rsidR="006457C8" w:rsidRPr="006457C8" w:rsidRDefault="006457C8" w:rsidP="00F9741F">
      <w:pPr>
        <w:pStyle w:val="Heading5"/>
      </w:pPr>
      <w:bookmarkStart w:id="17" w:name="_Hlk171950907"/>
      <w:r w:rsidRPr="006457C8">
        <w:lastRenderedPageBreak/>
        <w:t>Performance Standards</w:t>
      </w:r>
    </w:p>
    <w:bookmarkEnd w:id="17"/>
    <w:p w14:paraId="6DF1874A" w14:textId="0CF88A7A"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provide a defined, experienced Project Manager and/or Local Account Manager for day-to-day operations, query resolution and end-user contact</w:t>
      </w:r>
    </w:p>
    <w:p w14:paraId="65E00DA1" w14:textId="323A96C5"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provide evidence of cover to be provided in the designated project manager/local account managers absence and handover procedures.</w:t>
      </w:r>
    </w:p>
    <w:p w14:paraId="5F77BB1E" w14:textId="3B727DB7"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perform the project under the terms of a contract which will be set up and agreed between Sheffield Teaching Hospitals and </w:t>
      </w:r>
      <w:r w:rsidR="007B67F1">
        <w:rPr>
          <w:rFonts w:ascii="Arial" w:hAnsi="Arial" w:cs="Arial"/>
          <w:sz w:val="20"/>
          <w:szCs w:val="20"/>
        </w:rPr>
        <w:t>t</w:t>
      </w:r>
      <w:r>
        <w:rPr>
          <w:rFonts w:ascii="Arial" w:hAnsi="Arial" w:cs="Arial"/>
          <w:sz w:val="20"/>
          <w:szCs w:val="20"/>
        </w:rPr>
        <w:t>he bidder</w:t>
      </w:r>
      <w:r w:rsidR="006457C8" w:rsidRPr="006457C8">
        <w:rPr>
          <w:rFonts w:ascii="Arial" w:hAnsi="Arial" w:cs="Arial"/>
          <w:sz w:val="20"/>
          <w:szCs w:val="20"/>
        </w:rPr>
        <w:t xml:space="preserve"> prior to any work being undertaken, with this technical specification providing the basis for the contract.</w:t>
      </w:r>
    </w:p>
    <w:p w14:paraId="0F5261BE" w14:textId="127C7D77"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be able to grant access to staff from Sheffield Teaching Hospitals and/or NCTU to conduct audit and inspection of its manufacturing facilities related to the product under contract at an agreed time, if such is requested.</w:t>
      </w:r>
    </w:p>
    <w:p w14:paraId="667C6274" w14:textId="2FFA4173"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hold and provide copies of specific licences, including MIA(IMP) for the manufacture of investigational medicinal products. Copies to be requested from the successful bidder only.</w:t>
      </w:r>
    </w:p>
    <w:p w14:paraId="4CD9F154" w14:textId="77777777" w:rsidR="006457C8" w:rsidRPr="006457C8" w:rsidRDefault="006457C8" w:rsidP="006457C8">
      <w:pPr>
        <w:pStyle w:val="ListParagraph"/>
        <w:numPr>
          <w:ilvl w:val="0"/>
          <w:numId w:val="17"/>
        </w:numPr>
        <w:spacing w:after="0" w:line="240" w:lineRule="auto"/>
        <w:rPr>
          <w:rFonts w:ascii="Arial" w:hAnsi="Arial" w:cs="Arial"/>
          <w:sz w:val="20"/>
          <w:szCs w:val="20"/>
        </w:rPr>
      </w:pPr>
      <w:r w:rsidRPr="006457C8">
        <w:rPr>
          <w:rFonts w:ascii="Arial" w:hAnsi="Arial" w:cs="Arial"/>
          <w:sz w:val="20"/>
          <w:szCs w:val="20"/>
        </w:rPr>
        <w:t>If the manufacturing licence is renewed during the course of the contract period, copies of the renewed licences must be provided to STH/ NCTU.</w:t>
      </w:r>
    </w:p>
    <w:p w14:paraId="600C00A6" w14:textId="573759C1" w:rsidR="006457C8" w:rsidRPr="006457C8" w:rsidRDefault="0068412E" w:rsidP="006457C8">
      <w:pPr>
        <w:pStyle w:val="ListParagraph"/>
        <w:numPr>
          <w:ilvl w:val="0"/>
          <w:numId w:val="17"/>
        </w:numPr>
        <w:spacing w:after="0" w:line="240" w:lineRule="auto"/>
        <w:rPr>
          <w:rFonts w:ascii="Arial" w:hAnsi="Arial" w:cs="Arial"/>
          <w:color w:val="000000" w:themeColor="text1"/>
          <w:sz w:val="20"/>
          <w:szCs w:val="20"/>
        </w:rPr>
      </w:pPr>
      <w:r>
        <w:rPr>
          <w:rFonts w:ascii="Arial" w:hAnsi="Arial" w:cs="Arial"/>
          <w:color w:val="000000" w:themeColor="text1"/>
          <w:sz w:val="20"/>
          <w:szCs w:val="20"/>
        </w:rPr>
        <w:t>The bidder</w:t>
      </w:r>
      <w:r w:rsidR="006457C8" w:rsidRPr="006457C8">
        <w:rPr>
          <w:rFonts w:ascii="Arial" w:hAnsi="Arial" w:cs="Arial"/>
          <w:color w:val="000000" w:themeColor="text1"/>
          <w:sz w:val="20"/>
          <w:szCs w:val="20"/>
        </w:rPr>
        <w:t>’s premises must hold and provide copies of specific licenses as required by the competent authority for the activities concerned. The primary license is the MIA(IMP), which must include Manufacturing Operations authorisation which must authorise the company to do the processes which it proposes to use to deliver the service.   Copies to be requested from the successful bidder only.</w:t>
      </w:r>
    </w:p>
    <w:p w14:paraId="4781D80A" w14:textId="69E2BE87" w:rsidR="006457C8" w:rsidRPr="006457C8" w:rsidRDefault="0068412E" w:rsidP="006457C8">
      <w:pPr>
        <w:pStyle w:val="ListParagraph"/>
        <w:numPr>
          <w:ilvl w:val="0"/>
          <w:numId w:val="17"/>
        </w:numPr>
        <w:rPr>
          <w:rFonts w:ascii="Arial" w:hAnsi="Arial" w:cs="Arial"/>
          <w:color w:val="000000" w:themeColor="text1"/>
          <w:sz w:val="20"/>
          <w:szCs w:val="20"/>
        </w:rPr>
      </w:pPr>
      <w:bookmarkStart w:id="18" w:name="_Hlk171418181"/>
      <w:r>
        <w:rPr>
          <w:rFonts w:ascii="Arial" w:hAnsi="Arial" w:cs="Arial"/>
          <w:color w:val="000000" w:themeColor="text1"/>
          <w:sz w:val="20"/>
          <w:szCs w:val="20"/>
        </w:rPr>
        <w:t>The bidder</w:t>
      </w:r>
      <w:r w:rsidR="006457C8" w:rsidRPr="006457C8">
        <w:rPr>
          <w:rFonts w:ascii="Arial" w:hAnsi="Arial" w:cs="Arial"/>
          <w:color w:val="000000" w:themeColor="text1"/>
          <w:sz w:val="20"/>
          <w:szCs w:val="20"/>
        </w:rPr>
        <w:t xml:space="preserve"> must hold and provide copies of specific licences as required for the import of licenced medicinal products from the EEA (if applicable). The primary license, where the company proposes needing to import to fulfil the service, is the MIA(IMP), which must include an Importation of Medicinal Products authorisation which must authorise the company to do the importation processes which it proposes to use to deliver the service.   </w:t>
      </w:r>
    </w:p>
    <w:bookmarkEnd w:id="18"/>
    <w:p w14:paraId="5B49DB83" w14:textId="44B78CE5"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ensure that full comprehensive training is provided for handover for QP in the event of absence or change in QP.</w:t>
      </w:r>
    </w:p>
    <w:p w14:paraId="3B770F4D" w14:textId="77777777" w:rsidR="006457C8" w:rsidRPr="006457C8" w:rsidRDefault="006457C8" w:rsidP="006457C8">
      <w:pPr>
        <w:pStyle w:val="ListParagraph"/>
        <w:numPr>
          <w:ilvl w:val="0"/>
          <w:numId w:val="17"/>
        </w:numPr>
        <w:spacing w:after="0" w:line="240" w:lineRule="auto"/>
        <w:rPr>
          <w:rFonts w:ascii="Arial" w:hAnsi="Arial" w:cs="Arial"/>
          <w:sz w:val="20"/>
          <w:szCs w:val="20"/>
        </w:rPr>
      </w:pPr>
      <w:r w:rsidRPr="006457C8">
        <w:rPr>
          <w:rFonts w:ascii="Arial" w:hAnsi="Arial" w:cs="Arial"/>
          <w:sz w:val="20"/>
          <w:szCs w:val="20"/>
        </w:rPr>
        <w:t>Copies of the QP certification must be provided to STH/ NCTU throughout contract period.</w:t>
      </w:r>
    </w:p>
    <w:p w14:paraId="6192C73A" w14:textId="667E8A67"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work in accordance with Good Manufacturing Practice (GMP) derived from “the rules governing medicinal products in the European Community, Good Manufacturing practice for Medicinal Products”.</w:t>
      </w:r>
    </w:p>
    <w:p w14:paraId="56F1D622" w14:textId="066926DF" w:rsidR="006457C8" w:rsidRPr="006457C8" w:rsidRDefault="0068412E" w:rsidP="006457C8">
      <w:pPr>
        <w:pStyle w:val="ListParagraph"/>
        <w:numPr>
          <w:ilvl w:val="0"/>
          <w:numId w:val="17"/>
        </w:numPr>
        <w:spacing w:after="0" w:line="240" w:lineRule="auto"/>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work in accordance with Good Distribution Practice (GDP).</w:t>
      </w:r>
    </w:p>
    <w:p w14:paraId="16B0BCEE" w14:textId="77777777" w:rsidR="006457C8" w:rsidRPr="006457C8" w:rsidRDefault="006457C8" w:rsidP="006457C8">
      <w:pPr>
        <w:pStyle w:val="ListParagraph"/>
        <w:numPr>
          <w:ilvl w:val="0"/>
          <w:numId w:val="17"/>
        </w:numPr>
        <w:spacing w:after="0" w:line="240" w:lineRule="auto"/>
        <w:rPr>
          <w:rFonts w:ascii="Arial" w:hAnsi="Arial" w:cs="Arial"/>
          <w:sz w:val="20"/>
          <w:szCs w:val="20"/>
        </w:rPr>
      </w:pPr>
      <w:r w:rsidRPr="006457C8">
        <w:rPr>
          <w:rFonts w:ascii="Arial" w:hAnsi="Arial" w:cs="Arial"/>
          <w:sz w:val="20"/>
          <w:szCs w:val="20"/>
        </w:rPr>
        <w:t>The contractor must provide ongoing QP advice and guidance for the project including  u</w:t>
      </w:r>
      <w:r w:rsidRPr="006457C8">
        <w:rPr>
          <w:rStyle w:val="cf01"/>
          <w:rFonts w:ascii="Arial" w:hAnsi="Arial" w:cs="Arial"/>
          <w:sz w:val="20"/>
          <w:szCs w:val="20"/>
        </w:rPr>
        <w:t>se of products which may have been subject to temperature excursion or other storage deviation at any stage in the life of the product</w:t>
      </w:r>
      <w:r w:rsidRPr="006457C8">
        <w:rPr>
          <w:rFonts w:ascii="Arial" w:hAnsi="Arial" w:cs="Arial"/>
          <w:sz w:val="20"/>
          <w:szCs w:val="20"/>
        </w:rPr>
        <w:t>.</w:t>
      </w:r>
    </w:p>
    <w:p w14:paraId="154CC37D" w14:textId="77777777" w:rsidR="006457C8" w:rsidRPr="006457C8" w:rsidRDefault="006457C8" w:rsidP="006457C8">
      <w:pPr>
        <w:pStyle w:val="ListParagraph"/>
        <w:numPr>
          <w:ilvl w:val="0"/>
          <w:numId w:val="17"/>
        </w:numPr>
        <w:spacing w:after="0" w:line="240" w:lineRule="auto"/>
        <w:rPr>
          <w:rFonts w:ascii="Arial" w:hAnsi="Arial" w:cs="Arial"/>
          <w:sz w:val="20"/>
          <w:szCs w:val="20"/>
        </w:rPr>
      </w:pPr>
      <w:r w:rsidRPr="006457C8">
        <w:rPr>
          <w:rFonts w:ascii="Arial" w:hAnsi="Arial" w:cs="Arial"/>
          <w:sz w:val="20"/>
          <w:szCs w:val="20"/>
        </w:rPr>
        <w:t>The contractor must work in accordance with the Medicines for Human Use (Clinical Trials) Regulations 2004 and subsequent amendments and future relevant revisions, guidelines on Good Manufacture Practices (Volume 4) and Good Distribution Practice.</w:t>
      </w:r>
    </w:p>
    <w:p w14:paraId="3CF461C2" w14:textId="77777777" w:rsidR="006457C8" w:rsidRPr="006457C8" w:rsidRDefault="006457C8" w:rsidP="006457C8">
      <w:pPr>
        <w:pStyle w:val="ListParagraph"/>
        <w:numPr>
          <w:ilvl w:val="0"/>
          <w:numId w:val="17"/>
        </w:numPr>
        <w:spacing w:after="0" w:line="240" w:lineRule="auto"/>
        <w:rPr>
          <w:rFonts w:ascii="Arial" w:hAnsi="Arial" w:cs="Arial"/>
          <w:sz w:val="20"/>
          <w:szCs w:val="20"/>
        </w:rPr>
      </w:pPr>
      <w:r w:rsidRPr="006457C8">
        <w:rPr>
          <w:rFonts w:ascii="Arial" w:hAnsi="Arial" w:cs="Arial"/>
          <w:sz w:val="20"/>
          <w:szCs w:val="20"/>
        </w:rPr>
        <w:t>The contractor must work in accordance with current European/UK regulations and specifications as agreed in the Technical Agreement between STH and the contractor.</w:t>
      </w:r>
    </w:p>
    <w:p w14:paraId="06573708" w14:textId="77777777" w:rsidR="006457C8" w:rsidRPr="006457C8" w:rsidRDefault="006457C8" w:rsidP="006457C8">
      <w:pPr>
        <w:pStyle w:val="ListParagraph"/>
        <w:numPr>
          <w:ilvl w:val="0"/>
          <w:numId w:val="17"/>
        </w:numPr>
        <w:spacing w:after="0" w:line="240" w:lineRule="auto"/>
        <w:rPr>
          <w:rFonts w:ascii="Arial" w:hAnsi="Arial" w:cs="Arial"/>
          <w:sz w:val="20"/>
          <w:szCs w:val="20"/>
        </w:rPr>
      </w:pPr>
      <w:r w:rsidRPr="006457C8">
        <w:rPr>
          <w:rFonts w:ascii="Arial" w:hAnsi="Arial" w:cs="Arial"/>
          <w:sz w:val="20"/>
          <w:szCs w:val="20"/>
        </w:rPr>
        <w:t>The contractor must have understanding of and comply with all International (central and regional) legal and regulatory requirements including customs requirements if any part of the work is being performed outside the UK.</w:t>
      </w:r>
    </w:p>
    <w:p w14:paraId="5AE6E26E" w14:textId="77777777" w:rsidR="006457C8" w:rsidRPr="006457C8" w:rsidRDefault="006457C8" w:rsidP="006457C8">
      <w:pPr>
        <w:pStyle w:val="ListParagraph"/>
        <w:numPr>
          <w:ilvl w:val="0"/>
          <w:numId w:val="17"/>
        </w:numPr>
        <w:spacing w:after="0" w:line="240" w:lineRule="auto"/>
        <w:rPr>
          <w:rFonts w:ascii="Arial" w:hAnsi="Arial" w:cs="Arial"/>
          <w:sz w:val="20"/>
          <w:szCs w:val="20"/>
        </w:rPr>
      </w:pPr>
      <w:r w:rsidRPr="006457C8">
        <w:rPr>
          <w:rFonts w:ascii="Arial" w:hAnsi="Arial" w:cs="Arial"/>
          <w:sz w:val="20"/>
          <w:szCs w:val="20"/>
        </w:rPr>
        <w:t>The contractor must have appropriate insurance in place</w:t>
      </w:r>
    </w:p>
    <w:p w14:paraId="66897C76" w14:textId="77777777" w:rsidR="006457C8" w:rsidRPr="006457C8" w:rsidRDefault="006457C8" w:rsidP="006457C8">
      <w:pPr>
        <w:pStyle w:val="ListParagraph"/>
        <w:spacing w:after="0" w:line="240" w:lineRule="auto"/>
        <w:rPr>
          <w:rFonts w:ascii="Arial" w:hAnsi="Arial" w:cs="Arial"/>
          <w:sz w:val="20"/>
          <w:szCs w:val="20"/>
          <w:highlight w:val="yellow"/>
        </w:rPr>
      </w:pPr>
    </w:p>
    <w:p w14:paraId="4378A74A" w14:textId="77777777" w:rsidR="006457C8" w:rsidRPr="006457C8" w:rsidRDefault="006457C8" w:rsidP="006457C8">
      <w:pPr>
        <w:spacing w:line="240" w:lineRule="auto"/>
        <w:rPr>
          <w:sz w:val="20"/>
          <w:szCs w:val="20"/>
        </w:rPr>
      </w:pPr>
    </w:p>
    <w:p w14:paraId="06B6955B" w14:textId="77777777" w:rsidR="006457C8" w:rsidRPr="006457C8" w:rsidRDefault="006457C8" w:rsidP="006457C8">
      <w:pPr>
        <w:spacing w:line="240" w:lineRule="auto"/>
        <w:rPr>
          <w:sz w:val="20"/>
          <w:szCs w:val="20"/>
        </w:rPr>
      </w:pPr>
    </w:p>
    <w:p w14:paraId="258C84E0" w14:textId="77777777" w:rsidR="006457C8" w:rsidRPr="006457C8" w:rsidRDefault="006457C8" w:rsidP="006457C8">
      <w:pPr>
        <w:spacing w:line="240" w:lineRule="auto"/>
        <w:rPr>
          <w:sz w:val="20"/>
          <w:szCs w:val="20"/>
        </w:rPr>
      </w:pPr>
    </w:p>
    <w:p w14:paraId="1AD23D6D" w14:textId="77777777" w:rsidR="006457C8" w:rsidRPr="006457C8" w:rsidRDefault="006457C8" w:rsidP="006457C8">
      <w:pPr>
        <w:spacing w:line="240" w:lineRule="auto"/>
        <w:rPr>
          <w:sz w:val="20"/>
          <w:szCs w:val="20"/>
        </w:rPr>
      </w:pPr>
    </w:p>
    <w:p w14:paraId="0E8B2CFB" w14:textId="77777777" w:rsidR="006457C8" w:rsidRPr="006457C8" w:rsidRDefault="006457C8" w:rsidP="006457C8">
      <w:pPr>
        <w:spacing w:line="240" w:lineRule="auto"/>
        <w:rPr>
          <w:sz w:val="20"/>
          <w:szCs w:val="20"/>
        </w:rPr>
      </w:pPr>
    </w:p>
    <w:p w14:paraId="0C495D5F" w14:textId="77777777" w:rsidR="006457C8" w:rsidRPr="006457C8" w:rsidRDefault="006457C8" w:rsidP="006457C8">
      <w:pPr>
        <w:spacing w:line="240" w:lineRule="auto"/>
        <w:rPr>
          <w:sz w:val="20"/>
          <w:szCs w:val="20"/>
        </w:rPr>
      </w:pPr>
    </w:p>
    <w:p w14:paraId="758FC439" w14:textId="77777777" w:rsidR="006457C8" w:rsidRPr="006457C8" w:rsidRDefault="006457C8" w:rsidP="006457C8">
      <w:pPr>
        <w:spacing w:line="240" w:lineRule="auto"/>
        <w:rPr>
          <w:sz w:val="20"/>
          <w:szCs w:val="20"/>
        </w:rPr>
      </w:pPr>
    </w:p>
    <w:p w14:paraId="2767C02F" w14:textId="77777777" w:rsidR="006457C8" w:rsidRPr="006457C8" w:rsidRDefault="006457C8" w:rsidP="006457C8">
      <w:pPr>
        <w:spacing w:line="240" w:lineRule="auto"/>
        <w:rPr>
          <w:sz w:val="20"/>
          <w:szCs w:val="20"/>
        </w:rPr>
      </w:pPr>
    </w:p>
    <w:p w14:paraId="2DBF7EF5" w14:textId="77777777" w:rsidR="006457C8" w:rsidRPr="006457C8" w:rsidRDefault="006457C8" w:rsidP="00F9741F">
      <w:pPr>
        <w:pStyle w:val="Heading5"/>
      </w:pPr>
      <w:bookmarkStart w:id="19" w:name="_Toc167802074"/>
      <w:bookmarkStart w:id="20" w:name="_Hlk171950916"/>
      <w:r w:rsidRPr="006457C8">
        <w:t>Performance and Contract Management</w:t>
      </w:r>
      <w:bookmarkEnd w:id="19"/>
      <w:r w:rsidRPr="006457C8">
        <w:t xml:space="preserve"> </w:t>
      </w:r>
    </w:p>
    <w:bookmarkEnd w:id="20"/>
    <w:p w14:paraId="2676519A" w14:textId="133D1FB9" w:rsidR="006457C8" w:rsidRPr="006457C8" w:rsidRDefault="006457C8" w:rsidP="006457C8">
      <w:pPr>
        <w:pStyle w:val="ListParagraph"/>
        <w:numPr>
          <w:ilvl w:val="0"/>
          <w:numId w:val="11"/>
        </w:numPr>
        <w:jc w:val="both"/>
        <w:rPr>
          <w:rFonts w:ascii="Arial" w:hAnsi="Arial" w:cs="Arial"/>
          <w:sz w:val="20"/>
          <w:szCs w:val="20"/>
        </w:rPr>
      </w:pPr>
      <w:r w:rsidRPr="006457C8">
        <w:rPr>
          <w:rFonts w:ascii="Arial" w:hAnsi="Arial" w:cs="Arial"/>
          <w:sz w:val="20"/>
          <w:szCs w:val="20"/>
        </w:rPr>
        <w:t xml:space="preserve">The Trust will require a minimum of an annual contract management meetings to review </w:t>
      </w:r>
      <w:r w:rsidR="0068412E">
        <w:rPr>
          <w:rFonts w:ascii="Arial" w:hAnsi="Arial" w:cs="Arial"/>
          <w:sz w:val="20"/>
          <w:szCs w:val="20"/>
        </w:rPr>
        <w:t>the bidder</w:t>
      </w:r>
      <w:r w:rsidRPr="006457C8">
        <w:rPr>
          <w:rFonts w:ascii="Arial" w:hAnsi="Arial" w:cs="Arial"/>
          <w:sz w:val="20"/>
          <w:szCs w:val="20"/>
        </w:rPr>
        <w:t xml:space="preserve"> against the Key Performance Indicators (KPIs) for this contract and discuss matters arising generally under the contract. These meetings are to be held either on site or virtually through MS Teams, to be agreed between the Trust and supplier.</w:t>
      </w:r>
    </w:p>
    <w:p w14:paraId="24253732" w14:textId="6B183DFC" w:rsidR="006457C8" w:rsidRPr="006457C8" w:rsidRDefault="0068412E" w:rsidP="006457C8">
      <w:pPr>
        <w:pStyle w:val="ListParagraph"/>
        <w:numPr>
          <w:ilvl w:val="0"/>
          <w:numId w:val="11"/>
        </w:numPr>
        <w:rPr>
          <w:rFonts w:ascii="Arial" w:hAnsi="Arial" w:cs="Arial"/>
          <w:sz w:val="20"/>
          <w:szCs w:val="20"/>
        </w:rPr>
      </w:pPr>
      <w:r>
        <w:rPr>
          <w:rFonts w:ascii="Arial" w:hAnsi="Arial" w:cs="Arial"/>
          <w:sz w:val="20"/>
          <w:szCs w:val="20"/>
        </w:rPr>
        <w:t>The bidder</w:t>
      </w:r>
      <w:r w:rsidR="006457C8" w:rsidRPr="006457C8">
        <w:rPr>
          <w:rFonts w:ascii="Arial" w:hAnsi="Arial" w:cs="Arial"/>
          <w:sz w:val="20"/>
          <w:szCs w:val="20"/>
        </w:rPr>
        <w:t xml:space="preserve"> must provide a named contact to be the primary point of contact for contract management queries</w:t>
      </w:r>
    </w:p>
    <w:p w14:paraId="42C3401F" w14:textId="235D1AF3" w:rsidR="006457C8" w:rsidRPr="006457C8" w:rsidRDefault="006457C8" w:rsidP="006457C8">
      <w:pPr>
        <w:pStyle w:val="ListParagraph"/>
        <w:numPr>
          <w:ilvl w:val="0"/>
          <w:numId w:val="11"/>
        </w:numPr>
        <w:rPr>
          <w:rFonts w:ascii="Arial" w:hAnsi="Arial" w:cs="Arial"/>
          <w:sz w:val="20"/>
          <w:szCs w:val="20"/>
        </w:rPr>
      </w:pPr>
      <w:r w:rsidRPr="006457C8">
        <w:rPr>
          <w:rFonts w:ascii="Arial" w:hAnsi="Arial" w:cs="Arial"/>
          <w:sz w:val="20"/>
          <w:szCs w:val="20"/>
        </w:rPr>
        <w:t xml:space="preserve">Additional contract management meetings may be required if service levels fall </w:t>
      </w:r>
      <w:r w:rsidR="00055D84">
        <w:rPr>
          <w:rFonts w:ascii="Arial" w:hAnsi="Arial" w:cs="Arial"/>
          <w:sz w:val="20"/>
          <w:szCs w:val="20"/>
        </w:rPr>
        <w:t>below the target</w:t>
      </w:r>
      <w:r w:rsidRPr="006457C8">
        <w:rPr>
          <w:rFonts w:ascii="Arial" w:hAnsi="Arial" w:cs="Arial"/>
          <w:sz w:val="20"/>
          <w:szCs w:val="20"/>
        </w:rPr>
        <w:t xml:space="preserve"> detailed in the KPI’</w:t>
      </w:r>
      <w:r w:rsidR="00055D84">
        <w:rPr>
          <w:rFonts w:ascii="Arial" w:hAnsi="Arial" w:cs="Arial"/>
          <w:sz w:val="20"/>
          <w:szCs w:val="20"/>
        </w:rPr>
        <w:t>s</w:t>
      </w:r>
      <w:r w:rsidRPr="006457C8">
        <w:rPr>
          <w:rFonts w:ascii="Arial" w:hAnsi="Arial" w:cs="Arial"/>
          <w:sz w:val="20"/>
          <w:szCs w:val="20"/>
        </w:rPr>
        <w:t>. Action plans to remedy must be agreed with the Trust.</w:t>
      </w:r>
    </w:p>
    <w:p w14:paraId="46D4842C" w14:textId="4C7CA523" w:rsidR="008D374A" w:rsidRPr="00055D84" w:rsidRDefault="00D32F25" w:rsidP="00055D84">
      <w:pPr>
        <w:pStyle w:val="ListParagraph"/>
        <w:numPr>
          <w:ilvl w:val="0"/>
          <w:numId w:val="11"/>
        </w:numPr>
        <w:tabs>
          <w:tab w:val="left" w:pos="567"/>
          <w:tab w:val="left" w:pos="1134"/>
        </w:tabs>
        <w:spacing w:line="240" w:lineRule="auto"/>
        <w:jc w:val="both"/>
        <w:rPr>
          <w:rFonts w:eastAsia="Gill Sans"/>
          <w:b/>
          <w:sz w:val="20"/>
          <w:szCs w:val="20"/>
        </w:rPr>
      </w:pPr>
      <w:r>
        <w:rPr>
          <w:rFonts w:ascii="Arial" w:hAnsi="Arial" w:cs="Arial"/>
          <w:sz w:val="20"/>
          <w:szCs w:val="20"/>
        </w:rPr>
        <w:t xml:space="preserve">   </w:t>
      </w:r>
      <w:r w:rsidR="006457C8" w:rsidRPr="00055D84">
        <w:rPr>
          <w:rFonts w:ascii="Arial" w:hAnsi="Arial" w:cs="Arial"/>
          <w:sz w:val="20"/>
          <w:szCs w:val="20"/>
        </w:rPr>
        <w:t>KP</w:t>
      </w:r>
      <w:r w:rsidR="00055D84">
        <w:rPr>
          <w:rFonts w:ascii="Arial" w:hAnsi="Arial" w:cs="Arial"/>
          <w:sz w:val="20"/>
          <w:szCs w:val="20"/>
        </w:rPr>
        <w:t>I</w:t>
      </w:r>
      <w:r w:rsidR="006457C8" w:rsidRPr="00055D84">
        <w:rPr>
          <w:rFonts w:ascii="Arial" w:hAnsi="Arial" w:cs="Arial"/>
          <w:sz w:val="20"/>
          <w:szCs w:val="20"/>
        </w:rPr>
        <w:t xml:space="preserve">s can be reviewed and amended or added to at any time with mutual agreement between the Trust and </w:t>
      </w:r>
      <w:r w:rsidR="0068412E">
        <w:rPr>
          <w:rFonts w:ascii="Arial" w:hAnsi="Arial" w:cs="Arial"/>
          <w:sz w:val="20"/>
          <w:szCs w:val="20"/>
        </w:rPr>
        <w:t>the bidder</w:t>
      </w:r>
    </w:p>
    <w:p w14:paraId="4FF7A95A" w14:textId="77777777" w:rsidR="008D374A" w:rsidRPr="008F5A70" w:rsidRDefault="008D374A">
      <w:pPr>
        <w:spacing w:line="240" w:lineRule="auto"/>
        <w:jc w:val="both"/>
        <w:rPr>
          <w:rFonts w:eastAsia="Gill Sans"/>
          <w:i/>
          <w:color w:val="FF0000"/>
          <w:sz w:val="20"/>
          <w:szCs w:val="20"/>
        </w:rPr>
      </w:pPr>
    </w:p>
    <w:p w14:paraId="4DC04C48" w14:textId="2491B4D1" w:rsidR="008D374A" w:rsidRPr="008F5A70" w:rsidRDefault="008D374A">
      <w:pPr>
        <w:spacing w:line="240" w:lineRule="auto"/>
        <w:rPr>
          <w:rFonts w:eastAsia="Gill Sans"/>
          <w:color w:val="FF0000"/>
          <w:sz w:val="20"/>
          <w:szCs w:val="20"/>
        </w:rPr>
      </w:pPr>
    </w:p>
    <w:tbl>
      <w:tblPr>
        <w:tblStyle w:val="a1"/>
        <w:tblW w:w="86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40"/>
        <w:gridCol w:w="2100"/>
        <w:gridCol w:w="2295"/>
      </w:tblGrid>
      <w:tr w:rsidR="008D374A" w:rsidRPr="008F5A70" w14:paraId="065BBE9E" w14:textId="77777777" w:rsidTr="00D32F25">
        <w:tc>
          <w:tcPr>
            <w:tcW w:w="2520" w:type="dxa"/>
            <w:tcBorders>
              <w:top w:val="single" w:sz="4" w:space="0" w:color="000000"/>
              <w:left w:val="single" w:sz="4" w:space="0" w:color="000000"/>
              <w:bottom w:val="single" w:sz="4" w:space="0" w:color="000000"/>
              <w:right w:val="single" w:sz="4" w:space="0" w:color="000000"/>
            </w:tcBorders>
          </w:tcPr>
          <w:p w14:paraId="653B4DDB" w14:textId="77777777" w:rsidR="008D374A" w:rsidRPr="00055D84" w:rsidRDefault="008F5A70">
            <w:pPr>
              <w:spacing w:before="120" w:line="240" w:lineRule="auto"/>
              <w:rPr>
                <w:rFonts w:eastAsia="Gill Sans"/>
                <w:color w:val="0070C0"/>
                <w:sz w:val="20"/>
                <w:szCs w:val="20"/>
              </w:rPr>
            </w:pPr>
            <w:r w:rsidRPr="00055D84">
              <w:rPr>
                <w:rFonts w:eastAsia="Gill Sans"/>
                <w:color w:val="0070C0"/>
                <w:sz w:val="20"/>
                <w:szCs w:val="20"/>
              </w:rPr>
              <w:t>KPI</w:t>
            </w:r>
          </w:p>
          <w:p w14:paraId="2F26B362" w14:textId="2D977B06" w:rsidR="008D374A" w:rsidRPr="00055D84" w:rsidRDefault="008F5A70">
            <w:pPr>
              <w:spacing w:before="120" w:line="240" w:lineRule="auto"/>
              <w:rPr>
                <w:rFonts w:eastAsia="Gill Sans"/>
                <w:color w:val="0070C0"/>
                <w:sz w:val="20"/>
                <w:szCs w:val="20"/>
              </w:rPr>
            </w:pPr>
            <w:r w:rsidRPr="00055D84">
              <w:rPr>
                <w:rFonts w:eastAsia="Gill Sans"/>
                <w:color w:val="0070C0"/>
                <w:sz w:val="20"/>
                <w:szCs w:val="20"/>
              </w:rPr>
              <w:t>[</w:t>
            </w:r>
          </w:p>
        </w:tc>
        <w:tc>
          <w:tcPr>
            <w:tcW w:w="1740" w:type="dxa"/>
            <w:tcBorders>
              <w:top w:val="single" w:sz="4" w:space="0" w:color="000000"/>
              <w:left w:val="single" w:sz="4" w:space="0" w:color="000000"/>
              <w:bottom w:val="single" w:sz="4" w:space="0" w:color="000000"/>
              <w:right w:val="single" w:sz="4" w:space="0" w:color="000000"/>
            </w:tcBorders>
          </w:tcPr>
          <w:p w14:paraId="7ABC94DC" w14:textId="27576940" w:rsidR="008D374A" w:rsidRPr="00055D84" w:rsidRDefault="008F5A70">
            <w:pPr>
              <w:spacing w:before="120" w:line="240" w:lineRule="auto"/>
              <w:rPr>
                <w:rFonts w:eastAsia="Gill Sans"/>
                <w:color w:val="0070C0"/>
                <w:sz w:val="20"/>
                <w:szCs w:val="20"/>
              </w:rPr>
            </w:pPr>
            <w:r w:rsidRPr="00055D84">
              <w:rPr>
                <w:rFonts w:eastAsia="Gill Sans"/>
                <w:color w:val="0070C0"/>
                <w:sz w:val="20"/>
                <w:szCs w:val="20"/>
              </w:rPr>
              <w:t>Method for KPI measurement</w:t>
            </w:r>
          </w:p>
        </w:tc>
        <w:tc>
          <w:tcPr>
            <w:tcW w:w="2100" w:type="dxa"/>
            <w:tcBorders>
              <w:top w:val="single" w:sz="4" w:space="0" w:color="000000"/>
              <w:left w:val="single" w:sz="4" w:space="0" w:color="000000"/>
              <w:bottom w:val="single" w:sz="4" w:space="0" w:color="000000"/>
              <w:right w:val="single" w:sz="4" w:space="0" w:color="000000"/>
            </w:tcBorders>
          </w:tcPr>
          <w:p w14:paraId="2FA7A918" w14:textId="77777777" w:rsidR="008D374A" w:rsidRPr="00055D84" w:rsidRDefault="008F5A70">
            <w:pPr>
              <w:spacing w:before="120" w:line="240" w:lineRule="auto"/>
              <w:rPr>
                <w:rFonts w:eastAsia="Gill Sans"/>
                <w:color w:val="0070C0"/>
                <w:sz w:val="20"/>
                <w:szCs w:val="20"/>
              </w:rPr>
            </w:pPr>
            <w:r w:rsidRPr="00055D84">
              <w:rPr>
                <w:rFonts w:eastAsia="Gill Sans"/>
                <w:color w:val="0070C0"/>
                <w:sz w:val="20"/>
                <w:szCs w:val="20"/>
              </w:rPr>
              <w:t>Target achievement for KPI</w:t>
            </w:r>
          </w:p>
        </w:tc>
        <w:tc>
          <w:tcPr>
            <w:tcW w:w="2295" w:type="dxa"/>
            <w:tcBorders>
              <w:top w:val="single" w:sz="4" w:space="0" w:color="000000"/>
              <w:left w:val="single" w:sz="4" w:space="0" w:color="000000"/>
              <w:bottom w:val="single" w:sz="4" w:space="0" w:color="000000"/>
              <w:right w:val="single" w:sz="4" w:space="0" w:color="000000"/>
            </w:tcBorders>
          </w:tcPr>
          <w:p w14:paraId="4E0ECA38" w14:textId="77777777" w:rsidR="008D374A" w:rsidRPr="00055D84" w:rsidRDefault="008F5A70">
            <w:pPr>
              <w:spacing w:before="120" w:line="240" w:lineRule="auto"/>
              <w:rPr>
                <w:rFonts w:eastAsia="Gill Sans"/>
                <w:color w:val="0070C0"/>
                <w:sz w:val="20"/>
                <w:szCs w:val="20"/>
              </w:rPr>
            </w:pPr>
            <w:r w:rsidRPr="00055D84">
              <w:rPr>
                <w:rFonts w:eastAsia="Gill Sans"/>
                <w:color w:val="0070C0"/>
                <w:sz w:val="20"/>
                <w:szCs w:val="20"/>
              </w:rPr>
              <w:t>Frequency</w:t>
            </w:r>
          </w:p>
          <w:p w14:paraId="2870B1A5" w14:textId="77777777" w:rsidR="008D374A" w:rsidRPr="00055D84" w:rsidRDefault="008D374A">
            <w:pPr>
              <w:spacing w:before="120" w:line="240" w:lineRule="auto"/>
              <w:rPr>
                <w:rFonts w:eastAsia="Gill Sans"/>
                <w:color w:val="0070C0"/>
                <w:sz w:val="20"/>
                <w:szCs w:val="20"/>
              </w:rPr>
            </w:pPr>
          </w:p>
        </w:tc>
      </w:tr>
      <w:tr w:rsidR="008D374A" w:rsidRPr="008F5A70" w14:paraId="5346C0D3" w14:textId="77777777" w:rsidTr="00D32F25">
        <w:tc>
          <w:tcPr>
            <w:tcW w:w="2520" w:type="dxa"/>
            <w:tcBorders>
              <w:top w:val="single" w:sz="4" w:space="0" w:color="000000"/>
              <w:left w:val="single" w:sz="4" w:space="0" w:color="000000"/>
              <w:bottom w:val="single" w:sz="4" w:space="0" w:color="000000"/>
              <w:right w:val="single" w:sz="4" w:space="0" w:color="000000"/>
            </w:tcBorders>
          </w:tcPr>
          <w:p w14:paraId="08AC654E" w14:textId="0C8F61D5" w:rsidR="008D374A" w:rsidRPr="00055D84" w:rsidRDefault="007C4079">
            <w:pPr>
              <w:spacing w:line="240" w:lineRule="auto"/>
              <w:rPr>
                <w:rFonts w:eastAsia="Gill Sans"/>
                <w:sz w:val="20"/>
                <w:szCs w:val="20"/>
              </w:rPr>
            </w:pPr>
            <w:r w:rsidRPr="00055D84">
              <w:rPr>
                <w:rFonts w:eastAsia="Gill Sans"/>
                <w:sz w:val="20"/>
                <w:szCs w:val="20"/>
              </w:rPr>
              <w:t xml:space="preserve">Bidder to hold valid certificates, as outlined in the </w:t>
            </w:r>
            <w:r w:rsidR="00D32F25">
              <w:rPr>
                <w:rFonts w:eastAsia="Gill Sans"/>
                <w:sz w:val="20"/>
                <w:szCs w:val="20"/>
              </w:rPr>
              <w:t xml:space="preserve">Performance Standards of the </w:t>
            </w:r>
            <w:r w:rsidRPr="00055D84">
              <w:rPr>
                <w:rFonts w:eastAsia="Gill Sans"/>
                <w:sz w:val="20"/>
                <w:szCs w:val="20"/>
              </w:rPr>
              <w:t>specification for the duration of the contract.</w:t>
            </w:r>
          </w:p>
        </w:tc>
        <w:tc>
          <w:tcPr>
            <w:tcW w:w="1740" w:type="dxa"/>
            <w:tcBorders>
              <w:top w:val="single" w:sz="4" w:space="0" w:color="000000"/>
              <w:left w:val="single" w:sz="4" w:space="0" w:color="000000"/>
              <w:bottom w:val="single" w:sz="4" w:space="0" w:color="000000"/>
              <w:right w:val="single" w:sz="4" w:space="0" w:color="000000"/>
            </w:tcBorders>
          </w:tcPr>
          <w:p w14:paraId="58B713C3" w14:textId="6783ADAA" w:rsidR="008D374A" w:rsidRPr="00055D84" w:rsidRDefault="007C4079">
            <w:pPr>
              <w:spacing w:line="240" w:lineRule="auto"/>
              <w:rPr>
                <w:rFonts w:eastAsia="Gill Sans"/>
                <w:sz w:val="20"/>
                <w:szCs w:val="20"/>
              </w:rPr>
            </w:pPr>
            <w:r w:rsidRPr="00055D84">
              <w:rPr>
                <w:rFonts w:eastAsia="Gill Sans"/>
                <w:sz w:val="20"/>
                <w:szCs w:val="20"/>
              </w:rPr>
              <w:t>Supplier presentation</w:t>
            </w:r>
            <w:r w:rsidR="008F5A70" w:rsidRPr="00055D84">
              <w:rPr>
                <w:rFonts w:eastAsia="Gill Sans"/>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027E030D" w14:textId="2A950183" w:rsidR="008D374A" w:rsidRPr="00055D84" w:rsidRDefault="007C4079">
            <w:pPr>
              <w:spacing w:line="240" w:lineRule="auto"/>
              <w:rPr>
                <w:rFonts w:eastAsia="Gill Sans"/>
                <w:sz w:val="20"/>
                <w:szCs w:val="20"/>
              </w:rPr>
            </w:pPr>
            <w:r w:rsidRPr="00055D84">
              <w:rPr>
                <w:rFonts w:eastAsia="Gill Sans"/>
                <w:sz w:val="20"/>
                <w:szCs w:val="20"/>
              </w:rPr>
              <w:t>100%</w:t>
            </w:r>
          </w:p>
        </w:tc>
        <w:tc>
          <w:tcPr>
            <w:tcW w:w="2295" w:type="dxa"/>
            <w:tcBorders>
              <w:top w:val="single" w:sz="4" w:space="0" w:color="000000"/>
              <w:left w:val="single" w:sz="4" w:space="0" w:color="000000"/>
              <w:bottom w:val="single" w:sz="4" w:space="0" w:color="000000"/>
              <w:right w:val="single" w:sz="4" w:space="0" w:color="000000"/>
            </w:tcBorders>
          </w:tcPr>
          <w:p w14:paraId="3747A9B8" w14:textId="728168CF" w:rsidR="008D374A" w:rsidRPr="00055D84" w:rsidRDefault="007C4079">
            <w:pPr>
              <w:spacing w:line="240" w:lineRule="auto"/>
              <w:rPr>
                <w:rFonts w:eastAsia="Gill Sans"/>
                <w:sz w:val="20"/>
                <w:szCs w:val="20"/>
              </w:rPr>
            </w:pPr>
            <w:r w:rsidRPr="00055D84">
              <w:rPr>
                <w:rFonts w:eastAsia="Gill Sans"/>
                <w:sz w:val="20"/>
                <w:szCs w:val="20"/>
              </w:rPr>
              <w:t>Quarterly</w:t>
            </w:r>
          </w:p>
        </w:tc>
      </w:tr>
      <w:tr w:rsidR="008D374A" w:rsidRPr="008F5A70" w14:paraId="3CE1D017" w14:textId="77777777" w:rsidTr="00D32F25">
        <w:tc>
          <w:tcPr>
            <w:tcW w:w="2520" w:type="dxa"/>
            <w:tcBorders>
              <w:top w:val="single" w:sz="4" w:space="0" w:color="000000"/>
              <w:left w:val="single" w:sz="4" w:space="0" w:color="000000"/>
              <w:bottom w:val="single" w:sz="4" w:space="0" w:color="000000"/>
              <w:right w:val="single" w:sz="4" w:space="0" w:color="000000"/>
            </w:tcBorders>
          </w:tcPr>
          <w:p w14:paraId="5C604C59" w14:textId="4A644445" w:rsidR="008D374A" w:rsidRPr="00055D84" w:rsidRDefault="007C4079">
            <w:pPr>
              <w:spacing w:line="240" w:lineRule="auto"/>
              <w:rPr>
                <w:rFonts w:eastAsia="Gill Sans"/>
                <w:sz w:val="20"/>
                <w:szCs w:val="20"/>
              </w:rPr>
            </w:pPr>
            <w:r w:rsidRPr="00055D84">
              <w:rPr>
                <w:rFonts w:eastAsia="Gill Sans"/>
                <w:sz w:val="20"/>
                <w:szCs w:val="20"/>
              </w:rPr>
              <w:t xml:space="preserve">Bidder to supply medications with </w:t>
            </w:r>
            <w:r w:rsidR="00A07B20" w:rsidRPr="00055D84">
              <w:rPr>
                <w:rFonts w:eastAsia="Gill Sans"/>
                <w:sz w:val="20"/>
                <w:szCs w:val="20"/>
              </w:rPr>
              <w:t>expiry dates required in specification</w:t>
            </w:r>
            <w:r w:rsidRPr="00055D84">
              <w:rPr>
                <w:rFonts w:eastAsia="Gill Sans"/>
                <w:sz w:val="20"/>
                <w:szCs w:val="20"/>
              </w:rPr>
              <w:t>.</w:t>
            </w:r>
          </w:p>
        </w:tc>
        <w:tc>
          <w:tcPr>
            <w:tcW w:w="1740" w:type="dxa"/>
            <w:tcBorders>
              <w:top w:val="single" w:sz="4" w:space="0" w:color="000000"/>
              <w:left w:val="single" w:sz="4" w:space="0" w:color="000000"/>
              <w:bottom w:val="single" w:sz="4" w:space="0" w:color="000000"/>
              <w:right w:val="single" w:sz="4" w:space="0" w:color="000000"/>
            </w:tcBorders>
          </w:tcPr>
          <w:p w14:paraId="755DC92C" w14:textId="77777777" w:rsidR="008D374A" w:rsidRPr="00055D84" w:rsidRDefault="008F5A70">
            <w:pPr>
              <w:spacing w:line="240" w:lineRule="auto"/>
              <w:rPr>
                <w:rFonts w:eastAsia="Gill Sans"/>
                <w:sz w:val="20"/>
                <w:szCs w:val="20"/>
              </w:rPr>
            </w:pPr>
            <w:r w:rsidRPr="00055D84">
              <w:rPr>
                <w:rFonts w:eastAsia="Gill Sans"/>
                <w:sz w:val="20"/>
                <w:szCs w:val="20"/>
              </w:rPr>
              <w:t xml:space="preserve">Management information  </w:t>
            </w:r>
          </w:p>
        </w:tc>
        <w:tc>
          <w:tcPr>
            <w:tcW w:w="2100" w:type="dxa"/>
            <w:tcBorders>
              <w:top w:val="single" w:sz="4" w:space="0" w:color="000000"/>
              <w:left w:val="single" w:sz="4" w:space="0" w:color="000000"/>
              <w:bottom w:val="single" w:sz="4" w:space="0" w:color="000000"/>
              <w:right w:val="single" w:sz="4" w:space="0" w:color="000000"/>
            </w:tcBorders>
          </w:tcPr>
          <w:p w14:paraId="29FB8AD5" w14:textId="77777777" w:rsidR="008D374A" w:rsidRPr="00055D84" w:rsidRDefault="008F5A70">
            <w:pPr>
              <w:spacing w:line="240" w:lineRule="auto"/>
              <w:rPr>
                <w:rFonts w:eastAsia="Gill Sans"/>
                <w:sz w:val="20"/>
                <w:szCs w:val="20"/>
              </w:rPr>
            </w:pPr>
            <w:r w:rsidRPr="00055D84">
              <w:rPr>
                <w:rFonts w:eastAsia="Gill Sans"/>
                <w:sz w:val="20"/>
                <w:szCs w:val="20"/>
              </w:rPr>
              <w:t>95%</w:t>
            </w:r>
          </w:p>
        </w:tc>
        <w:tc>
          <w:tcPr>
            <w:tcW w:w="2295" w:type="dxa"/>
            <w:tcBorders>
              <w:top w:val="single" w:sz="4" w:space="0" w:color="000000"/>
              <w:left w:val="single" w:sz="4" w:space="0" w:color="000000"/>
              <w:bottom w:val="single" w:sz="4" w:space="0" w:color="000000"/>
              <w:right w:val="single" w:sz="4" w:space="0" w:color="000000"/>
            </w:tcBorders>
          </w:tcPr>
          <w:p w14:paraId="3209CBF2" w14:textId="77777777" w:rsidR="008D374A" w:rsidRPr="00055D84" w:rsidRDefault="008F5A70">
            <w:pPr>
              <w:spacing w:line="240" w:lineRule="auto"/>
              <w:rPr>
                <w:rFonts w:eastAsia="Gill Sans"/>
                <w:sz w:val="20"/>
                <w:szCs w:val="20"/>
              </w:rPr>
            </w:pPr>
            <w:r w:rsidRPr="00055D84">
              <w:rPr>
                <w:rFonts w:eastAsia="Gill Sans"/>
                <w:sz w:val="20"/>
                <w:szCs w:val="20"/>
              </w:rPr>
              <w:t xml:space="preserve">Quarterly </w:t>
            </w:r>
          </w:p>
        </w:tc>
      </w:tr>
      <w:tr w:rsidR="008D374A" w:rsidRPr="008F5A70" w14:paraId="593EE47E" w14:textId="77777777" w:rsidTr="00D32F25">
        <w:tc>
          <w:tcPr>
            <w:tcW w:w="2520" w:type="dxa"/>
            <w:tcBorders>
              <w:top w:val="single" w:sz="4" w:space="0" w:color="000000"/>
              <w:left w:val="single" w:sz="4" w:space="0" w:color="000000"/>
              <w:bottom w:val="single" w:sz="4" w:space="0" w:color="000000"/>
              <w:right w:val="single" w:sz="4" w:space="0" w:color="000000"/>
            </w:tcBorders>
          </w:tcPr>
          <w:p w14:paraId="3DF8DFA4" w14:textId="46D818B3" w:rsidR="008D374A" w:rsidRPr="00055D84" w:rsidRDefault="007C4079">
            <w:pPr>
              <w:spacing w:line="240" w:lineRule="auto"/>
              <w:rPr>
                <w:rFonts w:eastAsia="Gill Sans"/>
                <w:sz w:val="20"/>
                <w:szCs w:val="20"/>
              </w:rPr>
            </w:pPr>
            <w:r w:rsidRPr="00055D84">
              <w:rPr>
                <w:rFonts w:eastAsia="Gill Sans"/>
                <w:sz w:val="20"/>
                <w:szCs w:val="20"/>
              </w:rPr>
              <w:t>Bidder to maintain appropriate environment and temperature for storage of medications.</w:t>
            </w:r>
          </w:p>
        </w:tc>
        <w:tc>
          <w:tcPr>
            <w:tcW w:w="1740" w:type="dxa"/>
            <w:tcBorders>
              <w:top w:val="single" w:sz="4" w:space="0" w:color="000000"/>
              <w:left w:val="single" w:sz="4" w:space="0" w:color="000000"/>
              <w:bottom w:val="single" w:sz="4" w:space="0" w:color="000000"/>
              <w:right w:val="single" w:sz="4" w:space="0" w:color="000000"/>
            </w:tcBorders>
          </w:tcPr>
          <w:p w14:paraId="0FA875E4" w14:textId="589890A8" w:rsidR="008D374A" w:rsidRPr="00055D84" w:rsidRDefault="008F5A70">
            <w:pPr>
              <w:spacing w:line="240" w:lineRule="auto"/>
              <w:rPr>
                <w:rFonts w:eastAsia="Gill Sans"/>
                <w:sz w:val="20"/>
                <w:szCs w:val="20"/>
              </w:rPr>
            </w:pPr>
            <w:r w:rsidRPr="00055D84">
              <w:rPr>
                <w:rFonts w:eastAsia="Gill Sans"/>
                <w:sz w:val="20"/>
                <w:szCs w:val="20"/>
              </w:rPr>
              <w:t xml:space="preserve">Management information </w:t>
            </w:r>
          </w:p>
        </w:tc>
        <w:tc>
          <w:tcPr>
            <w:tcW w:w="2100" w:type="dxa"/>
            <w:tcBorders>
              <w:top w:val="single" w:sz="4" w:space="0" w:color="000000"/>
              <w:left w:val="single" w:sz="4" w:space="0" w:color="000000"/>
              <w:bottom w:val="single" w:sz="4" w:space="0" w:color="000000"/>
              <w:right w:val="single" w:sz="4" w:space="0" w:color="000000"/>
            </w:tcBorders>
          </w:tcPr>
          <w:p w14:paraId="4CBF611A" w14:textId="19AD10E8" w:rsidR="008D374A" w:rsidRPr="00055D84" w:rsidRDefault="007C4079">
            <w:pPr>
              <w:spacing w:line="240" w:lineRule="auto"/>
              <w:rPr>
                <w:rFonts w:eastAsia="Gill Sans"/>
                <w:sz w:val="20"/>
                <w:szCs w:val="20"/>
              </w:rPr>
            </w:pPr>
            <w:r w:rsidRPr="00055D84">
              <w:rPr>
                <w:rFonts w:eastAsia="Gill Sans"/>
                <w:sz w:val="20"/>
                <w:szCs w:val="20"/>
              </w:rPr>
              <w:t>95%</w:t>
            </w:r>
          </w:p>
        </w:tc>
        <w:tc>
          <w:tcPr>
            <w:tcW w:w="2295" w:type="dxa"/>
            <w:tcBorders>
              <w:top w:val="single" w:sz="4" w:space="0" w:color="000000"/>
              <w:left w:val="single" w:sz="4" w:space="0" w:color="000000"/>
              <w:bottom w:val="single" w:sz="4" w:space="0" w:color="000000"/>
              <w:right w:val="single" w:sz="4" w:space="0" w:color="000000"/>
            </w:tcBorders>
          </w:tcPr>
          <w:p w14:paraId="64FD01E7" w14:textId="117AEAE6" w:rsidR="008D374A" w:rsidRPr="00055D84" w:rsidRDefault="007C4079">
            <w:pPr>
              <w:spacing w:line="240" w:lineRule="auto"/>
              <w:rPr>
                <w:rFonts w:eastAsia="Gill Sans"/>
                <w:sz w:val="20"/>
                <w:szCs w:val="20"/>
              </w:rPr>
            </w:pPr>
            <w:r w:rsidRPr="00055D84">
              <w:rPr>
                <w:rFonts w:eastAsia="Gill Sans"/>
                <w:sz w:val="20"/>
                <w:szCs w:val="20"/>
              </w:rPr>
              <w:t>Quarterly</w:t>
            </w:r>
          </w:p>
        </w:tc>
      </w:tr>
      <w:tr w:rsidR="008D374A" w:rsidRPr="008F5A70" w14:paraId="628446F5" w14:textId="77777777" w:rsidTr="00D32F25">
        <w:tc>
          <w:tcPr>
            <w:tcW w:w="2520" w:type="dxa"/>
            <w:tcBorders>
              <w:top w:val="single" w:sz="4" w:space="0" w:color="000000"/>
              <w:left w:val="single" w:sz="4" w:space="0" w:color="000000"/>
              <w:bottom w:val="single" w:sz="4" w:space="0" w:color="000000"/>
              <w:right w:val="single" w:sz="4" w:space="0" w:color="000000"/>
            </w:tcBorders>
          </w:tcPr>
          <w:p w14:paraId="5CD08CFD" w14:textId="58FEEEF8" w:rsidR="008D374A" w:rsidRPr="00055D84" w:rsidRDefault="00A07B20">
            <w:pPr>
              <w:spacing w:line="240" w:lineRule="auto"/>
              <w:rPr>
                <w:rFonts w:eastAsia="Gill Sans"/>
                <w:sz w:val="20"/>
                <w:szCs w:val="20"/>
              </w:rPr>
            </w:pPr>
            <w:r w:rsidRPr="00055D84">
              <w:rPr>
                <w:rFonts w:eastAsia="Gill Sans"/>
                <w:sz w:val="20"/>
                <w:szCs w:val="20"/>
              </w:rPr>
              <w:t>Delivery of medications to match requirements of each site</w:t>
            </w:r>
            <w:r w:rsidR="008F5A70" w:rsidRPr="00055D84">
              <w:rPr>
                <w:rFonts w:eastAsia="Gill Sans"/>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47BDB03C" w14:textId="77777777" w:rsidR="008D374A" w:rsidRPr="00055D84" w:rsidRDefault="008F5A70">
            <w:pPr>
              <w:spacing w:line="240" w:lineRule="auto"/>
              <w:rPr>
                <w:rFonts w:eastAsia="Gill Sans"/>
                <w:sz w:val="20"/>
                <w:szCs w:val="20"/>
              </w:rPr>
            </w:pPr>
            <w:r w:rsidRPr="00055D84">
              <w:rPr>
                <w:rFonts w:eastAsia="Gill Sans"/>
                <w:sz w:val="20"/>
                <w:szCs w:val="20"/>
              </w:rPr>
              <w:t xml:space="preserve">Management information of recalls  </w:t>
            </w:r>
          </w:p>
        </w:tc>
        <w:tc>
          <w:tcPr>
            <w:tcW w:w="2100" w:type="dxa"/>
            <w:tcBorders>
              <w:top w:val="single" w:sz="4" w:space="0" w:color="000000"/>
              <w:left w:val="single" w:sz="4" w:space="0" w:color="000000"/>
              <w:bottom w:val="single" w:sz="4" w:space="0" w:color="000000"/>
              <w:right w:val="single" w:sz="4" w:space="0" w:color="000000"/>
            </w:tcBorders>
          </w:tcPr>
          <w:p w14:paraId="531EBDF8" w14:textId="77777777" w:rsidR="008D374A" w:rsidRPr="00055D84" w:rsidRDefault="008F5A70">
            <w:pPr>
              <w:spacing w:line="240" w:lineRule="auto"/>
              <w:rPr>
                <w:rFonts w:eastAsia="Gill Sans"/>
                <w:sz w:val="20"/>
                <w:szCs w:val="20"/>
              </w:rPr>
            </w:pPr>
            <w:r w:rsidRPr="00055D84">
              <w:rPr>
                <w:rFonts w:eastAsia="Gill Sans"/>
                <w:sz w:val="20"/>
                <w:szCs w:val="20"/>
              </w:rPr>
              <w:t>95%</w:t>
            </w:r>
          </w:p>
        </w:tc>
        <w:tc>
          <w:tcPr>
            <w:tcW w:w="2295" w:type="dxa"/>
            <w:tcBorders>
              <w:top w:val="single" w:sz="4" w:space="0" w:color="000000"/>
              <w:left w:val="single" w:sz="4" w:space="0" w:color="000000"/>
              <w:bottom w:val="single" w:sz="4" w:space="0" w:color="000000"/>
              <w:right w:val="single" w:sz="4" w:space="0" w:color="000000"/>
            </w:tcBorders>
          </w:tcPr>
          <w:p w14:paraId="5D6ABA91" w14:textId="1CC50AAC" w:rsidR="008D374A" w:rsidRPr="00055D84" w:rsidRDefault="00A07B20">
            <w:pPr>
              <w:spacing w:line="240" w:lineRule="auto"/>
              <w:rPr>
                <w:rFonts w:eastAsia="Gill Sans"/>
                <w:sz w:val="20"/>
                <w:szCs w:val="20"/>
              </w:rPr>
            </w:pPr>
            <w:r w:rsidRPr="00055D84">
              <w:rPr>
                <w:rFonts w:eastAsia="Gill Sans"/>
                <w:sz w:val="20"/>
                <w:szCs w:val="20"/>
              </w:rPr>
              <w:t>After each request</w:t>
            </w:r>
          </w:p>
        </w:tc>
      </w:tr>
      <w:tr w:rsidR="008D374A" w:rsidRPr="008F5A70" w14:paraId="44ABB7B2" w14:textId="77777777" w:rsidTr="00D32F25">
        <w:tc>
          <w:tcPr>
            <w:tcW w:w="2520" w:type="dxa"/>
            <w:tcBorders>
              <w:top w:val="single" w:sz="4" w:space="0" w:color="000000"/>
              <w:left w:val="single" w:sz="4" w:space="0" w:color="000000"/>
              <w:bottom w:val="single" w:sz="4" w:space="0" w:color="000000"/>
              <w:right w:val="single" w:sz="4" w:space="0" w:color="000000"/>
            </w:tcBorders>
          </w:tcPr>
          <w:p w14:paraId="07A30FA1" w14:textId="4FF4F8CC" w:rsidR="008D374A" w:rsidRPr="00055D84" w:rsidRDefault="00A07B20">
            <w:pPr>
              <w:spacing w:line="240" w:lineRule="auto"/>
              <w:rPr>
                <w:rFonts w:eastAsia="Gill Sans"/>
                <w:sz w:val="20"/>
                <w:szCs w:val="20"/>
              </w:rPr>
            </w:pPr>
            <w:r w:rsidRPr="00055D84">
              <w:rPr>
                <w:sz w:val="20"/>
                <w:szCs w:val="20"/>
              </w:rPr>
              <w:t>Reduction in the use of single-use plastics used in packaging and products</w:t>
            </w:r>
          </w:p>
        </w:tc>
        <w:tc>
          <w:tcPr>
            <w:tcW w:w="1740" w:type="dxa"/>
            <w:tcBorders>
              <w:top w:val="single" w:sz="4" w:space="0" w:color="000000"/>
              <w:left w:val="single" w:sz="4" w:space="0" w:color="000000"/>
              <w:bottom w:val="single" w:sz="4" w:space="0" w:color="000000"/>
              <w:right w:val="single" w:sz="4" w:space="0" w:color="000000"/>
            </w:tcBorders>
          </w:tcPr>
          <w:p w14:paraId="159B592D" w14:textId="74BCD387" w:rsidR="008D374A" w:rsidRPr="00055D84" w:rsidRDefault="00A07B20">
            <w:pPr>
              <w:spacing w:line="240" w:lineRule="auto"/>
              <w:rPr>
                <w:rFonts w:eastAsia="Gill Sans"/>
                <w:sz w:val="20"/>
                <w:szCs w:val="20"/>
              </w:rPr>
            </w:pPr>
            <w:r w:rsidRPr="00055D84">
              <w:rPr>
                <w:rFonts w:eastAsia="Gill Sans"/>
                <w:sz w:val="20"/>
                <w:szCs w:val="20"/>
              </w:rPr>
              <w:t>Supplier presentation</w:t>
            </w:r>
          </w:p>
        </w:tc>
        <w:tc>
          <w:tcPr>
            <w:tcW w:w="2100" w:type="dxa"/>
            <w:tcBorders>
              <w:top w:val="single" w:sz="4" w:space="0" w:color="000000"/>
              <w:left w:val="single" w:sz="4" w:space="0" w:color="000000"/>
              <w:bottom w:val="single" w:sz="4" w:space="0" w:color="000000"/>
              <w:right w:val="single" w:sz="4" w:space="0" w:color="000000"/>
            </w:tcBorders>
          </w:tcPr>
          <w:p w14:paraId="03B8C3FB" w14:textId="3E305C2B" w:rsidR="008D374A" w:rsidRPr="00055D84" w:rsidRDefault="00A07B20">
            <w:pPr>
              <w:spacing w:line="240" w:lineRule="auto"/>
              <w:rPr>
                <w:rFonts w:eastAsia="Gill Sans"/>
                <w:sz w:val="20"/>
                <w:szCs w:val="20"/>
              </w:rPr>
            </w:pPr>
            <w:r w:rsidRPr="00055D84">
              <w:rPr>
                <w:rFonts w:eastAsia="Gill Sans"/>
                <w:sz w:val="20"/>
                <w:szCs w:val="20"/>
              </w:rPr>
              <w:t>Continued reduction</w:t>
            </w:r>
          </w:p>
        </w:tc>
        <w:tc>
          <w:tcPr>
            <w:tcW w:w="2295" w:type="dxa"/>
            <w:tcBorders>
              <w:top w:val="single" w:sz="4" w:space="0" w:color="000000"/>
              <w:left w:val="single" w:sz="4" w:space="0" w:color="000000"/>
              <w:bottom w:val="single" w:sz="4" w:space="0" w:color="000000"/>
              <w:right w:val="single" w:sz="4" w:space="0" w:color="000000"/>
            </w:tcBorders>
          </w:tcPr>
          <w:p w14:paraId="6243233D" w14:textId="77777777" w:rsidR="008D374A" w:rsidRPr="00055D84" w:rsidRDefault="008F5A70">
            <w:pPr>
              <w:spacing w:line="240" w:lineRule="auto"/>
              <w:rPr>
                <w:rFonts w:eastAsia="Gill Sans"/>
                <w:sz w:val="20"/>
                <w:szCs w:val="20"/>
              </w:rPr>
            </w:pPr>
            <w:r w:rsidRPr="00055D84">
              <w:rPr>
                <w:rFonts w:eastAsia="Gill Sans"/>
                <w:sz w:val="20"/>
                <w:szCs w:val="20"/>
              </w:rPr>
              <w:t>Quarterly</w:t>
            </w:r>
          </w:p>
        </w:tc>
      </w:tr>
      <w:tr w:rsidR="00A07B20" w:rsidRPr="008F5A70" w14:paraId="609989BE" w14:textId="77777777" w:rsidTr="00D32F25">
        <w:tc>
          <w:tcPr>
            <w:tcW w:w="2520" w:type="dxa"/>
            <w:tcBorders>
              <w:top w:val="single" w:sz="4" w:space="0" w:color="000000"/>
              <w:left w:val="single" w:sz="4" w:space="0" w:color="000000"/>
              <w:bottom w:val="single" w:sz="4" w:space="0" w:color="000000"/>
              <w:right w:val="single" w:sz="4" w:space="0" w:color="000000"/>
            </w:tcBorders>
          </w:tcPr>
          <w:p w14:paraId="0510EF0C" w14:textId="3E957F87" w:rsidR="00A07B20" w:rsidRPr="00055D84" w:rsidRDefault="00A07B20">
            <w:pPr>
              <w:spacing w:line="240" w:lineRule="auto"/>
              <w:rPr>
                <w:sz w:val="20"/>
                <w:szCs w:val="20"/>
              </w:rPr>
            </w:pPr>
            <w:r w:rsidRPr="00055D84">
              <w:rPr>
                <w:sz w:val="20"/>
                <w:szCs w:val="20"/>
              </w:rPr>
              <w:t>Reduction in the Freight miles used to deliver this contract</w:t>
            </w:r>
          </w:p>
        </w:tc>
        <w:tc>
          <w:tcPr>
            <w:tcW w:w="1740" w:type="dxa"/>
            <w:tcBorders>
              <w:top w:val="single" w:sz="4" w:space="0" w:color="000000"/>
              <w:left w:val="single" w:sz="4" w:space="0" w:color="000000"/>
              <w:bottom w:val="single" w:sz="4" w:space="0" w:color="000000"/>
              <w:right w:val="single" w:sz="4" w:space="0" w:color="000000"/>
            </w:tcBorders>
          </w:tcPr>
          <w:p w14:paraId="75AF46FE" w14:textId="7AB379D7" w:rsidR="00A07B20" w:rsidRPr="00055D84" w:rsidRDefault="00A07B20">
            <w:pPr>
              <w:spacing w:line="240" w:lineRule="auto"/>
              <w:rPr>
                <w:rFonts w:eastAsia="Gill Sans"/>
                <w:sz w:val="20"/>
                <w:szCs w:val="20"/>
              </w:rPr>
            </w:pPr>
            <w:r w:rsidRPr="00055D84">
              <w:rPr>
                <w:rFonts w:eastAsia="Gill Sans"/>
                <w:sz w:val="20"/>
                <w:szCs w:val="20"/>
              </w:rPr>
              <w:t>Supplier presentation</w:t>
            </w:r>
          </w:p>
        </w:tc>
        <w:tc>
          <w:tcPr>
            <w:tcW w:w="2100" w:type="dxa"/>
            <w:tcBorders>
              <w:top w:val="single" w:sz="4" w:space="0" w:color="000000"/>
              <w:left w:val="single" w:sz="4" w:space="0" w:color="000000"/>
              <w:bottom w:val="single" w:sz="4" w:space="0" w:color="000000"/>
              <w:right w:val="single" w:sz="4" w:space="0" w:color="000000"/>
            </w:tcBorders>
          </w:tcPr>
          <w:p w14:paraId="604381D9" w14:textId="20438CA4" w:rsidR="00A07B20" w:rsidRPr="00055D84" w:rsidRDefault="00A07B20">
            <w:pPr>
              <w:spacing w:line="240" w:lineRule="auto"/>
              <w:rPr>
                <w:rFonts w:eastAsia="Gill Sans"/>
                <w:sz w:val="20"/>
                <w:szCs w:val="20"/>
              </w:rPr>
            </w:pPr>
            <w:r w:rsidRPr="00055D84">
              <w:rPr>
                <w:rFonts w:eastAsia="Gill Sans"/>
                <w:sz w:val="20"/>
                <w:szCs w:val="20"/>
              </w:rPr>
              <w:t>Continued reduction</w:t>
            </w:r>
          </w:p>
        </w:tc>
        <w:tc>
          <w:tcPr>
            <w:tcW w:w="2295" w:type="dxa"/>
            <w:tcBorders>
              <w:top w:val="single" w:sz="4" w:space="0" w:color="000000"/>
              <w:left w:val="single" w:sz="4" w:space="0" w:color="000000"/>
              <w:bottom w:val="single" w:sz="4" w:space="0" w:color="000000"/>
              <w:right w:val="single" w:sz="4" w:space="0" w:color="000000"/>
            </w:tcBorders>
          </w:tcPr>
          <w:p w14:paraId="18D93A2D" w14:textId="12443D24" w:rsidR="00A07B20" w:rsidRPr="00055D84" w:rsidRDefault="00A07B20">
            <w:pPr>
              <w:spacing w:line="240" w:lineRule="auto"/>
              <w:rPr>
                <w:rFonts w:eastAsia="Gill Sans"/>
                <w:sz w:val="20"/>
                <w:szCs w:val="20"/>
              </w:rPr>
            </w:pPr>
            <w:r w:rsidRPr="00055D84">
              <w:rPr>
                <w:rFonts w:eastAsia="Gill Sans"/>
                <w:sz w:val="20"/>
                <w:szCs w:val="20"/>
              </w:rPr>
              <w:t>Quarterly</w:t>
            </w:r>
          </w:p>
        </w:tc>
      </w:tr>
    </w:tbl>
    <w:p w14:paraId="0AB30E05" w14:textId="77777777" w:rsidR="008D374A" w:rsidRPr="008F5A70" w:rsidRDefault="008D374A">
      <w:pPr>
        <w:tabs>
          <w:tab w:val="left" w:pos="567"/>
          <w:tab w:val="left" w:pos="1134"/>
        </w:tabs>
        <w:spacing w:line="240" w:lineRule="auto"/>
        <w:jc w:val="both"/>
        <w:rPr>
          <w:rFonts w:eastAsia="Gill Sans"/>
          <w:color w:val="5C068C"/>
          <w:sz w:val="20"/>
          <w:szCs w:val="20"/>
        </w:rPr>
      </w:pPr>
    </w:p>
    <w:p w14:paraId="122D8DF1" w14:textId="77777777" w:rsidR="008D374A" w:rsidRPr="008F5A70" w:rsidRDefault="008D374A">
      <w:pPr>
        <w:spacing w:line="240" w:lineRule="auto"/>
        <w:ind w:left="720"/>
        <w:rPr>
          <w:rFonts w:eastAsia="Gill Sans"/>
          <w:b/>
          <w:color w:val="FF0000"/>
          <w:sz w:val="20"/>
          <w:szCs w:val="20"/>
        </w:rPr>
      </w:pPr>
    </w:p>
    <w:p w14:paraId="61584EA5" w14:textId="77777777" w:rsidR="0068412E" w:rsidRDefault="0068412E" w:rsidP="0068412E">
      <w:pPr>
        <w:pStyle w:val="Heading5"/>
      </w:pPr>
      <w:bookmarkStart w:id="21" w:name="_Toc167802077"/>
      <w:bookmarkStart w:id="22" w:name="_Hlk171950927"/>
      <w:r>
        <w:lastRenderedPageBreak/>
        <w:t>Complaints Management</w:t>
      </w:r>
      <w:bookmarkEnd w:id="21"/>
    </w:p>
    <w:bookmarkEnd w:id="22"/>
    <w:p w14:paraId="64640213" w14:textId="5CF2D99D" w:rsidR="00055D84" w:rsidRPr="00055D84" w:rsidRDefault="00055D84" w:rsidP="00055D84">
      <w:pPr>
        <w:pStyle w:val="BodyTextIndent2"/>
        <w:ind w:left="0" w:firstLine="0"/>
        <w:rPr>
          <w:rFonts w:ascii="Arial" w:hAnsi="Arial" w:cs="Arial"/>
          <w:sz w:val="20"/>
        </w:rPr>
      </w:pPr>
      <w:r w:rsidRPr="00055D84">
        <w:rPr>
          <w:rFonts w:ascii="Arial" w:hAnsi="Arial" w:cs="Arial"/>
          <w:sz w:val="20"/>
        </w:rPr>
        <w:t xml:space="preserve">Any complaint from sponsor regarding quality of supplied product must be acknowledged by </w:t>
      </w:r>
      <w:r>
        <w:rPr>
          <w:rFonts w:ascii="Arial" w:hAnsi="Arial" w:cs="Arial"/>
          <w:sz w:val="20"/>
        </w:rPr>
        <w:t>bidder</w:t>
      </w:r>
      <w:r w:rsidRPr="00055D84" w:rsidDel="00C634C0">
        <w:rPr>
          <w:rFonts w:ascii="Arial" w:hAnsi="Arial" w:cs="Arial"/>
          <w:sz w:val="20"/>
          <w:lang w:eastAsia="en-GB"/>
        </w:rPr>
        <w:t xml:space="preserve"> </w:t>
      </w:r>
      <w:r w:rsidRPr="00055D84">
        <w:rPr>
          <w:rFonts w:ascii="Arial" w:hAnsi="Arial" w:cs="Arial"/>
          <w:sz w:val="20"/>
        </w:rPr>
        <w:t>within 2 working days.</w:t>
      </w:r>
    </w:p>
    <w:p w14:paraId="6BB07F2C" w14:textId="77777777" w:rsidR="00055D84" w:rsidRPr="00055D84" w:rsidRDefault="00055D84" w:rsidP="00055D84">
      <w:pPr>
        <w:pStyle w:val="BodyTextIndent2"/>
        <w:ind w:left="0" w:firstLine="0"/>
        <w:rPr>
          <w:rFonts w:ascii="Arial" w:hAnsi="Arial" w:cs="Arial"/>
          <w:sz w:val="20"/>
        </w:rPr>
      </w:pPr>
    </w:p>
    <w:p w14:paraId="5EC805AD" w14:textId="753CD6A3" w:rsidR="008D374A" w:rsidRPr="00055D84" w:rsidRDefault="00055D84" w:rsidP="00055D84">
      <w:pPr>
        <w:spacing w:line="240" w:lineRule="auto"/>
        <w:ind w:left="360"/>
        <w:jc w:val="both"/>
        <w:rPr>
          <w:color w:val="FF0000"/>
          <w:sz w:val="20"/>
          <w:szCs w:val="20"/>
        </w:rPr>
      </w:pPr>
      <w:r w:rsidRPr="00055D84">
        <w:rPr>
          <w:sz w:val="20"/>
          <w:szCs w:val="20"/>
        </w:rPr>
        <w:t xml:space="preserve">A report containing details of the investigation with corrective and preventative actions must be forwarded to sponsor within 30 working days. </w:t>
      </w:r>
      <w:r>
        <w:rPr>
          <w:sz w:val="20"/>
          <w:szCs w:val="20"/>
        </w:rPr>
        <w:t>The Bidder</w:t>
      </w:r>
      <w:r w:rsidRPr="00055D84" w:rsidDel="00C634C0">
        <w:rPr>
          <w:sz w:val="20"/>
          <w:szCs w:val="20"/>
        </w:rPr>
        <w:t xml:space="preserve"> </w:t>
      </w:r>
      <w:r w:rsidRPr="00055D84">
        <w:rPr>
          <w:sz w:val="20"/>
          <w:szCs w:val="20"/>
        </w:rPr>
        <w:t>must make every effort to complete investigations and provide feedback including actions assigned to Sponsor in a timely manner</w:t>
      </w:r>
      <w:r>
        <w:rPr>
          <w:sz w:val="20"/>
          <w:szCs w:val="20"/>
        </w:rPr>
        <w:t>.</w:t>
      </w:r>
    </w:p>
    <w:p w14:paraId="3A8EA71F" w14:textId="77777777" w:rsidR="008D374A" w:rsidRPr="008F5A70" w:rsidRDefault="008D374A">
      <w:pPr>
        <w:tabs>
          <w:tab w:val="left" w:pos="720"/>
        </w:tabs>
        <w:spacing w:before="40" w:after="40" w:line="240" w:lineRule="auto"/>
        <w:rPr>
          <w:rFonts w:eastAsia="Gill Sans"/>
          <w:color w:val="FF0000"/>
          <w:sz w:val="20"/>
          <w:szCs w:val="20"/>
        </w:rPr>
      </w:pPr>
    </w:p>
    <w:p w14:paraId="0DAE31F9" w14:textId="77777777" w:rsidR="008D374A" w:rsidRPr="008F5A70" w:rsidRDefault="008D374A">
      <w:pPr>
        <w:tabs>
          <w:tab w:val="left" w:pos="720"/>
        </w:tabs>
        <w:spacing w:before="40" w:after="40" w:line="240" w:lineRule="auto"/>
        <w:rPr>
          <w:rFonts w:eastAsia="Gill Sans"/>
          <w:color w:val="FF0000"/>
          <w:sz w:val="20"/>
          <w:szCs w:val="20"/>
        </w:rPr>
      </w:pPr>
    </w:p>
    <w:p w14:paraId="5AA295C4" w14:textId="77777777" w:rsidR="008D374A" w:rsidRPr="008F5A70" w:rsidRDefault="008D374A">
      <w:pPr>
        <w:rPr>
          <w:sz w:val="20"/>
          <w:szCs w:val="20"/>
        </w:rPr>
      </w:pPr>
    </w:p>
    <w:sectPr w:rsidR="008D374A" w:rsidRPr="008F5A70">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D7F1" w14:textId="77777777" w:rsidR="008F5A70" w:rsidRDefault="008F5A70" w:rsidP="008F5A70">
      <w:pPr>
        <w:spacing w:line="240" w:lineRule="auto"/>
      </w:pPr>
      <w:r>
        <w:separator/>
      </w:r>
    </w:p>
  </w:endnote>
  <w:endnote w:type="continuationSeparator" w:id="0">
    <w:p w14:paraId="52E7C55C" w14:textId="77777777" w:rsidR="008F5A70" w:rsidRDefault="008F5A70" w:rsidP="008F5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146413"/>
      <w:docPartObj>
        <w:docPartGallery w:val="Page Numbers (Bottom of Page)"/>
        <w:docPartUnique/>
      </w:docPartObj>
    </w:sdtPr>
    <w:sdtEndPr>
      <w:rPr>
        <w:noProof/>
      </w:rPr>
    </w:sdtEndPr>
    <w:sdtContent>
      <w:p w14:paraId="45E14A7A" w14:textId="795D8D88" w:rsidR="00B22303" w:rsidRDefault="00B22303">
        <w:pPr>
          <w:pStyle w:val="Footer"/>
        </w:pPr>
        <w:r>
          <w:fldChar w:fldCharType="begin"/>
        </w:r>
        <w:r>
          <w:instrText xml:space="preserve"> PAGE   \* MERGEFORMAT </w:instrText>
        </w:r>
        <w:r>
          <w:fldChar w:fldCharType="separate"/>
        </w:r>
        <w:r>
          <w:rPr>
            <w:noProof/>
          </w:rPr>
          <w:t>2</w:t>
        </w:r>
        <w:r>
          <w:rPr>
            <w:noProof/>
          </w:rPr>
          <w:fldChar w:fldCharType="end"/>
        </w:r>
      </w:p>
    </w:sdtContent>
  </w:sdt>
  <w:p w14:paraId="22F527DA" w14:textId="77777777" w:rsidR="00B22303" w:rsidRDefault="00B22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65D3D" w14:textId="77777777" w:rsidR="008F5A70" w:rsidRDefault="008F5A70" w:rsidP="008F5A70">
      <w:pPr>
        <w:spacing w:line="240" w:lineRule="auto"/>
      </w:pPr>
      <w:r>
        <w:separator/>
      </w:r>
    </w:p>
  </w:footnote>
  <w:footnote w:type="continuationSeparator" w:id="0">
    <w:p w14:paraId="6AD029FE" w14:textId="77777777" w:rsidR="008F5A70" w:rsidRDefault="008F5A70" w:rsidP="008F5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CD74E" w14:textId="5DEA9323" w:rsidR="008F5A70" w:rsidRDefault="008F5A70" w:rsidP="008F5A70">
    <w:pPr>
      <w:pStyle w:val="Header"/>
    </w:pPr>
    <w:r>
      <w:rPr>
        <w:noProof/>
      </w:rPr>
      <w:drawing>
        <wp:inline distT="0" distB="0" distL="0" distR="0" wp14:anchorId="0B1B9669" wp14:editId="3C65F4D0">
          <wp:extent cx="5240020" cy="755650"/>
          <wp:effectExtent l="0" t="0" r="0" b="6350"/>
          <wp:docPr id="1" name="Picture 1" descr="logos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0020" cy="755650"/>
                  </a:xfrm>
                  <a:prstGeom prst="rect">
                    <a:avLst/>
                  </a:prstGeom>
                  <a:noFill/>
                  <a:ln>
                    <a:noFill/>
                  </a:ln>
                </pic:spPr>
              </pic:pic>
            </a:graphicData>
          </a:graphic>
        </wp:inline>
      </w:drawing>
    </w:r>
  </w:p>
  <w:p w14:paraId="0D8E50A3" w14:textId="77777777" w:rsidR="008F5A70" w:rsidRDefault="008F5A70" w:rsidP="008F5A70">
    <w:pPr>
      <w:pStyle w:val="Header"/>
    </w:pPr>
  </w:p>
  <w:p w14:paraId="2C38D645" w14:textId="77777777" w:rsidR="008F5A70" w:rsidRDefault="008F5A70" w:rsidP="008F5A70">
    <w:pPr>
      <w:pStyle w:val="Header"/>
      <w:jc w:val="right"/>
      <w:rPr>
        <w:b/>
        <w:bCs/>
        <w:color w:val="747277"/>
        <w:sz w:val="18"/>
        <w:szCs w:val="18"/>
      </w:rPr>
    </w:pPr>
    <w:r>
      <w:rPr>
        <w:b/>
        <w:bCs/>
        <w:color w:val="747277"/>
        <w:sz w:val="18"/>
        <w:szCs w:val="18"/>
      </w:rPr>
      <w:t>Procurement Department</w:t>
    </w:r>
  </w:p>
  <w:p w14:paraId="1B80D701" w14:textId="77777777" w:rsidR="008F5A70" w:rsidRDefault="008F5A70" w:rsidP="008F5A70">
    <w:pPr>
      <w:pStyle w:val="Header"/>
      <w:jc w:val="right"/>
    </w:pPr>
    <w:r>
      <w:rPr>
        <w:b/>
        <w:bCs/>
        <w:color w:val="747277"/>
        <w:sz w:val="18"/>
        <w:szCs w:val="18"/>
      </w:rPr>
      <w:t>Northern General Hospital</w:t>
    </w:r>
    <w:r>
      <w:rPr>
        <w:b/>
        <w:bCs/>
        <w:color w:val="747277"/>
        <w:sz w:val="18"/>
        <w:szCs w:val="18"/>
      </w:rPr>
      <w:br/>
      <w:t>Herries Road</w:t>
    </w:r>
    <w:r>
      <w:rPr>
        <w:b/>
        <w:bCs/>
        <w:color w:val="747277"/>
        <w:sz w:val="18"/>
        <w:szCs w:val="18"/>
      </w:rPr>
      <w:br/>
      <w:t>Sheffield</w:t>
    </w:r>
    <w:r>
      <w:rPr>
        <w:b/>
        <w:bCs/>
        <w:color w:val="747277"/>
        <w:sz w:val="18"/>
        <w:szCs w:val="18"/>
      </w:rPr>
      <w:br/>
      <w:t>S5 7AU</w:t>
    </w:r>
  </w:p>
  <w:p w14:paraId="731546B1" w14:textId="77777777" w:rsidR="008F5A70" w:rsidRPr="008F5A70" w:rsidRDefault="008F5A70" w:rsidP="008F5A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01E9"/>
    <w:multiLevelType w:val="multilevel"/>
    <w:tmpl w:val="0CE8A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8545CA"/>
    <w:multiLevelType w:val="hybridMultilevel"/>
    <w:tmpl w:val="A73EA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45209"/>
    <w:multiLevelType w:val="hybridMultilevel"/>
    <w:tmpl w:val="F6B2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F5D4E"/>
    <w:multiLevelType w:val="hybridMultilevel"/>
    <w:tmpl w:val="6792E86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E3A73"/>
    <w:multiLevelType w:val="hybridMultilevel"/>
    <w:tmpl w:val="1FDC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12B88"/>
    <w:multiLevelType w:val="hybridMultilevel"/>
    <w:tmpl w:val="52ECA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A455B"/>
    <w:multiLevelType w:val="hybridMultilevel"/>
    <w:tmpl w:val="040C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31612"/>
    <w:multiLevelType w:val="hybridMultilevel"/>
    <w:tmpl w:val="D88A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04C6B"/>
    <w:multiLevelType w:val="multilevel"/>
    <w:tmpl w:val="F0660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BD21BC"/>
    <w:multiLevelType w:val="multilevel"/>
    <w:tmpl w:val="C3A63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C172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1F2F41"/>
    <w:multiLevelType w:val="hybridMultilevel"/>
    <w:tmpl w:val="26AE3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193C21"/>
    <w:multiLevelType w:val="multilevel"/>
    <w:tmpl w:val="023E73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FBE1BA5"/>
    <w:multiLevelType w:val="multilevel"/>
    <w:tmpl w:val="81B20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2E187D"/>
    <w:multiLevelType w:val="multilevel"/>
    <w:tmpl w:val="4A782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89481B"/>
    <w:multiLevelType w:val="hybridMultilevel"/>
    <w:tmpl w:val="FCB4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C5E54"/>
    <w:multiLevelType w:val="multilevel"/>
    <w:tmpl w:val="FA02D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7545F9"/>
    <w:multiLevelType w:val="hybridMultilevel"/>
    <w:tmpl w:val="49E4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00146"/>
    <w:multiLevelType w:val="hybridMultilevel"/>
    <w:tmpl w:val="1E44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24176"/>
    <w:multiLevelType w:val="multilevel"/>
    <w:tmpl w:val="0682F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8493839">
    <w:abstractNumId w:val="12"/>
  </w:num>
  <w:num w:numId="2" w16cid:durableId="2107534183">
    <w:abstractNumId w:val="9"/>
  </w:num>
  <w:num w:numId="3" w16cid:durableId="1815098780">
    <w:abstractNumId w:val="19"/>
  </w:num>
  <w:num w:numId="4" w16cid:durableId="1084374575">
    <w:abstractNumId w:val="8"/>
  </w:num>
  <w:num w:numId="5" w16cid:durableId="1135414678">
    <w:abstractNumId w:val="14"/>
  </w:num>
  <w:num w:numId="6" w16cid:durableId="1011108588">
    <w:abstractNumId w:val="13"/>
  </w:num>
  <w:num w:numId="7" w16cid:durableId="231736376">
    <w:abstractNumId w:val="0"/>
  </w:num>
  <w:num w:numId="8" w16cid:durableId="1224758049">
    <w:abstractNumId w:val="16"/>
  </w:num>
  <w:num w:numId="9" w16cid:durableId="834148888">
    <w:abstractNumId w:val="11"/>
  </w:num>
  <w:num w:numId="10" w16cid:durableId="2096319052">
    <w:abstractNumId w:val="1"/>
  </w:num>
  <w:num w:numId="11" w16cid:durableId="452478748">
    <w:abstractNumId w:val="5"/>
  </w:num>
  <w:num w:numId="12" w16cid:durableId="110053258">
    <w:abstractNumId w:val="3"/>
  </w:num>
  <w:num w:numId="13" w16cid:durableId="968054449">
    <w:abstractNumId w:val="18"/>
  </w:num>
  <w:num w:numId="14" w16cid:durableId="915017783">
    <w:abstractNumId w:val="7"/>
  </w:num>
  <w:num w:numId="15" w16cid:durableId="1125850096">
    <w:abstractNumId w:val="15"/>
  </w:num>
  <w:num w:numId="16" w16cid:durableId="360402828">
    <w:abstractNumId w:val="17"/>
  </w:num>
  <w:num w:numId="17" w16cid:durableId="1355694404">
    <w:abstractNumId w:val="2"/>
  </w:num>
  <w:num w:numId="18" w16cid:durableId="1125007278">
    <w:abstractNumId w:val="6"/>
  </w:num>
  <w:num w:numId="19" w16cid:durableId="2134403767">
    <w:abstractNumId w:val="4"/>
  </w:num>
  <w:num w:numId="20" w16cid:durableId="2121559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4A"/>
    <w:rsid w:val="00055D84"/>
    <w:rsid w:val="000A1B6B"/>
    <w:rsid w:val="0020268E"/>
    <w:rsid w:val="005371EF"/>
    <w:rsid w:val="005B1AA8"/>
    <w:rsid w:val="00641701"/>
    <w:rsid w:val="006457C8"/>
    <w:rsid w:val="00663A27"/>
    <w:rsid w:val="0068412E"/>
    <w:rsid w:val="006B6CD0"/>
    <w:rsid w:val="007757F5"/>
    <w:rsid w:val="007B67F1"/>
    <w:rsid w:val="007C4079"/>
    <w:rsid w:val="008D374A"/>
    <w:rsid w:val="008F39E3"/>
    <w:rsid w:val="008F5A70"/>
    <w:rsid w:val="00937937"/>
    <w:rsid w:val="009913C3"/>
    <w:rsid w:val="00A07B20"/>
    <w:rsid w:val="00A62298"/>
    <w:rsid w:val="00A754C2"/>
    <w:rsid w:val="00AB4FC3"/>
    <w:rsid w:val="00AB77BE"/>
    <w:rsid w:val="00B22303"/>
    <w:rsid w:val="00B957A5"/>
    <w:rsid w:val="00BF37B1"/>
    <w:rsid w:val="00D32F25"/>
    <w:rsid w:val="00E2788C"/>
    <w:rsid w:val="00F40EDA"/>
    <w:rsid w:val="00F74909"/>
    <w:rsid w:val="00F9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6E9AD"/>
  <w15:docId w15:val="{F2F6A812-7527-4C25-B9BE-6CD56044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rsid w:val="00F9741F"/>
    <w:pPr>
      <w:keepNext/>
      <w:keepLines/>
      <w:spacing w:before="240" w:after="80"/>
      <w:outlineLvl w:val="4"/>
    </w:pPr>
    <w:rPr>
      <w:color w:val="0070C0"/>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F5A70"/>
    <w:pPr>
      <w:tabs>
        <w:tab w:val="center" w:pos="4513"/>
        <w:tab w:val="right" w:pos="9026"/>
      </w:tabs>
      <w:spacing w:line="240" w:lineRule="auto"/>
    </w:pPr>
  </w:style>
  <w:style w:type="character" w:customStyle="1" w:styleId="HeaderChar">
    <w:name w:val="Header Char"/>
    <w:basedOn w:val="DefaultParagraphFont"/>
    <w:link w:val="Header"/>
    <w:uiPriority w:val="99"/>
    <w:rsid w:val="008F5A70"/>
  </w:style>
  <w:style w:type="paragraph" w:styleId="Footer">
    <w:name w:val="footer"/>
    <w:basedOn w:val="Normal"/>
    <w:link w:val="FooterChar"/>
    <w:uiPriority w:val="99"/>
    <w:unhideWhenUsed/>
    <w:rsid w:val="008F5A70"/>
    <w:pPr>
      <w:tabs>
        <w:tab w:val="center" w:pos="4513"/>
        <w:tab w:val="right" w:pos="9026"/>
      </w:tabs>
      <w:spacing w:line="240" w:lineRule="auto"/>
    </w:pPr>
  </w:style>
  <w:style w:type="character" w:customStyle="1" w:styleId="FooterChar">
    <w:name w:val="Footer Char"/>
    <w:basedOn w:val="DefaultParagraphFont"/>
    <w:link w:val="Footer"/>
    <w:uiPriority w:val="99"/>
    <w:rsid w:val="008F5A70"/>
  </w:style>
  <w:style w:type="table" w:styleId="TableGrid">
    <w:name w:val="Table Grid"/>
    <w:basedOn w:val="TableNormal"/>
    <w:uiPriority w:val="39"/>
    <w:rsid w:val="008F5A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7C8"/>
    <w:pPr>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645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457C8"/>
    <w:rPr>
      <w:rFonts w:ascii="Segoe UI" w:hAnsi="Segoe UI" w:cs="Segoe UI" w:hint="default"/>
      <w:sz w:val="18"/>
      <w:szCs w:val="18"/>
    </w:rPr>
  </w:style>
  <w:style w:type="paragraph" w:styleId="TOCHeading">
    <w:name w:val="TOC Heading"/>
    <w:basedOn w:val="Heading1"/>
    <w:next w:val="Normal"/>
    <w:uiPriority w:val="39"/>
    <w:unhideWhenUsed/>
    <w:qFormat/>
    <w:rsid w:val="00F9741F"/>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F9741F"/>
    <w:pPr>
      <w:spacing w:after="100"/>
      <w:ind w:left="220"/>
    </w:pPr>
  </w:style>
  <w:style w:type="character" w:styleId="Hyperlink">
    <w:name w:val="Hyperlink"/>
    <w:basedOn w:val="DefaultParagraphFont"/>
    <w:uiPriority w:val="99"/>
    <w:unhideWhenUsed/>
    <w:rsid w:val="00F9741F"/>
    <w:rPr>
      <w:color w:val="0000FF" w:themeColor="hyperlink"/>
      <w:u w:val="single"/>
    </w:rPr>
  </w:style>
  <w:style w:type="paragraph" w:styleId="BodyTextIndent2">
    <w:name w:val="Body Text Indent 2"/>
    <w:basedOn w:val="Normal"/>
    <w:link w:val="BodyTextIndent2Char"/>
    <w:rsid w:val="00055D84"/>
    <w:pPr>
      <w:widowControl w:val="0"/>
      <w:spacing w:line="240" w:lineRule="auto"/>
      <w:ind w:left="1440" w:hanging="720"/>
    </w:pPr>
    <w:rPr>
      <w:rFonts w:ascii="Times New Roman" w:eastAsia="Times New Roman" w:hAnsi="Times New Roman" w:cs="Times New Roman"/>
      <w:snapToGrid w:val="0"/>
      <w:sz w:val="24"/>
      <w:szCs w:val="20"/>
      <w:lang w:eastAsia="en-US"/>
    </w:rPr>
  </w:style>
  <w:style w:type="character" w:customStyle="1" w:styleId="BodyTextIndent2Char">
    <w:name w:val="Body Text Indent 2 Char"/>
    <w:basedOn w:val="DefaultParagraphFont"/>
    <w:link w:val="BodyTextIndent2"/>
    <w:rsid w:val="00055D84"/>
    <w:rPr>
      <w:rFonts w:ascii="Times New Roman" w:eastAsia="Times New Roman" w:hAnsi="Times New Roman" w:cs="Times New Roman"/>
      <w:snapToGrid w:val="0"/>
      <w:sz w:val="24"/>
      <w:szCs w:val="20"/>
      <w:lang w:eastAsia="en-US"/>
    </w:rPr>
  </w:style>
  <w:style w:type="paragraph" w:styleId="NoSpacing">
    <w:name w:val="No Spacing"/>
    <w:uiPriority w:val="1"/>
    <w:qFormat/>
    <w:rsid w:val="00B2230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EB72-3451-4ADE-9016-73A375B6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DUFFIELD, Andrew (SHEFFIELD TEACHING HOSPITALS NHS FOUNDATION TRUST)</cp:lastModifiedBy>
  <cp:revision>12</cp:revision>
  <dcterms:created xsi:type="dcterms:W3CDTF">2024-02-02T15:46:00Z</dcterms:created>
  <dcterms:modified xsi:type="dcterms:W3CDTF">2024-07-25T07:43:00Z</dcterms:modified>
</cp:coreProperties>
</file>