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Default="00E9210E" w:rsidP="00A5152F">
      <w:pPr>
        <w:jc w:val="center"/>
        <w:rPr>
          <w:noProof/>
          <w:lang w:eastAsia="en-GB"/>
        </w:rPr>
      </w:pPr>
    </w:p>
    <w:p w:rsidR="001040CB" w:rsidRDefault="001040CB" w:rsidP="00A5152F">
      <w:pPr>
        <w:jc w:val="center"/>
        <w:rPr>
          <w:noProof/>
          <w:lang w:eastAsia="en-GB"/>
        </w:rPr>
      </w:pPr>
    </w:p>
    <w:p w:rsidR="004339A9" w:rsidRDefault="00E40BAB" w:rsidP="00A5152F">
      <w:pPr>
        <w:jc w:val="center"/>
        <w:rPr>
          <w:rFonts w:cs="Arial"/>
          <w:sz w:val="40"/>
          <w:szCs w:val="40"/>
        </w:rPr>
      </w:pPr>
      <w:r w:rsidRPr="00E40BAB">
        <w:rPr>
          <w:rFonts w:cs="Arial"/>
          <w:noProof/>
          <w:sz w:val="40"/>
          <w:szCs w:val="40"/>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E9210E" w:rsidRDefault="00E9210E" w:rsidP="00E9210E">
      <w:pPr>
        <w:jc w:val="center"/>
        <w:rPr>
          <w:rFonts w:cs="Arial"/>
          <w:sz w:val="40"/>
          <w:szCs w:val="40"/>
        </w:rPr>
      </w:pPr>
    </w:p>
    <w:p w:rsidR="00E9210E" w:rsidRDefault="00E9210E" w:rsidP="00E9210E">
      <w:pPr>
        <w:jc w:val="center"/>
        <w:rPr>
          <w:rFonts w:cs="Arial"/>
          <w:sz w:val="40"/>
          <w:szCs w:val="40"/>
        </w:rPr>
      </w:pPr>
    </w:p>
    <w:p w:rsidR="00E9210E" w:rsidRDefault="00E9210E" w:rsidP="00A5152F">
      <w:pPr>
        <w:jc w:val="center"/>
        <w:rPr>
          <w:rFonts w:cs="Arial"/>
          <w:sz w:val="40"/>
          <w:szCs w:val="40"/>
        </w:rPr>
      </w:pPr>
    </w:p>
    <w:p w:rsidR="001F4B4C" w:rsidRPr="001F4B4C" w:rsidRDefault="001F4B4C" w:rsidP="00A5152F">
      <w:pPr>
        <w:jc w:val="center"/>
        <w:rPr>
          <w:rFonts w:cs="Arial"/>
          <w:sz w:val="40"/>
          <w:szCs w:val="40"/>
        </w:rPr>
      </w:pPr>
      <w:r>
        <w:rPr>
          <w:rFonts w:cs="Arial"/>
          <w:sz w:val="40"/>
          <w:szCs w:val="40"/>
        </w:rPr>
        <w:t>TENDER DOCUMENTATION</w:t>
      </w:r>
    </w:p>
    <w:p w:rsidR="001040CB" w:rsidRDefault="001040CB"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1040CB" w:rsidRDefault="00EC7E7E" w:rsidP="00EC7E7E">
      <w:pPr>
        <w:spacing w:after="0" w:line="240" w:lineRule="auto"/>
        <w:jc w:val="center"/>
        <w:rPr>
          <w:rFonts w:cs="Arial"/>
          <w:sz w:val="48"/>
          <w:szCs w:val="48"/>
        </w:rPr>
      </w:pPr>
      <w:r>
        <w:rPr>
          <w:rFonts w:cs="Arial"/>
          <w:sz w:val="48"/>
          <w:szCs w:val="48"/>
        </w:rPr>
        <w:t>Appendix 10</w:t>
      </w:r>
    </w:p>
    <w:p w:rsidR="00410EDD" w:rsidRDefault="00EC7E7E" w:rsidP="00EC7E7E">
      <w:pPr>
        <w:spacing w:after="0" w:line="240" w:lineRule="auto"/>
        <w:jc w:val="center"/>
        <w:rPr>
          <w:rFonts w:cs="Arial"/>
          <w:sz w:val="48"/>
          <w:szCs w:val="48"/>
        </w:rPr>
      </w:pPr>
      <w:r>
        <w:rPr>
          <w:rFonts w:cs="Arial"/>
          <w:sz w:val="48"/>
          <w:szCs w:val="48"/>
        </w:rPr>
        <w:t>Bidders Pricing Respons</w:t>
      </w:r>
      <w:r w:rsidR="005C60C2">
        <w:rPr>
          <w:rFonts w:cs="Arial"/>
          <w:sz w:val="48"/>
          <w:szCs w:val="48"/>
        </w:rPr>
        <w:t>e</w:t>
      </w:r>
    </w:p>
    <w:p w:rsidR="00410EDD" w:rsidRDefault="00410EDD"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Tr="000451F6">
        <w:trPr>
          <w:trHeight w:hRule="exact" w:val="1174"/>
          <w:jc w:val="center"/>
        </w:trPr>
        <w:tc>
          <w:tcPr>
            <w:tcW w:w="9855" w:type="dxa"/>
            <w:shd w:val="clear" w:color="auto" w:fill="009900"/>
            <w:vAlign w:val="center"/>
          </w:tcPr>
          <w:p w:rsidR="000451F6" w:rsidRPr="00791B6C" w:rsidRDefault="000451F6" w:rsidP="000451F6">
            <w:pPr>
              <w:spacing w:after="200" w:line="276" w:lineRule="auto"/>
              <w:jc w:val="center"/>
              <w:rPr>
                <w:rFonts w:cs="Arial"/>
                <w:b/>
                <w:sz w:val="48"/>
                <w:szCs w:val="48"/>
              </w:rPr>
            </w:pPr>
            <w:r w:rsidRPr="00791B6C">
              <w:rPr>
                <w:rFonts w:cs="Arial"/>
                <w:b/>
                <w:sz w:val="48"/>
                <w:szCs w:val="48"/>
              </w:rPr>
              <w:t>Young Peoples Homeless Prevention Service (16/17 year olds)</w:t>
            </w:r>
          </w:p>
          <w:p w:rsidR="001040CB" w:rsidRPr="009B2796" w:rsidRDefault="001040CB" w:rsidP="009B2796">
            <w:pPr>
              <w:spacing w:after="0" w:line="240" w:lineRule="auto"/>
              <w:jc w:val="center"/>
              <w:rPr>
                <w:rFonts w:cs="Arial"/>
                <w:color w:val="FFFFFF"/>
                <w:sz w:val="48"/>
                <w:szCs w:val="48"/>
              </w:rPr>
            </w:pPr>
          </w:p>
        </w:tc>
      </w:tr>
    </w:tbl>
    <w:p w:rsidR="00EC7E7E" w:rsidRDefault="00EC7E7E">
      <w:pPr>
        <w:spacing w:after="0" w:line="240" w:lineRule="auto"/>
        <w:rPr>
          <w:rFonts w:cs="Arial"/>
          <w:color w:val="000000"/>
          <w:sz w:val="48"/>
          <w:szCs w:val="48"/>
        </w:rPr>
      </w:pPr>
      <w:r>
        <w:rPr>
          <w:rFonts w:cs="Arial"/>
          <w:color w:val="000000"/>
          <w:sz w:val="48"/>
          <w:szCs w:val="48"/>
        </w:rPr>
        <w:br w:type="page"/>
      </w:r>
    </w:p>
    <w:p w:rsidR="001040CB" w:rsidRPr="00F76E4D"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Tr="00DE7809">
        <w:trPr>
          <w:trHeight w:hRule="exact" w:val="567"/>
        </w:trPr>
        <w:tc>
          <w:tcPr>
            <w:tcW w:w="9855" w:type="dxa"/>
            <w:tcBorders>
              <w:top w:val="nil"/>
              <w:left w:val="nil"/>
              <w:bottom w:val="nil"/>
              <w:right w:val="nil"/>
            </w:tcBorders>
            <w:shd w:val="clear" w:color="auto" w:fill="009900"/>
          </w:tcPr>
          <w:p w:rsidR="00DE7809" w:rsidRDefault="00DE7809" w:rsidP="00DE7809">
            <w:pPr>
              <w:jc w:val="center"/>
            </w:pPr>
            <w:r>
              <w:rPr>
                <w:rFonts w:cs="Arial"/>
                <w:b/>
                <w:color w:val="FFFFFF"/>
                <w:sz w:val="48"/>
                <w:szCs w:val="48"/>
              </w:rPr>
              <w:t>C</w:t>
            </w:r>
            <w:r w:rsidRPr="009B2796">
              <w:rPr>
                <w:rFonts w:cs="Arial"/>
                <w:b/>
                <w:color w:val="FFFFFF"/>
                <w:sz w:val="48"/>
                <w:szCs w:val="48"/>
              </w:rPr>
              <w:t>ontents</w:t>
            </w:r>
          </w:p>
        </w:tc>
      </w:tr>
    </w:tbl>
    <w:p w:rsidR="001040CB" w:rsidRPr="00F76E4D" w:rsidRDefault="001040CB" w:rsidP="00C6711B">
      <w:pPr>
        <w:spacing w:after="0" w:line="240" w:lineRule="auto"/>
        <w:rPr>
          <w:rFonts w:cs="Arial"/>
          <w:sz w:val="48"/>
          <w:szCs w:val="48"/>
        </w:rPr>
      </w:pPr>
    </w:p>
    <w:p w:rsidR="001040CB" w:rsidRDefault="001040CB" w:rsidP="00B570D7"/>
    <w:p w:rsidR="000E2B43" w:rsidRDefault="00423C7E">
      <w:pPr>
        <w:pStyle w:val="TOC1"/>
        <w:rPr>
          <w:rFonts w:asciiTheme="minorHAnsi" w:eastAsiaTheme="minorEastAsia" w:hAnsiTheme="minorHAnsi" w:cstheme="minorBidi"/>
          <w:noProof/>
          <w:lang w:eastAsia="en-GB"/>
        </w:rPr>
      </w:pPr>
      <w:r>
        <w:fldChar w:fldCharType="begin"/>
      </w:r>
      <w:r w:rsidR="001040CB">
        <w:instrText xml:space="preserve"> TOC \o "1-2" \h \z \u </w:instrText>
      </w:r>
      <w:r>
        <w:fldChar w:fldCharType="separate"/>
      </w:r>
      <w:hyperlink w:anchor="_Toc476153275" w:history="1">
        <w:r w:rsidR="000E2B43" w:rsidRPr="006A2C2B">
          <w:rPr>
            <w:rStyle w:val="Hyperlink"/>
            <w:noProof/>
          </w:rPr>
          <w:t>1.</w:t>
        </w:r>
        <w:r w:rsidR="000E2B43">
          <w:rPr>
            <w:rFonts w:asciiTheme="minorHAnsi" w:eastAsiaTheme="minorEastAsia" w:hAnsiTheme="minorHAnsi" w:cstheme="minorBidi"/>
            <w:noProof/>
            <w:lang w:eastAsia="en-GB"/>
          </w:rPr>
          <w:tab/>
        </w:r>
        <w:r w:rsidR="000E2B43" w:rsidRPr="006A2C2B">
          <w:rPr>
            <w:rStyle w:val="Hyperlink"/>
            <w:noProof/>
          </w:rPr>
          <w:t>Contract Price</w:t>
        </w:r>
        <w:r w:rsidR="000E2B43">
          <w:rPr>
            <w:noProof/>
            <w:webHidden/>
          </w:rPr>
          <w:tab/>
        </w:r>
        <w:r w:rsidR="000E2B43">
          <w:rPr>
            <w:noProof/>
            <w:webHidden/>
          </w:rPr>
          <w:fldChar w:fldCharType="begin"/>
        </w:r>
        <w:r w:rsidR="000E2B43">
          <w:rPr>
            <w:noProof/>
            <w:webHidden/>
          </w:rPr>
          <w:instrText xml:space="preserve"> PAGEREF _Toc476153275 \h </w:instrText>
        </w:r>
        <w:r w:rsidR="000E2B43">
          <w:rPr>
            <w:noProof/>
            <w:webHidden/>
          </w:rPr>
        </w:r>
        <w:r w:rsidR="000E2B43">
          <w:rPr>
            <w:noProof/>
            <w:webHidden/>
          </w:rPr>
          <w:fldChar w:fldCharType="separate"/>
        </w:r>
        <w:r w:rsidR="000E2B43">
          <w:rPr>
            <w:noProof/>
            <w:webHidden/>
          </w:rPr>
          <w:t>3</w:t>
        </w:r>
        <w:r w:rsidR="000E2B43">
          <w:rPr>
            <w:noProof/>
            <w:webHidden/>
          </w:rPr>
          <w:fldChar w:fldCharType="end"/>
        </w:r>
      </w:hyperlink>
    </w:p>
    <w:p w:rsidR="000E2B43" w:rsidRDefault="00470CE1">
      <w:pPr>
        <w:pStyle w:val="TOC1"/>
        <w:rPr>
          <w:rFonts w:asciiTheme="minorHAnsi" w:eastAsiaTheme="minorEastAsia" w:hAnsiTheme="minorHAnsi" w:cstheme="minorBidi"/>
          <w:noProof/>
          <w:lang w:eastAsia="en-GB"/>
        </w:rPr>
      </w:pPr>
      <w:hyperlink w:anchor="_Toc476153276" w:history="1">
        <w:r w:rsidR="000E2B43" w:rsidRPr="006A2C2B">
          <w:rPr>
            <w:rStyle w:val="Hyperlink"/>
            <w:noProof/>
          </w:rPr>
          <w:t>2.</w:t>
        </w:r>
        <w:r w:rsidR="000E2B43">
          <w:rPr>
            <w:rFonts w:asciiTheme="minorHAnsi" w:eastAsiaTheme="minorEastAsia" w:hAnsiTheme="minorHAnsi" w:cstheme="minorBidi"/>
            <w:noProof/>
            <w:lang w:eastAsia="en-GB"/>
          </w:rPr>
          <w:tab/>
        </w:r>
        <w:r w:rsidR="000E2B43" w:rsidRPr="006A2C2B">
          <w:rPr>
            <w:rStyle w:val="Hyperlink"/>
            <w:noProof/>
          </w:rPr>
          <w:t>Pricing Sc</w:t>
        </w:r>
        <w:r w:rsidR="000E2B43">
          <w:rPr>
            <w:noProof/>
            <w:webHidden/>
          </w:rPr>
          <w:tab/>
        </w:r>
        <w:r w:rsidR="000E2B43">
          <w:rPr>
            <w:noProof/>
            <w:webHidden/>
          </w:rPr>
          <w:fldChar w:fldCharType="begin"/>
        </w:r>
        <w:r w:rsidR="000E2B43">
          <w:rPr>
            <w:noProof/>
            <w:webHidden/>
          </w:rPr>
          <w:instrText xml:space="preserve"> PAGEREF _Toc476153276 \h </w:instrText>
        </w:r>
        <w:r w:rsidR="000E2B43">
          <w:rPr>
            <w:noProof/>
            <w:webHidden/>
          </w:rPr>
        </w:r>
        <w:r w:rsidR="000E2B43">
          <w:rPr>
            <w:noProof/>
            <w:webHidden/>
          </w:rPr>
          <w:fldChar w:fldCharType="separate"/>
        </w:r>
        <w:r w:rsidR="000E2B43">
          <w:rPr>
            <w:noProof/>
            <w:webHidden/>
          </w:rPr>
          <w:t>4</w:t>
        </w:r>
        <w:r w:rsidR="000E2B43">
          <w:rPr>
            <w:noProof/>
            <w:webHidden/>
          </w:rPr>
          <w:fldChar w:fldCharType="end"/>
        </w:r>
      </w:hyperlink>
    </w:p>
    <w:p w:rsidR="000E2B43" w:rsidRDefault="000E2B43">
      <w:pPr>
        <w:pStyle w:val="TOC1"/>
        <w:rPr>
          <w:rFonts w:asciiTheme="minorHAnsi" w:eastAsiaTheme="minorEastAsia" w:hAnsiTheme="minorHAnsi" w:cstheme="minorBidi"/>
          <w:noProof/>
          <w:lang w:eastAsia="en-GB"/>
        </w:rPr>
      </w:pPr>
      <w:hyperlink w:anchor="_Toc476153278" w:history="1">
        <w:r w:rsidRPr="006A2C2B">
          <w:rPr>
            <w:rStyle w:val="Hyperlink"/>
            <w:noProof/>
          </w:rPr>
          <w:t>3.</w:t>
        </w:r>
        <w:r>
          <w:rPr>
            <w:rFonts w:asciiTheme="minorHAnsi" w:eastAsiaTheme="minorEastAsia" w:hAnsiTheme="minorHAnsi" w:cstheme="minorBidi"/>
            <w:noProof/>
            <w:lang w:eastAsia="en-GB"/>
          </w:rPr>
          <w:tab/>
        </w:r>
        <w:r w:rsidRPr="006A2C2B">
          <w:rPr>
            <w:rStyle w:val="Hyperlink"/>
            <w:noProof/>
          </w:rPr>
          <w:t>Price Review Framework</w:t>
        </w:r>
        <w:r>
          <w:rPr>
            <w:noProof/>
            <w:webHidden/>
          </w:rPr>
          <w:tab/>
        </w:r>
        <w:r>
          <w:rPr>
            <w:noProof/>
            <w:webHidden/>
          </w:rPr>
          <w:fldChar w:fldCharType="begin"/>
        </w:r>
        <w:r>
          <w:rPr>
            <w:noProof/>
            <w:webHidden/>
          </w:rPr>
          <w:instrText xml:space="preserve"> PAGEREF _Toc476153278 \h </w:instrText>
        </w:r>
        <w:r>
          <w:rPr>
            <w:noProof/>
            <w:webHidden/>
          </w:rPr>
        </w:r>
        <w:r>
          <w:rPr>
            <w:noProof/>
            <w:webHidden/>
          </w:rPr>
          <w:fldChar w:fldCharType="separate"/>
        </w:r>
        <w:r>
          <w:rPr>
            <w:noProof/>
            <w:webHidden/>
          </w:rPr>
          <w:t>5</w:t>
        </w:r>
        <w:r>
          <w:rPr>
            <w:noProof/>
            <w:webHidden/>
          </w:rPr>
          <w:fldChar w:fldCharType="end"/>
        </w:r>
      </w:hyperlink>
    </w:p>
    <w:p w:rsidR="000E2B43" w:rsidRDefault="00470CE1">
      <w:pPr>
        <w:pStyle w:val="TOC1"/>
        <w:rPr>
          <w:rFonts w:asciiTheme="minorHAnsi" w:eastAsiaTheme="minorEastAsia" w:hAnsiTheme="minorHAnsi" w:cstheme="minorBidi"/>
          <w:noProof/>
          <w:lang w:eastAsia="en-GB"/>
        </w:rPr>
      </w:pPr>
      <w:hyperlink w:anchor="_Toc476153279" w:history="1">
        <w:r w:rsidR="000E2B43" w:rsidRPr="006A2C2B">
          <w:rPr>
            <w:rStyle w:val="Hyperlink"/>
            <w:noProof/>
          </w:rPr>
          <w:t>3.1.</w:t>
        </w:r>
        <w:r w:rsidR="000E2B43">
          <w:rPr>
            <w:rFonts w:asciiTheme="minorHAnsi" w:eastAsiaTheme="minorEastAsia" w:hAnsiTheme="minorHAnsi" w:cstheme="minorBidi"/>
            <w:noProof/>
            <w:lang w:eastAsia="en-GB"/>
          </w:rPr>
          <w:tab/>
        </w:r>
        <w:r w:rsidR="000E2B43" w:rsidRPr="006A2C2B">
          <w:rPr>
            <w:rStyle w:val="Hyperlink"/>
            <w:noProof/>
          </w:rPr>
          <w:t>Price Validity Period</w:t>
        </w:r>
        <w:r w:rsidR="000E2B43">
          <w:rPr>
            <w:noProof/>
            <w:webHidden/>
          </w:rPr>
          <w:tab/>
        </w:r>
        <w:r w:rsidR="000E2B43">
          <w:rPr>
            <w:noProof/>
            <w:webHidden/>
          </w:rPr>
          <w:fldChar w:fldCharType="begin"/>
        </w:r>
        <w:r w:rsidR="000E2B43">
          <w:rPr>
            <w:noProof/>
            <w:webHidden/>
          </w:rPr>
          <w:instrText xml:space="preserve"> PAGEREF _Toc476153279 \h </w:instrText>
        </w:r>
        <w:r w:rsidR="000E2B43">
          <w:rPr>
            <w:noProof/>
            <w:webHidden/>
          </w:rPr>
        </w:r>
        <w:r w:rsidR="000E2B43">
          <w:rPr>
            <w:noProof/>
            <w:webHidden/>
          </w:rPr>
          <w:fldChar w:fldCharType="separate"/>
        </w:r>
        <w:r w:rsidR="000E2B43">
          <w:rPr>
            <w:noProof/>
            <w:webHidden/>
          </w:rPr>
          <w:t>5</w:t>
        </w:r>
        <w:r w:rsidR="000E2B43">
          <w:rPr>
            <w:noProof/>
            <w:webHidden/>
          </w:rPr>
          <w:fldChar w:fldCharType="end"/>
        </w:r>
      </w:hyperlink>
    </w:p>
    <w:p w:rsidR="000E2B43" w:rsidRDefault="00470CE1">
      <w:pPr>
        <w:pStyle w:val="TOC1"/>
        <w:rPr>
          <w:rFonts w:asciiTheme="minorHAnsi" w:eastAsiaTheme="minorEastAsia" w:hAnsiTheme="minorHAnsi" w:cstheme="minorBidi"/>
          <w:noProof/>
          <w:lang w:eastAsia="en-GB"/>
        </w:rPr>
      </w:pPr>
      <w:hyperlink w:anchor="_Toc476153280" w:history="1">
        <w:r w:rsidR="000E2B43" w:rsidRPr="006A2C2B">
          <w:rPr>
            <w:rStyle w:val="Hyperlink"/>
            <w:noProof/>
          </w:rPr>
          <w:t>3.2.</w:t>
        </w:r>
        <w:r w:rsidR="000E2B43">
          <w:rPr>
            <w:rFonts w:asciiTheme="minorHAnsi" w:eastAsiaTheme="minorEastAsia" w:hAnsiTheme="minorHAnsi" w:cstheme="minorBidi"/>
            <w:noProof/>
            <w:lang w:eastAsia="en-GB"/>
          </w:rPr>
          <w:tab/>
        </w:r>
        <w:r w:rsidR="000E2B43" w:rsidRPr="006A2C2B">
          <w:rPr>
            <w:rStyle w:val="Hyperlink"/>
            <w:noProof/>
          </w:rPr>
          <w:t>Price Review Proposals</w:t>
        </w:r>
        <w:r w:rsidR="000E2B43">
          <w:rPr>
            <w:noProof/>
            <w:webHidden/>
          </w:rPr>
          <w:tab/>
        </w:r>
        <w:r w:rsidR="000E2B43">
          <w:rPr>
            <w:noProof/>
            <w:webHidden/>
          </w:rPr>
          <w:fldChar w:fldCharType="begin"/>
        </w:r>
        <w:r w:rsidR="000E2B43">
          <w:rPr>
            <w:noProof/>
            <w:webHidden/>
          </w:rPr>
          <w:instrText xml:space="preserve"> PAGEREF _Toc476153280 \h </w:instrText>
        </w:r>
        <w:r w:rsidR="000E2B43">
          <w:rPr>
            <w:noProof/>
            <w:webHidden/>
          </w:rPr>
        </w:r>
        <w:r w:rsidR="000E2B43">
          <w:rPr>
            <w:noProof/>
            <w:webHidden/>
          </w:rPr>
          <w:fldChar w:fldCharType="separate"/>
        </w:r>
        <w:r w:rsidR="000E2B43">
          <w:rPr>
            <w:noProof/>
            <w:webHidden/>
          </w:rPr>
          <w:t>5</w:t>
        </w:r>
        <w:r w:rsidR="000E2B43">
          <w:rPr>
            <w:noProof/>
            <w:webHidden/>
          </w:rPr>
          <w:fldChar w:fldCharType="end"/>
        </w:r>
      </w:hyperlink>
    </w:p>
    <w:p w:rsidR="000E2B43" w:rsidRDefault="00470CE1">
      <w:pPr>
        <w:pStyle w:val="TOC1"/>
        <w:rPr>
          <w:rFonts w:asciiTheme="minorHAnsi" w:eastAsiaTheme="minorEastAsia" w:hAnsiTheme="minorHAnsi" w:cstheme="minorBidi"/>
          <w:noProof/>
          <w:lang w:eastAsia="en-GB"/>
        </w:rPr>
      </w:pPr>
      <w:hyperlink w:anchor="_Toc476153281" w:history="1">
        <w:r w:rsidR="000E2B43" w:rsidRPr="006A2C2B">
          <w:rPr>
            <w:rStyle w:val="Hyperlink"/>
            <w:noProof/>
          </w:rPr>
          <w:t>3.3      Pricing Schedule Declaration</w:t>
        </w:r>
        <w:r w:rsidR="000E2B43">
          <w:rPr>
            <w:noProof/>
            <w:webHidden/>
          </w:rPr>
          <w:tab/>
        </w:r>
        <w:r w:rsidR="000E2B43">
          <w:rPr>
            <w:noProof/>
            <w:webHidden/>
          </w:rPr>
          <w:fldChar w:fldCharType="begin"/>
        </w:r>
        <w:r w:rsidR="000E2B43">
          <w:rPr>
            <w:noProof/>
            <w:webHidden/>
          </w:rPr>
          <w:instrText xml:space="preserve"> PAGEREF _Toc476153281 \h </w:instrText>
        </w:r>
        <w:r w:rsidR="000E2B43">
          <w:rPr>
            <w:noProof/>
            <w:webHidden/>
          </w:rPr>
        </w:r>
        <w:r w:rsidR="000E2B43">
          <w:rPr>
            <w:noProof/>
            <w:webHidden/>
          </w:rPr>
          <w:fldChar w:fldCharType="separate"/>
        </w:r>
        <w:r w:rsidR="000E2B43">
          <w:rPr>
            <w:noProof/>
            <w:webHidden/>
          </w:rPr>
          <w:t>6</w:t>
        </w:r>
        <w:r w:rsidR="000E2B43">
          <w:rPr>
            <w:noProof/>
            <w:webHidden/>
          </w:rPr>
          <w:fldChar w:fldCharType="end"/>
        </w:r>
      </w:hyperlink>
    </w:p>
    <w:p w:rsidR="001040CB" w:rsidRDefault="00423C7E" w:rsidP="00B570D7">
      <w:pPr>
        <w:sectPr w:rsidR="001040CB" w:rsidSect="00DE780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350" w:gutter="0"/>
          <w:pgNumType w:start="1"/>
          <w:cols w:space="720"/>
          <w:titlePg/>
          <w:docGrid w:linePitch="299"/>
        </w:sectPr>
      </w:pPr>
      <w: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0" w:name="_Toc476153275"/>
            <w:r w:rsidRPr="009B2796">
              <w:rPr>
                <w:color w:val="FFFFFF"/>
                <w:sz w:val="48"/>
                <w:szCs w:val="48"/>
              </w:rPr>
              <w:lastRenderedPageBreak/>
              <w:t>Contract Price</w:t>
            </w:r>
            <w:bookmarkEnd w:id="0"/>
            <w:r w:rsidRPr="009B2796">
              <w:rPr>
                <w:color w:val="FFFFFF"/>
                <w:sz w:val="48"/>
                <w:szCs w:val="48"/>
              </w:rPr>
              <w:t xml:space="preserve"> </w:t>
            </w:r>
          </w:p>
        </w:tc>
      </w:tr>
    </w:tbl>
    <w:p w:rsidR="001040CB" w:rsidRDefault="001040CB" w:rsidP="00B570D7">
      <w:pPr>
        <w:rPr>
          <w:snapToGrid w:val="0"/>
          <w:color w:val="0000FF"/>
        </w:rPr>
      </w:pPr>
    </w:p>
    <w:p w:rsidR="001040CB" w:rsidRDefault="001040CB" w:rsidP="00B570D7">
      <w:pPr>
        <w:rPr>
          <w:snapToGrid w:val="0"/>
        </w:rPr>
      </w:pPr>
      <w:r>
        <w:rPr>
          <w:snapToGrid w:val="0"/>
        </w:rPr>
        <w:t xml:space="preserve">The price offered by the Applicant in this Volume shall be firm and fixed for the period as stated for the duration of the Contract. </w:t>
      </w:r>
      <w:r w:rsidRPr="00DA0368">
        <w:rPr>
          <w:rFonts w:cs="Arial"/>
        </w:rPr>
        <w:t xml:space="preserve">Any percentage discounts that may be applied must be detailed </w:t>
      </w:r>
      <w:r>
        <w:rPr>
          <w:rFonts w:cs="Arial"/>
        </w:rPr>
        <w:t>in the</w:t>
      </w:r>
      <w:r w:rsidRPr="00DA0368">
        <w:rPr>
          <w:rFonts w:cs="Arial"/>
        </w:rPr>
        <w:t xml:space="preserve"> </w:t>
      </w:r>
      <w:r>
        <w:rPr>
          <w:rFonts w:cs="Arial"/>
        </w:rPr>
        <w:t>same</w:t>
      </w:r>
      <w:r w:rsidRPr="00DA0368">
        <w:rPr>
          <w:rFonts w:cs="Arial"/>
        </w:rPr>
        <w:t>.</w:t>
      </w:r>
      <w:r>
        <w:rPr>
          <w:rFonts w:cs="Arial"/>
        </w:rPr>
        <w:t xml:space="preserve"> </w:t>
      </w:r>
      <w:r>
        <w:rPr>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Default="001040CB" w:rsidP="00B570D7">
      <w:pPr>
        <w:rPr>
          <w:snapToGrid w:val="0"/>
        </w:rPr>
      </w:pPr>
      <w:r>
        <w:rPr>
          <w:snapToGrid w:val="0"/>
        </w:rPr>
        <w:t xml:space="preserve">All prices submitted shall be in pounds sterling and shall be exclusive of Value Added Tax (VAT). </w:t>
      </w:r>
    </w:p>
    <w:p w:rsidR="001040CB" w:rsidRDefault="001040CB" w:rsidP="00B570D7">
      <w:pPr>
        <w:rPr>
          <w:rFonts w:cs="Arial"/>
        </w:rPr>
      </w:pPr>
      <w:r>
        <w:rPr>
          <w:rFonts w:cs="Arial"/>
        </w:rPr>
        <w:t xml:space="preserve">The Applicant’s price will be evaluated in accordance with the criteria and weightings as set out in </w:t>
      </w:r>
      <w:r w:rsidR="005C60C2">
        <w:rPr>
          <w:rFonts w:cs="Arial"/>
        </w:rPr>
        <w:t>the tender instruction letter.</w:t>
      </w:r>
      <w:r>
        <w:rPr>
          <w:rFonts w:cs="Arial"/>
        </w:rPr>
        <w:t xml:space="preserve"> </w:t>
      </w:r>
    </w:p>
    <w:p w:rsidR="001040CB" w:rsidRDefault="001040CB" w:rsidP="00B570D7">
      <w:r w:rsidRPr="00720365">
        <w:t xml:space="preserve">Applicants with the lowest price will score maximum marks </w:t>
      </w:r>
      <w:r w:rsidR="00231A69">
        <w:t xml:space="preserve">(worth </w:t>
      </w:r>
      <w:r w:rsidR="00470CE1">
        <w:t>3</w:t>
      </w:r>
      <w:r w:rsidR="00231A69">
        <w:t xml:space="preserve">0%) </w:t>
      </w:r>
      <w:r w:rsidRPr="00720365">
        <w:t>out of a possible one hundred (100) and Applicants submitting higher prices will be awarded marks proportionat</w:t>
      </w:r>
      <w:r>
        <w:t>e to their distance from the low</w:t>
      </w:r>
      <w:r w:rsidRPr="00720365">
        <w:t>est price.</w:t>
      </w:r>
    </w:p>
    <w:p w:rsidR="001040CB" w:rsidRDefault="001040CB" w:rsidP="00B570D7"/>
    <w:p w:rsidR="001040CB" w:rsidRDefault="001040CB" w:rsidP="00B570D7">
      <w:pPr>
        <w:sectPr w:rsidR="001040CB" w:rsidSect="00DE7809">
          <w:pgSz w:w="11907" w:h="16840" w:code="9"/>
          <w:pgMar w:top="1134" w:right="1134" w:bottom="1134" w:left="1134" w:header="992" w:footer="362" w:gutter="0"/>
          <w:cols w:space="720"/>
          <w:docGrid w:linePitch="299"/>
        </w:sectPr>
      </w:pPr>
    </w:p>
    <w:tbl>
      <w:tblPr>
        <w:tblW w:w="14572" w:type="dxa"/>
        <w:tblLook w:val="04A0" w:firstRow="1" w:lastRow="0" w:firstColumn="1" w:lastColumn="0" w:noHBand="0" w:noVBand="1"/>
      </w:tblPr>
      <w:tblGrid>
        <w:gridCol w:w="2564"/>
        <w:gridCol w:w="2350"/>
        <w:gridCol w:w="1385"/>
        <w:gridCol w:w="1474"/>
        <w:gridCol w:w="858"/>
        <w:gridCol w:w="1404"/>
        <w:gridCol w:w="1522"/>
        <w:gridCol w:w="1522"/>
        <w:gridCol w:w="1493"/>
      </w:tblGrid>
      <w:tr w:rsidR="00682296" w:rsidTr="00682296">
        <w:trPr>
          <w:gridAfter w:val="6"/>
          <w:wAfter w:w="9560" w:type="dxa"/>
          <w:trHeight w:hRule="exact" w:val="567"/>
        </w:trPr>
        <w:tc>
          <w:tcPr>
            <w:tcW w:w="1674" w:type="dxa"/>
            <w:shd w:val="clear" w:color="auto" w:fill="009900"/>
          </w:tcPr>
          <w:p w:rsidR="00682296" w:rsidRPr="009B2796" w:rsidRDefault="00F866F8" w:rsidP="00F866F8">
            <w:pPr>
              <w:pStyle w:val="Heading1"/>
              <w:numPr>
                <w:ilvl w:val="0"/>
                <w:numId w:val="14"/>
              </w:numPr>
              <w:pBdr>
                <w:bottom w:val="none" w:sz="0" w:space="0" w:color="auto"/>
              </w:pBdr>
              <w:jc w:val="center"/>
              <w:rPr>
                <w:color w:val="FFFFFF"/>
                <w:sz w:val="48"/>
                <w:szCs w:val="48"/>
              </w:rPr>
            </w:pPr>
            <w:bookmarkStart w:id="1" w:name="_Toc476153276"/>
            <w:r>
              <w:rPr>
                <w:color w:val="FFFFFF"/>
                <w:sz w:val="48"/>
                <w:szCs w:val="48"/>
              </w:rPr>
              <w:lastRenderedPageBreak/>
              <w:t xml:space="preserve">Pricing </w:t>
            </w:r>
            <w:proofErr w:type="spellStart"/>
            <w:r>
              <w:rPr>
                <w:color w:val="FFFFFF"/>
                <w:sz w:val="48"/>
                <w:szCs w:val="48"/>
              </w:rPr>
              <w:t>Sc</w:t>
            </w:r>
            <w:bookmarkEnd w:id="1"/>
            <w:proofErr w:type="spellEnd"/>
          </w:p>
        </w:tc>
        <w:tc>
          <w:tcPr>
            <w:tcW w:w="1671" w:type="dxa"/>
            <w:shd w:val="clear" w:color="auto" w:fill="009900"/>
          </w:tcPr>
          <w:p w:rsidR="00682296" w:rsidRPr="009B2796" w:rsidRDefault="00F866F8" w:rsidP="00F866F8">
            <w:pPr>
              <w:pStyle w:val="Heading1"/>
              <w:pBdr>
                <w:bottom w:val="none" w:sz="0" w:space="0" w:color="auto"/>
              </w:pBdr>
              <w:rPr>
                <w:color w:val="FFFFFF"/>
                <w:sz w:val="48"/>
                <w:szCs w:val="48"/>
              </w:rPr>
            </w:pPr>
            <w:bookmarkStart w:id="2" w:name="_Toc476153277"/>
            <w:r>
              <w:rPr>
                <w:color w:val="FFFFFF"/>
                <w:sz w:val="48"/>
                <w:szCs w:val="48"/>
              </w:rPr>
              <w:t>Schedule</w:t>
            </w:r>
            <w:bookmarkEnd w:id="2"/>
          </w:p>
        </w:tc>
        <w:tc>
          <w:tcPr>
            <w:tcW w:w="1667" w:type="dxa"/>
            <w:shd w:val="clear" w:color="auto" w:fill="009900"/>
          </w:tcPr>
          <w:p w:rsidR="00682296" w:rsidRPr="009B2796" w:rsidRDefault="00682296" w:rsidP="00F866F8">
            <w:pPr>
              <w:pStyle w:val="Heading1"/>
              <w:pBdr>
                <w:bottom w:val="none" w:sz="0" w:space="0" w:color="auto"/>
              </w:pBdr>
              <w:rPr>
                <w:color w:val="FFFFFF"/>
                <w:sz w:val="48"/>
                <w:szCs w:val="48"/>
              </w:rP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shd w:val="clear" w:color="auto" w:fill="99CC00"/>
          </w:tcPr>
          <w:p w:rsidR="00682296" w:rsidRPr="00F866F8" w:rsidRDefault="00682296" w:rsidP="000E2B43"/>
        </w:tc>
        <w:tc>
          <w:tcPr>
            <w:tcW w:w="1011" w:type="dxa"/>
            <w:shd w:val="clear" w:color="auto" w:fill="99CC00"/>
          </w:tcPr>
          <w:p w:rsidR="00682296" w:rsidRPr="009B2796" w:rsidRDefault="00682296" w:rsidP="009B2796">
            <w:pPr>
              <w:spacing w:after="0"/>
              <w:jc w:val="center"/>
              <w:rPr>
                <w:b/>
              </w:rPr>
            </w:pPr>
          </w:p>
        </w:tc>
        <w:tc>
          <w:tcPr>
            <w:tcW w:w="0" w:type="auto"/>
            <w:shd w:val="clear" w:color="auto" w:fill="99CC00"/>
          </w:tcPr>
          <w:p w:rsidR="00682296" w:rsidRPr="009B2796" w:rsidRDefault="00682296" w:rsidP="009B2796">
            <w:pPr>
              <w:spacing w:after="0"/>
              <w:jc w:val="center"/>
              <w:rPr>
                <w:b/>
              </w:rPr>
            </w:pPr>
          </w:p>
        </w:tc>
        <w:tc>
          <w:tcPr>
            <w:tcW w:w="0" w:type="auto"/>
            <w:shd w:val="clear" w:color="auto" w:fill="99CC00"/>
          </w:tcPr>
          <w:p w:rsidR="00682296" w:rsidRDefault="00682296" w:rsidP="00682296">
            <w:pPr>
              <w:spacing w:after="0"/>
              <w:jc w:val="center"/>
              <w:rPr>
                <w:b/>
              </w:rPr>
            </w:pPr>
            <w:r>
              <w:rPr>
                <w:b/>
              </w:rPr>
              <w:t>Year 1</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c>
          <w:tcPr>
            <w:tcW w:w="0" w:type="auto"/>
            <w:shd w:val="clear" w:color="auto" w:fill="99CC00"/>
          </w:tcPr>
          <w:p w:rsidR="00682296" w:rsidRDefault="00682296" w:rsidP="00682296">
            <w:pPr>
              <w:spacing w:after="0"/>
              <w:jc w:val="center"/>
              <w:rPr>
                <w:b/>
              </w:rPr>
            </w:pPr>
            <w:r>
              <w:rPr>
                <w:b/>
              </w:rPr>
              <w:t>Year 2</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c>
          <w:tcPr>
            <w:tcW w:w="0" w:type="auto"/>
            <w:shd w:val="clear" w:color="auto" w:fill="99CC00"/>
          </w:tcPr>
          <w:p w:rsidR="00682296" w:rsidRDefault="00682296" w:rsidP="00682296">
            <w:pPr>
              <w:spacing w:after="0"/>
              <w:jc w:val="center"/>
              <w:rPr>
                <w:b/>
              </w:rPr>
            </w:pPr>
            <w:r>
              <w:rPr>
                <w:b/>
              </w:rPr>
              <w:t>Year 3</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service management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support staff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Locum staff (only applies where sickness or annual leave are covered)</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Training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Travel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Mobile phone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t>Materials (printing, information technology, etc.)</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2F7639">
            <w:pPr>
              <w:spacing w:after="0"/>
            </w:pPr>
            <w:r>
              <w:t xml:space="preserve">Accommodation costs </w:t>
            </w:r>
            <w:r w:rsidRPr="004C2DD6">
              <w:t>(for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Other direct support costs – please explain</w:t>
            </w:r>
            <w:r>
              <w:t xml:space="preserve"> below (note 1)</w:t>
            </w:r>
          </w:p>
        </w:tc>
        <w:tc>
          <w:tcPr>
            <w:tcW w:w="1011" w:type="dxa"/>
          </w:tcPr>
          <w:p w:rsidR="00682296" w:rsidRDefault="00682296" w:rsidP="009B279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Indi</w:t>
            </w:r>
            <w:r>
              <w:t>rect costs attributable to the C</w:t>
            </w:r>
            <w:r w:rsidRPr="004C2DD6">
              <w:t>ontract – please explain</w:t>
            </w:r>
            <w:r>
              <w:t xml:space="preserve"> below</w:t>
            </w:r>
          </w:p>
        </w:tc>
        <w:tc>
          <w:tcPr>
            <w:tcW w:w="1011" w:type="dxa"/>
          </w:tcPr>
          <w:p w:rsidR="00682296" w:rsidRDefault="00682296" w:rsidP="00F3711B">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direct cost</w:t>
            </w:r>
          </w:p>
        </w:tc>
        <w:tc>
          <w:tcPr>
            <w:tcW w:w="1011" w:type="dxa"/>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indirect costs</w:t>
            </w:r>
          </w:p>
        </w:tc>
        <w:tc>
          <w:tcPr>
            <w:tcW w:w="1011" w:type="dxa"/>
          </w:tcPr>
          <w:p w:rsidR="00682296" w:rsidRDefault="00682296" w:rsidP="009B2796">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2F7639" w:rsidRDefault="00682296" w:rsidP="00F866F8">
            <w:pPr>
              <w:spacing w:after="0"/>
              <w:rPr>
                <w:b/>
              </w:rPr>
            </w:pPr>
            <w:r>
              <w:rPr>
                <w:b/>
              </w:rPr>
              <w:t>Cumu</w:t>
            </w:r>
            <w:r w:rsidRPr="002F7639">
              <w:rPr>
                <w:b/>
              </w:rPr>
              <w:t>lative Total</w:t>
            </w:r>
          </w:p>
        </w:tc>
        <w:tc>
          <w:tcPr>
            <w:tcW w:w="1011" w:type="dxa"/>
          </w:tcPr>
          <w:p w:rsidR="00682296" w:rsidRPr="00360D63" w:rsidRDefault="00682296" w:rsidP="009B279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‘other direct support 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9541" w:type="dxa"/>
            <w:gridSpan w:val="6"/>
          </w:tcPr>
          <w:p w:rsidR="00682296" w:rsidRDefault="00682296" w:rsidP="00970036">
            <w:pPr>
              <w:spacing w:after="0"/>
            </w:pPr>
            <w:r>
              <w:t>Recruitment, postage, literature, DBS checks, payroll</w:t>
            </w:r>
          </w:p>
          <w:p w:rsidR="00682296" w:rsidRDefault="00682296" w:rsidP="009B2796">
            <w:pPr>
              <w:spacing w:after="0"/>
              <w:jc w:val="center"/>
            </w:pP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w:t>
            </w:r>
            <w:r>
              <w:t xml:space="preserve">indirect </w:t>
            </w:r>
            <w:r w:rsidRPr="00360D63">
              <w:t>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9541" w:type="dxa"/>
            <w:gridSpan w:val="6"/>
          </w:tcPr>
          <w:p w:rsidR="00682296" w:rsidRDefault="00682296" w:rsidP="00DE7809">
            <w:pPr>
              <w:spacing w:after="0"/>
            </w:pPr>
            <w:r>
              <w:t>Central management (</w:t>
            </w:r>
            <w:proofErr w:type="spellStart"/>
            <w:r>
              <w:t>inc</w:t>
            </w:r>
            <w:proofErr w:type="spellEnd"/>
            <w:r>
              <w:t xml:space="preserve"> governance), insurances, accounts and auditing, database, annual report, website, subscriptions</w:t>
            </w: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bl>
    <w:p w:rsidR="00682296" w:rsidRPr="00682296" w:rsidRDefault="00682296" w:rsidP="00682296">
      <w:pPr>
        <w:spacing w:after="0"/>
        <w:rPr>
          <w:b/>
          <w:u w:val="single"/>
        </w:rPr>
      </w:pPr>
      <w:r w:rsidRPr="00682296">
        <w:rPr>
          <w:b/>
          <w:u w:val="single"/>
        </w:rPr>
        <w:t>Note 1</w:t>
      </w:r>
    </w:p>
    <w:p w:rsidR="00682296" w:rsidRDefault="00682296" w:rsidP="00682296">
      <w:pPr>
        <w:spacing w:after="0"/>
      </w:pPr>
      <w:r>
        <w:t>Other direct support costs should specifically provide for interpretation services for clients whom English is a second or tertiary language.</w:t>
      </w:r>
    </w:p>
    <w:p w:rsidR="00682296" w:rsidRDefault="00682296" w:rsidP="00B570D7"/>
    <w:p w:rsidR="00682296" w:rsidRDefault="00682296" w:rsidP="00B570D7">
      <w:pPr>
        <w:sectPr w:rsidR="00682296"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3" w:name="_Toc476153278"/>
            <w:r w:rsidRPr="009B2796">
              <w:rPr>
                <w:color w:val="FFFFFF"/>
                <w:sz w:val="48"/>
                <w:szCs w:val="48"/>
              </w:rPr>
              <w:lastRenderedPageBreak/>
              <w:t>Price Review Framework</w:t>
            </w:r>
            <w:bookmarkEnd w:id="3"/>
          </w:p>
        </w:tc>
      </w:tr>
    </w:tbl>
    <w:p w:rsidR="001040CB" w:rsidRPr="00231A69" w:rsidRDefault="001040CB" w:rsidP="00C82E5E">
      <w:pPr>
        <w:pStyle w:val="Heading1"/>
        <w:numPr>
          <w:ilvl w:val="1"/>
          <w:numId w:val="14"/>
        </w:numPr>
        <w:pBdr>
          <w:bottom w:val="none" w:sz="0" w:space="0" w:color="auto"/>
        </w:pBdr>
        <w:spacing w:before="240" w:after="60"/>
        <w:ind w:left="567" w:hanging="567"/>
        <w:rPr>
          <w:sz w:val="28"/>
          <w:szCs w:val="28"/>
        </w:rPr>
      </w:pPr>
      <w:bookmarkStart w:id="4" w:name="_Toc476153279"/>
      <w:r w:rsidRPr="001B1F44">
        <w:rPr>
          <w:sz w:val="28"/>
          <w:szCs w:val="28"/>
        </w:rPr>
        <w:t>Price Validity Period</w:t>
      </w:r>
      <w:bookmarkEnd w:id="4"/>
    </w:p>
    <w:p w:rsidR="001040CB" w:rsidRPr="001F4B4C" w:rsidRDefault="001040CB" w:rsidP="00C82E5E">
      <w:pPr>
        <w:rPr>
          <w:b/>
        </w:rPr>
      </w:pPr>
      <w:r w:rsidRPr="00A43F1C">
        <w:t xml:space="preserve">Prices will remain valid </w:t>
      </w:r>
      <w:r w:rsidR="00A43F1C" w:rsidRPr="00A43F1C">
        <w:t xml:space="preserve">and firm for the </w:t>
      </w:r>
      <w:r w:rsidR="00470CE1">
        <w:t>36</w:t>
      </w:r>
      <w:bookmarkStart w:id="5" w:name="_GoBack"/>
      <w:bookmarkEnd w:id="5"/>
      <w:r w:rsidR="00E9210E">
        <w:t xml:space="preserve"> months</w:t>
      </w:r>
      <w:r w:rsidR="00A43F1C" w:rsidRPr="00A43F1C">
        <w:t xml:space="preserve"> </w:t>
      </w:r>
      <w:r w:rsidR="00E9210E">
        <w:t>c</w:t>
      </w:r>
      <w:r w:rsidR="00A43F1C" w:rsidRPr="00A43F1C">
        <w:t>ontract period.</w:t>
      </w:r>
      <w:r w:rsidR="00E8521D">
        <w:t xml:space="preserve"> </w:t>
      </w:r>
    </w:p>
    <w:p w:rsidR="001040CB" w:rsidRPr="001B1F44" w:rsidRDefault="001040CB" w:rsidP="001B1F44">
      <w:pPr>
        <w:pStyle w:val="Heading1"/>
        <w:numPr>
          <w:ilvl w:val="1"/>
          <w:numId w:val="14"/>
        </w:numPr>
        <w:pBdr>
          <w:bottom w:val="none" w:sz="0" w:space="0" w:color="auto"/>
        </w:pBdr>
        <w:spacing w:before="120" w:after="60"/>
        <w:ind w:left="567" w:hanging="567"/>
        <w:rPr>
          <w:sz w:val="28"/>
          <w:szCs w:val="28"/>
        </w:rPr>
      </w:pPr>
      <w:bookmarkStart w:id="6" w:name="_Ref314726086"/>
      <w:bookmarkStart w:id="7" w:name="_Toc476153280"/>
      <w:r w:rsidRPr="001B1F44">
        <w:rPr>
          <w:sz w:val="28"/>
          <w:szCs w:val="28"/>
        </w:rPr>
        <w:t>Price Review Proposals</w:t>
      </w:r>
      <w:bookmarkEnd w:id="6"/>
      <w:bookmarkEnd w:id="7"/>
    </w:p>
    <w:p w:rsidR="001040CB" w:rsidRPr="00C319C3" w:rsidRDefault="001040CB" w:rsidP="00C319C3">
      <w:pPr>
        <w:rPr>
          <w:rFonts w:ascii="Times New Roman" w:hAnsi="Times New Roman"/>
          <w:color w:val="000000"/>
          <w:sz w:val="24"/>
          <w:szCs w:val="24"/>
          <w:lang w:eastAsia="en-GB"/>
        </w:rPr>
      </w:pPr>
      <w:r w:rsidRPr="00C319C3">
        <w:rPr>
          <w:rFonts w:cs="Arial"/>
          <w:bCs/>
          <w:color w:val="000000"/>
          <w:lang w:eastAsia="en-GB"/>
        </w:rPr>
        <w:t>The Authority does not ex</w:t>
      </w:r>
      <w:r w:rsidR="00231A69">
        <w:rPr>
          <w:rFonts w:cs="Arial"/>
          <w:bCs/>
          <w:color w:val="000000"/>
          <w:lang w:eastAsia="en-GB"/>
        </w:rPr>
        <w:t xml:space="preserve">pect the Applicant to apply for </w:t>
      </w:r>
      <w:r w:rsidRPr="00C319C3">
        <w:rPr>
          <w:rFonts w:cs="Arial"/>
          <w:bCs/>
          <w:color w:val="000000"/>
          <w:lang w:eastAsia="en-GB"/>
        </w:rPr>
        <w:t>any price increases throughout the life of this Contract and would conversely look to explore ways of reducing costs throug</w:t>
      </w:r>
      <w:r w:rsidR="00231A69">
        <w:rPr>
          <w:rFonts w:cs="Arial"/>
          <w:bCs/>
          <w:color w:val="000000"/>
          <w:lang w:eastAsia="en-GB"/>
        </w:rPr>
        <w:t>hout its duration through a series of joint service review meetings.</w:t>
      </w:r>
      <w:r w:rsidR="002F7639">
        <w:rPr>
          <w:rFonts w:cs="Arial"/>
          <w:bCs/>
          <w:color w:val="000000"/>
          <w:lang w:eastAsia="en-GB"/>
        </w:rPr>
        <w:t xml:space="preserve"> </w:t>
      </w:r>
      <w:r w:rsidRPr="00C319C3">
        <w:rPr>
          <w:rFonts w:cs="Arial"/>
          <w:color w:val="000000"/>
          <w:lang w:eastAsia="en-GB"/>
        </w:rPr>
        <w:t xml:space="preserve">The Applicant’s signature </w:t>
      </w:r>
      <w:r w:rsidR="005C60C2">
        <w:rPr>
          <w:rFonts w:cs="Arial"/>
          <w:color w:val="000000"/>
          <w:lang w:eastAsia="en-GB"/>
        </w:rPr>
        <w:t>below</w:t>
      </w:r>
      <w:r w:rsidR="00A43F1C">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423C7E">
        <w:rPr>
          <w:rFonts w:cs="Arial"/>
          <w:color w:val="000000"/>
          <w:lang w:eastAsia="en-GB"/>
        </w:rPr>
        <w:fldChar w:fldCharType="begin"/>
      </w:r>
      <w:r>
        <w:rPr>
          <w:rFonts w:cs="Arial"/>
          <w:color w:val="000000"/>
          <w:lang w:eastAsia="en-GB"/>
        </w:rPr>
        <w:instrText xml:space="preserve"> REF _Ref314726086 \r \h </w:instrText>
      </w:r>
      <w:r w:rsidR="00423C7E">
        <w:rPr>
          <w:rFonts w:cs="Arial"/>
          <w:color w:val="000000"/>
          <w:lang w:eastAsia="en-GB"/>
        </w:rPr>
      </w:r>
      <w:r w:rsidR="00423C7E">
        <w:rPr>
          <w:rFonts w:cs="Arial"/>
          <w:color w:val="000000"/>
          <w:lang w:eastAsia="en-GB"/>
        </w:rPr>
        <w:fldChar w:fldCharType="separate"/>
      </w:r>
      <w:r w:rsidR="00D9471B">
        <w:rPr>
          <w:rFonts w:cs="Arial"/>
          <w:color w:val="000000"/>
          <w:lang w:eastAsia="en-GB"/>
        </w:rPr>
        <w:t>3.2</w:t>
      </w:r>
      <w:r w:rsidR="00423C7E">
        <w:rPr>
          <w:rFonts w:cs="Arial"/>
          <w:color w:val="000000"/>
          <w:lang w:eastAsia="en-GB"/>
        </w:rPr>
        <w:fldChar w:fldCharType="end"/>
      </w:r>
      <w:r>
        <w:rPr>
          <w:rFonts w:cs="Arial"/>
          <w:color w:val="000000"/>
          <w:lang w:eastAsia="en-GB"/>
        </w:rPr>
        <w:t xml:space="preserve"> </w:t>
      </w:r>
      <w:r w:rsidRPr="00C319C3">
        <w:rPr>
          <w:rFonts w:cs="Arial"/>
          <w:color w:val="000000"/>
          <w:lang w:eastAsia="en-GB"/>
        </w:rPr>
        <w:t xml:space="preserve">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Tr="009B2796">
        <w:tc>
          <w:tcPr>
            <w:tcW w:w="9855" w:type="dxa"/>
          </w:tcPr>
          <w:p w:rsidR="001040CB" w:rsidRPr="009B2796" w:rsidRDefault="001040CB" w:rsidP="00C82E5E">
            <w:pPr>
              <w:rPr>
                <w:rFonts w:cs="Arial"/>
                <w:color w:val="000000"/>
                <w:lang w:eastAsia="en-GB"/>
              </w:rPr>
            </w:pPr>
            <w:r w:rsidRPr="009B2796">
              <w:rPr>
                <w:rFonts w:cs="Arial"/>
                <w:color w:val="000000"/>
                <w:lang w:eastAsia="en-GB"/>
              </w:rPr>
              <w:t xml:space="preserve">Price Review Proposal if different from above: </w:t>
            </w:r>
            <w:r w:rsidR="00970036">
              <w:rPr>
                <w:rFonts w:cs="Arial"/>
                <w:color w:val="000000"/>
                <w:lang w:eastAsia="en-GB"/>
              </w:rPr>
              <w:t>n/a</w:t>
            </w:r>
          </w:p>
        </w:tc>
      </w:tr>
    </w:tbl>
    <w:p w:rsidR="001040CB" w:rsidRPr="00A43F1C" w:rsidRDefault="001040CB" w:rsidP="00A43F1C">
      <w:pPr>
        <w:pStyle w:val="Heading1"/>
        <w:pBdr>
          <w:bottom w:val="none" w:sz="0" w:space="0" w:color="auto"/>
        </w:pBdr>
        <w:spacing w:before="120" w:after="60"/>
        <w:rPr>
          <w:sz w:val="28"/>
          <w:szCs w:val="28"/>
        </w:rPr>
        <w:sectPr w:rsidR="001040CB" w:rsidRPr="00A43F1C"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Tr="009B2796">
        <w:trPr>
          <w:trHeight w:hRule="exact" w:val="567"/>
        </w:trPr>
        <w:tc>
          <w:tcPr>
            <w:tcW w:w="9855" w:type="dxa"/>
            <w:shd w:val="clear" w:color="auto" w:fill="009900"/>
            <w:vAlign w:val="center"/>
          </w:tcPr>
          <w:p w:rsidR="001040CB" w:rsidRPr="009B2796" w:rsidRDefault="002F7639" w:rsidP="005C60C2">
            <w:pPr>
              <w:pStyle w:val="Heading1"/>
              <w:tabs>
                <w:tab w:val="left" w:pos="1026"/>
              </w:tabs>
              <w:ind w:left="1593" w:hanging="1593"/>
            </w:pPr>
            <w:r>
              <w:lastRenderedPageBreak/>
              <w:t xml:space="preserve"> </w:t>
            </w:r>
            <w:bookmarkStart w:id="8" w:name="_Toc476153281"/>
            <w:r w:rsidR="005C60C2">
              <w:t xml:space="preserve">3.3      </w:t>
            </w:r>
            <w:r w:rsidR="001040CB" w:rsidRPr="009B2796">
              <w:t>Pricing Schedule Declaration</w:t>
            </w:r>
            <w:bookmarkEnd w:id="8"/>
          </w:p>
        </w:tc>
      </w:tr>
    </w:tbl>
    <w:p w:rsidR="001040CB" w:rsidRDefault="001040CB" w:rsidP="001B1F44">
      <w:pPr>
        <w:spacing w:before="240"/>
      </w:pPr>
      <w: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Signed*: </w:t>
            </w:r>
            <w:r w:rsidR="00970036">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F3711B" w:rsidP="00104598">
            <w:pPr>
              <w:tabs>
                <w:tab w:val="left" w:pos="0"/>
                <w:tab w:val="num" w:pos="567"/>
              </w:tabs>
              <w:rPr>
                <w:rFonts w:cs="Arial"/>
                <w:sz w:val="20"/>
                <w:szCs w:val="20"/>
              </w:rPr>
            </w:pPr>
            <w:r>
              <w:rPr>
                <w:rFonts w:cs="Arial"/>
                <w:sz w:val="20"/>
                <w:szCs w:val="20"/>
              </w:rPr>
              <w:t>Date:</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Name </w:t>
            </w:r>
            <w:r w:rsidRPr="009B2796">
              <w:rPr>
                <w:rFonts w:cs="Arial"/>
                <w:i/>
                <w:sz w:val="20"/>
                <w:szCs w:val="20"/>
              </w:rPr>
              <w:t>(in block capitals)</w:t>
            </w:r>
            <w:r w:rsidRPr="009B2796">
              <w:rPr>
                <w:rFonts w:cs="Arial"/>
                <w:sz w:val="20"/>
                <w:szCs w:val="20"/>
              </w:rPr>
              <w:t xml:space="preserve">: </w:t>
            </w:r>
            <w:r w:rsidR="00970036">
              <w:rPr>
                <w:rFonts w:cs="Arial"/>
                <w:sz w:val="20"/>
                <w:szCs w:val="20"/>
              </w:rPr>
              <w:t xml:space="preserve">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0"/>
                <w:tab w:val="num" w:pos="567"/>
              </w:tabs>
              <w:rPr>
                <w:rFonts w:cs="Arial"/>
                <w:sz w:val="20"/>
                <w:szCs w:val="20"/>
              </w:rPr>
            </w:pPr>
            <w:r w:rsidRPr="009B2796">
              <w:rPr>
                <w:rFonts w:cs="Arial"/>
                <w:sz w:val="20"/>
                <w:szCs w:val="20"/>
              </w:rPr>
              <w:t xml:space="preserve">In the capacity of: </w:t>
            </w:r>
          </w:p>
          <w:p w:rsidR="001040CB" w:rsidRPr="009B2796" w:rsidRDefault="001040CB" w:rsidP="009B2796">
            <w:pPr>
              <w:tabs>
                <w:tab w:val="left" w:pos="0"/>
                <w:tab w:val="num" w:pos="567"/>
              </w:tabs>
              <w:rPr>
                <w:rFonts w:cs="Arial"/>
                <w:sz w:val="20"/>
                <w:szCs w:val="20"/>
              </w:rPr>
            </w:pPr>
            <w:r w:rsidRPr="009B2796">
              <w:rPr>
                <w:rFonts w:cs="Arial"/>
                <w:i/>
                <w:sz w:val="20"/>
                <w:szCs w:val="20"/>
              </w:rPr>
              <w:t>(State official position, i.e. Director, Manager, etc.)</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Organisation name and postal address: </w:t>
            </w:r>
          </w:p>
        </w:tc>
      </w:tr>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Fax No: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709"/>
              </w:tabs>
              <w:rPr>
                <w:rFonts w:cs="Arial"/>
                <w:sz w:val="20"/>
                <w:szCs w:val="20"/>
              </w:rPr>
            </w:pPr>
            <w:r w:rsidRPr="009B279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354AA" w:rsidRDefault="001040CB" w:rsidP="00AB5B9B"/>
    <w:sectPr w:rsidR="001040CB" w:rsidRPr="007354AA"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470CE1" w:rsidRPr="00470CE1">
          <w:rPr>
            <w:b/>
            <w:noProof/>
          </w:rPr>
          <w:t>5</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470C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470C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470C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2B43"/>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0CE1"/>
    <w:rsid w:val="00471EEA"/>
    <w:rsid w:val="004752B2"/>
    <w:rsid w:val="0048372B"/>
    <w:rsid w:val="00483FA3"/>
    <w:rsid w:val="00487DD7"/>
    <w:rsid w:val="00493954"/>
    <w:rsid w:val="0049690C"/>
    <w:rsid w:val="00497FCD"/>
    <w:rsid w:val="004A108B"/>
    <w:rsid w:val="004A48A9"/>
    <w:rsid w:val="004A4D12"/>
    <w:rsid w:val="004A597F"/>
    <w:rsid w:val="004B0C44"/>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421D"/>
    <w:rsid w:val="00676996"/>
    <w:rsid w:val="006769F0"/>
    <w:rsid w:val="00681673"/>
    <w:rsid w:val="0068195F"/>
    <w:rsid w:val="00681CA7"/>
    <w:rsid w:val="00682296"/>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4216"/>
    <w:rsid w:val="00DA53EF"/>
    <w:rsid w:val="00DA602B"/>
    <w:rsid w:val="00DA65F8"/>
    <w:rsid w:val="00DA7734"/>
    <w:rsid w:val="00DB2DD1"/>
    <w:rsid w:val="00DB2E00"/>
    <w:rsid w:val="00DB60BB"/>
    <w:rsid w:val="00DB68BD"/>
    <w:rsid w:val="00DB7438"/>
    <w:rsid w:val="00DC113E"/>
    <w:rsid w:val="00DC1695"/>
    <w:rsid w:val="00DC3F26"/>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66F8"/>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BE36E-33D1-4F96-BD44-9E3B7EEB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588</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4370</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4</cp:revision>
  <cp:lastPrinted>2015-06-11T15:44:00Z</cp:lastPrinted>
  <dcterms:created xsi:type="dcterms:W3CDTF">2017-02-27T15:10:00Z</dcterms:created>
  <dcterms:modified xsi:type="dcterms:W3CDTF">2017-03-03T10:53:00Z</dcterms:modified>
</cp:coreProperties>
</file>