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6A4" w14:textId="505171CA" w:rsidR="00DF3DB1" w:rsidRPr="00F716C0" w:rsidRDefault="00300F56" w:rsidP="003778D8">
      <w:pPr>
        <w:jc w:val="center"/>
        <w:rPr>
          <w:sz w:val="22"/>
          <w:szCs w:val="22"/>
        </w:rPr>
      </w:pPr>
      <w:r w:rsidRPr="00300F56">
        <w:rPr>
          <w:rFonts w:cs="Arial"/>
          <w:b/>
          <w:color w:val="000000"/>
          <w:sz w:val="22"/>
          <w:szCs w:val="22"/>
        </w:rPr>
        <w:t>C0422a</w:t>
      </w:r>
      <w:r w:rsidR="008D071B">
        <w:rPr>
          <w:b/>
          <w:sz w:val="22"/>
          <w:szCs w:val="22"/>
        </w:rPr>
        <w:t xml:space="preserve"> </w:t>
      </w:r>
      <w:r w:rsidR="002F1AE5">
        <w:rPr>
          <w:b/>
          <w:sz w:val="22"/>
          <w:szCs w:val="22"/>
        </w:rPr>
        <w:t xml:space="preserve">Query </w:t>
      </w:r>
      <w:r w:rsidR="002F1AE5" w:rsidRPr="00BB24F0">
        <w:rPr>
          <w:b/>
          <w:sz w:val="22"/>
          <w:szCs w:val="22"/>
        </w:rPr>
        <w:t>Log</w:t>
      </w:r>
      <w:r w:rsidR="00C73014" w:rsidRPr="00BB24F0">
        <w:rPr>
          <w:b/>
          <w:sz w:val="22"/>
          <w:szCs w:val="22"/>
        </w:rPr>
        <w:t xml:space="preserve"> as at </w:t>
      </w:r>
      <w:r w:rsidR="00BB24F0" w:rsidRPr="00BB24F0">
        <w:rPr>
          <w:b/>
          <w:sz w:val="22"/>
          <w:szCs w:val="22"/>
        </w:rPr>
        <w:t>29</w:t>
      </w:r>
      <w:r w:rsidR="00C73014" w:rsidRPr="00BB24F0">
        <w:rPr>
          <w:b/>
          <w:sz w:val="22"/>
          <w:szCs w:val="22"/>
        </w:rPr>
        <w:t>.</w:t>
      </w:r>
      <w:r w:rsidR="003D3B95" w:rsidRPr="00BB24F0">
        <w:rPr>
          <w:b/>
          <w:sz w:val="22"/>
          <w:szCs w:val="22"/>
        </w:rPr>
        <w:t>0</w:t>
      </w:r>
      <w:r w:rsidR="00BB24F0" w:rsidRPr="00BB24F0">
        <w:rPr>
          <w:b/>
          <w:sz w:val="22"/>
          <w:szCs w:val="22"/>
        </w:rPr>
        <w:t>4</w:t>
      </w:r>
      <w:r w:rsidR="00C73014" w:rsidRPr="00BB24F0">
        <w:rPr>
          <w:b/>
          <w:sz w:val="22"/>
          <w:szCs w:val="22"/>
        </w:rPr>
        <w:t>.202</w:t>
      </w:r>
      <w:r w:rsidR="003D3B95" w:rsidRPr="00BB24F0">
        <w:rPr>
          <w:b/>
          <w:sz w:val="22"/>
          <w:szCs w:val="22"/>
        </w:rPr>
        <w:t>2</w:t>
      </w:r>
    </w:p>
    <w:p w14:paraId="67CCE617" w14:textId="77777777" w:rsidR="003778D8" w:rsidRPr="00F716C0" w:rsidRDefault="003778D8" w:rsidP="003778D8">
      <w:pPr>
        <w:jc w:val="center"/>
        <w:rPr>
          <w:sz w:val="22"/>
          <w:szCs w:val="22"/>
        </w:rPr>
      </w:pPr>
    </w:p>
    <w:p w14:paraId="3AA3EB94" w14:textId="5325077D" w:rsidR="001A3C19" w:rsidRPr="00F716C0" w:rsidRDefault="002F1AE5" w:rsidP="00B43096">
      <w:pPr>
        <w:rPr>
          <w:sz w:val="22"/>
          <w:szCs w:val="22"/>
        </w:rPr>
      </w:pPr>
      <w:r>
        <w:rPr>
          <w:sz w:val="22"/>
          <w:szCs w:val="22"/>
        </w:rPr>
        <w:t>This log captures any</w:t>
      </w:r>
      <w:r w:rsidR="001A3C19" w:rsidRPr="00F716C0">
        <w:rPr>
          <w:sz w:val="22"/>
          <w:szCs w:val="22"/>
        </w:rPr>
        <w:t xml:space="preserve"> requests for information or clarification regarding this project</w:t>
      </w:r>
      <w:r>
        <w:rPr>
          <w:sz w:val="22"/>
          <w:szCs w:val="22"/>
        </w:rPr>
        <w:t xml:space="preserve"> received by</w:t>
      </w:r>
      <w:r w:rsidR="00C73014">
        <w:rPr>
          <w:sz w:val="22"/>
          <w:szCs w:val="22"/>
        </w:rPr>
        <w:t xml:space="preserve"> </w:t>
      </w:r>
      <w:r w:rsidR="00C73014" w:rsidRPr="00C73014">
        <w:rPr>
          <w:sz w:val="22"/>
          <w:szCs w:val="22"/>
        </w:rPr>
        <w:t>London Councils</w:t>
      </w:r>
      <w:r w:rsidR="001A3C19" w:rsidRPr="00F716C0">
        <w:rPr>
          <w:sz w:val="22"/>
          <w:szCs w:val="22"/>
        </w:rPr>
        <w:t>.</w:t>
      </w:r>
    </w:p>
    <w:p w14:paraId="3D9163D5" w14:textId="77777777" w:rsidR="001A3C19" w:rsidRPr="00F716C0" w:rsidRDefault="001A3C19" w:rsidP="00B43096">
      <w:pPr>
        <w:rPr>
          <w:sz w:val="22"/>
          <w:szCs w:val="22"/>
        </w:rPr>
      </w:pPr>
    </w:p>
    <w:p w14:paraId="0DAFBEC5" w14:textId="31EFF3D7" w:rsidR="00B43096" w:rsidRPr="00F716C0" w:rsidRDefault="001A3C19" w:rsidP="00B43096">
      <w:pPr>
        <w:rPr>
          <w:sz w:val="22"/>
          <w:szCs w:val="22"/>
        </w:rPr>
      </w:pPr>
      <w:r w:rsidRPr="00F716C0">
        <w:rPr>
          <w:sz w:val="22"/>
          <w:szCs w:val="22"/>
        </w:rPr>
        <w:t xml:space="preserve">In line with the explanation provided in the </w:t>
      </w:r>
      <w:r w:rsidR="00B32B59" w:rsidRPr="00F716C0">
        <w:rPr>
          <w:sz w:val="22"/>
          <w:szCs w:val="22"/>
        </w:rPr>
        <w:t>IT</w:t>
      </w:r>
      <w:r w:rsidR="00300F56">
        <w:rPr>
          <w:sz w:val="22"/>
          <w:szCs w:val="22"/>
        </w:rPr>
        <w:t>T</w:t>
      </w:r>
      <w:r w:rsidR="00B32B59" w:rsidRPr="00F716C0">
        <w:rPr>
          <w:sz w:val="22"/>
          <w:szCs w:val="22"/>
        </w:rPr>
        <w:t xml:space="preserve"> document, further information requested about the project will be copied to other </w:t>
      </w:r>
      <w:r w:rsidR="00B43096" w:rsidRPr="00F716C0">
        <w:rPr>
          <w:sz w:val="22"/>
          <w:szCs w:val="22"/>
        </w:rPr>
        <w:t xml:space="preserve">organisations bidding (though will not identify the originator of the enquiry) through </w:t>
      </w:r>
      <w:r w:rsidR="00F716C0" w:rsidRPr="00F716C0">
        <w:rPr>
          <w:sz w:val="22"/>
          <w:szCs w:val="22"/>
        </w:rPr>
        <w:t xml:space="preserve">this document </w:t>
      </w:r>
      <w:r w:rsidR="00C73014">
        <w:rPr>
          <w:sz w:val="22"/>
          <w:szCs w:val="22"/>
        </w:rPr>
        <w:t>emailed to bidders who have confirmed interest in submitting a proposal</w:t>
      </w:r>
      <w:r w:rsidR="00B43096" w:rsidRPr="00F716C0">
        <w:rPr>
          <w:sz w:val="22"/>
          <w:szCs w:val="22"/>
        </w:rPr>
        <w:t xml:space="preserve">. </w:t>
      </w:r>
    </w:p>
    <w:p w14:paraId="2A363D9F" w14:textId="77777777" w:rsidR="00F716C0" w:rsidRPr="00F716C0" w:rsidRDefault="00F716C0" w:rsidP="00B43096">
      <w:pPr>
        <w:rPr>
          <w:sz w:val="22"/>
          <w:szCs w:val="22"/>
        </w:rPr>
      </w:pPr>
    </w:p>
    <w:p w14:paraId="7DE6BD1F" w14:textId="1C5D1EE6" w:rsidR="00F716C0" w:rsidRPr="00F716C0" w:rsidRDefault="00F716C0" w:rsidP="00B43096">
      <w:pPr>
        <w:rPr>
          <w:sz w:val="22"/>
          <w:szCs w:val="22"/>
        </w:rPr>
      </w:pPr>
      <w:r w:rsidRPr="00F716C0">
        <w:rPr>
          <w:b/>
          <w:sz w:val="22"/>
          <w:szCs w:val="22"/>
        </w:rPr>
        <w:t xml:space="preserve">NB: This document will be updated as and when enquiries come through, so bidders </w:t>
      </w:r>
      <w:r w:rsidR="002F1AE5">
        <w:rPr>
          <w:b/>
          <w:sz w:val="22"/>
          <w:szCs w:val="22"/>
        </w:rPr>
        <w:t xml:space="preserve">will </w:t>
      </w:r>
      <w:r w:rsidR="00C73014">
        <w:rPr>
          <w:b/>
          <w:sz w:val="22"/>
          <w:szCs w:val="22"/>
        </w:rPr>
        <w:t xml:space="preserve">be </w:t>
      </w:r>
      <w:r w:rsidR="002F1AE5">
        <w:rPr>
          <w:b/>
          <w:sz w:val="22"/>
          <w:szCs w:val="22"/>
        </w:rPr>
        <w:t>sent the updated version with</w:t>
      </w:r>
      <w:r w:rsidRPr="00F716C0">
        <w:rPr>
          <w:b/>
          <w:sz w:val="22"/>
          <w:szCs w:val="22"/>
        </w:rPr>
        <w:t xml:space="preserve"> any further information.</w:t>
      </w:r>
      <w:r w:rsidR="008D071B">
        <w:rPr>
          <w:b/>
          <w:sz w:val="22"/>
          <w:szCs w:val="22"/>
        </w:rPr>
        <w:t xml:space="preserve"> The deadline for submitting queries is </w:t>
      </w:r>
      <w:r w:rsidR="00300F56" w:rsidRPr="00300F56">
        <w:rPr>
          <w:b/>
          <w:sz w:val="22"/>
          <w:szCs w:val="22"/>
          <w:u w:val="single"/>
        </w:rPr>
        <w:t>Midday</w:t>
      </w:r>
      <w:r w:rsidR="008D071B" w:rsidRPr="00300F56">
        <w:rPr>
          <w:b/>
          <w:sz w:val="22"/>
          <w:szCs w:val="22"/>
          <w:u w:val="single"/>
        </w:rPr>
        <w:t xml:space="preserve"> </w:t>
      </w:r>
      <w:r w:rsidR="00300F56" w:rsidRPr="00300F56">
        <w:rPr>
          <w:b/>
          <w:sz w:val="22"/>
          <w:szCs w:val="22"/>
          <w:u w:val="single"/>
        </w:rPr>
        <w:t>Friday</w:t>
      </w:r>
      <w:r w:rsidR="008D071B" w:rsidRPr="00300F56">
        <w:rPr>
          <w:b/>
          <w:sz w:val="22"/>
          <w:szCs w:val="22"/>
          <w:u w:val="single"/>
        </w:rPr>
        <w:t xml:space="preserve"> </w:t>
      </w:r>
      <w:r w:rsidR="003D3B95" w:rsidRPr="00300F56">
        <w:rPr>
          <w:b/>
          <w:sz w:val="22"/>
          <w:szCs w:val="22"/>
          <w:u w:val="single"/>
        </w:rPr>
        <w:t>1</w:t>
      </w:r>
      <w:r w:rsidR="00300F56" w:rsidRPr="00300F56">
        <w:rPr>
          <w:b/>
          <w:sz w:val="22"/>
          <w:szCs w:val="22"/>
          <w:u w:val="single"/>
        </w:rPr>
        <w:t>3</w:t>
      </w:r>
      <w:r w:rsidR="003D3B95" w:rsidRPr="00300F56">
        <w:rPr>
          <w:b/>
          <w:sz w:val="22"/>
          <w:szCs w:val="22"/>
          <w:u w:val="single"/>
        </w:rPr>
        <w:t>th</w:t>
      </w:r>
      <w:r w:rsidR="008D071B" w:rsidRPr="00300F56">
        <w:rPr>
          <w:b/>
          <w:sz w:val="22"/>
          <w:szCs w:val="22"/>
          <w:u w:val="single"/>
        </w:rPr>
        <w:t xml:space="preserve"> </w:t>
      </w:r>
      <w:r w:rsidR="003D3B95" w:rsidRPr="00300F56">
        <w:rPr>
          <w:b/>
          <w:sz w:val="22"/>
          <w:szCs w:val="22"/>
          <w:u w:val="single"/>
        </w:rPr>
        <w:t xml:space="preserve">May </w:t>
      </w:r>
      <w:r w:rsidR="008D071B" w:rsidRPr="00300F56">
        <w:rPr>
          <w:b/>
          <w:sz w:val="22"/>
          <w:szCs w:val="22"/>
          <w:u w:val="single"/>
        </w:rPr>
        <w:t>202</w:t>
      </w:r>
      <w:r w:rsidR="00300F56" w:rsidRPr="00300F56">
        <w:rPr>
          <w:b/>
          <w:sz w:val="22"/>
          <w:szCs w:val="22"/>
          <w:u w:val="single"/>
        </w:rPr>
        <w:t>2</w:t>
      </w:r>
      <w:r w:rsidR="008D071B" w:rsidRPr="00300F56">
        <w:rPr>
          <w:b/>
          <w:sz w:val="22"/>
          <w:szCs w:val="22"/>
        </w:rPr>
        <w:t xml:space="preserve">, queries received after this will </w:t>
      </w:r>
      <w:r w:rsidR="008D071B" w:rsidRPr="00300F56">
        <w:rPr>
          <w:b/>
          <w:i/>
          <w:iCs/>
          <w:sz w:val="22"/>
          <w:szCs w:val="22"/>
        </w:rPr>
        <w:t>not</w:t>
      </w:r>
      <w:r w:rsidR="008D071B" w:rsidRPr="00300F56">
        <w:rPr>
          <w:b/>
          <w:sz w:val="22"/>
          <w:szCs w:val="22"/>
        </w:rPr>
        <w:t xml:space="preserve"> be answered.</w:t>
      </w:r>
    </w:p>
    <w:p w14:paraId="17F24F97" w14:textId="77777777" w:rsidR="003778D8" w:rsidRPr="00F716C0" w:rsidRDefault="00B43096" w:rsidP="00B43096">
      <w:pPr>
        <w:rPr>
          <w:sz w:val="22"/>
          <w:szCs w:val="22"/>
        </w:rPr>
      </w:pPr>
      <w:r w:rsidRPr="00F716C0">
        <w:rPr>
          <w:sz w:val="22"/>
          <w:szCs w:val="22"/>
        </w:rPr>
        <w:t xml:space="preserve">    </w:t>
      </w:r>
    </w:p>
    <w:tbl>
      <w:tblPr>
        <w:tblStyle w:val="TableProfessional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374"/>
        <w:gridCol w:w="6946"/>
      </w:tblGrid>
      <w:tr w:rsidR="003778D8" w:rsidRPr="00F716C0" w14:paraId="695042BF" w14:textId="77777777" w:rsidTr="00BB2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  <w:tblHeader/>
        </w:trPr>
        <w:tc>
          <w:tcPr>
            <w:tcW w:w="6374" w:type="dxa"/>
            <w:shd w:val="clear" w:color="auto" w:fill="CC99FF"/>
            <w:vAlign w:val="center"/>
          </w:tcPr>
          <w:p w14:paraId="45E41B1D" w14:textId="77777777" w:rsidR="003778D8" w:rsidRPr="002F1AE5" w:rsidRDefault="003778D8" w:rsidP="003778D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2F1AE5">
              <w:rPr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6946" w:type="dxa"/>
            <w:shd w:val="clear" w:color="auto" w:fill="CC99FF"/>
            <w:vAlign w:val="center"/>
          </w:tcPr>
          <w:p w14:paraId="5AF0F768" w14:textId="77777777" w:rsidR="003778D8" w:rsidRPr="002F1AE5" w:rsidRDefault="003778D8" w:rsidP="003778D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2F1AE5">
              <w:rPr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3778D8" w:rsidRPr="00F716C0" w14:paraId="02BF8E4A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675892B0" w14:textId="77777777" w:rsidR="00D80568" w:rsidRPr="00D80568" w:rsidRDefault="00D80568" w:rsidP="00D80568">
            <w:pPr>
              <w:rPr>
                <w:rFonts w:cs="Arial"/>
              </w:rPr>
            </w:pPr>
            <w:r w:rsidRPr="00D80568">
              <w:rPr>
                <w:rFonts w:cs="Arial"/>
              </w:rPr>
              <w:t xml:space="preserve">Please could you confirm the word limits please on each of the responses within the method statements section. The documentation refers to a maximum word limit but then doesn’t specify </w:t>
            </w:r>
          </w:p>
          <w:p w14:paraId="048BC553" w14:textId="08DB53C5" w:rsidR="003778D8" w:rsidRPr="00F716C0" w:rsidRDefault="003778D8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2160B62" w14:textId="63185D69" w:rsidR="006D52BF" w:rsidRPr="00BB24F0" w:rsidRDefault="00D80568" w:rsidP="006D52BF">
            <w:pPr>
              <w:rPr>
                <w:sz w:val="22"/>
                <w:szCs w:val="22"/>
              </w:rPr>
            </w:pPr>
            <w:bookmarkStart w:id="0" w:name="_Hlk102034259"/>
            <w:r w:rsidRPr="00BB24F0">
              <w:rPr>
                <w:rFonts w:cs="Arial"/>
              </w:rPr>
              <w:t>The text around a maximum word limit was left in by mistake – there is no word limit for the responses.</w:t>
            </w:r>
            <w:bookmarkEnd w:id="0"/>
          </w:p>
        </w:tc>
      </w:tr>
      <w:tr w:rsidR="00481F93" w:rsidRPr="00F716C0" w14:paraId="77E5E563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593CEACD" w14:textId="70B7A195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>
              <w:t>P</w:t>
            </w:r>
            <w:r w:rsidRPr="00BB24F0">
              <w:t xml:space="preserve">lease could you confirm whether London Councils will be providing administration for the delivery of the sessions – </w:t>
            </w:r>
            <w:proofErr w:type="spellStart"/>
            <w:proofErr w:type="gramStart"/>
            <w:r w:rsidRPr="00BB24F0">
              <w:t>ie</w:t>
            </w:r>
            <w:proofErr w:type="spellEnd"/>
            <w:proofErr w:type="gramEnd"/>
            <w:r w:rsidRPr="00BB24F0">
              <w:t xml:space="preserve"> booking people on and sending out invites etc or do we need to cost that into our submission also?</w:t>
            </w:r>
          </w:p>
          <w:p w14:paraId="06D0DD8F" w14:textId="77777777" w:rsidR="00481F93" w:rsidRPr="00F716C0" w:rsidRDefault="00481F93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2E5429D9" w14:textId="50A68D80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 xml:space="preserve">We’re open to either LC providing administration (as described) or for the provider to do this, if you wish to provide </w:t>
            </w:r>
            <w:proofErr w:type="gramStart"/>
            <w:r w:rsidRPr="00BB24F0">
              <w:t>administration</w:t>
            </w:r>
            <w:proofErr w:type="gramEnd"/>
            <w:r w:rsidRPr="00BB24F0">
              <w:t xml:space="preserve"> please do include the relative costs.</w:t>
            </w:r>
          </w:p>
          <w:p w14:paraId="15D06CAD" w14:textId="77777777" w:rsidR="00481F93" w:rsidRPr="00BB24F0" w:rsidRDefault="00481F93" w:rsidP="006D52BF">
            <w:pPr>
              <w:rPr>
                <w:sz w:val="22"/>
                <w:szCs w:val="22"/>
              </w:rPr>
            </w:pPr>
          </w:p>
        </w:tc>
      </w:tr>
      <w:tr w:rsidR="00BB24F0" w:rsidRPr="00F716C0" w14:paraId="2DF84E6A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0BAD8A84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lastRenderedPageBreak/>
              <w:t xml:space="preserve">Will London Councils provide the venues for the </w:t>
            </w:r>
            <w:proofErr w:type="gramStart"/>
            <w:r w:rsidRPr="00BB24F0">
              <w:t>face to face</w:t>
            </w:r>
            <w:proofErr w:type="gramEnd"/>
            <w:r w:rsidRPr="00BB24F0">
              <w:t xml:space="preserve"> delivery or do we have to cost that into our submission?</w:t>
            </w:r>
          </w:p>
          <w:p w14:paraId="29F2D6B1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3984DE4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 xml:space="preserve">London Councils has the facilitates to provide for </w:t>
            </w:r>
            <w:proofErr w:type="gramStart"/>
            <w:r w:rsidRPr="00BB24F0">
              <w:t>face to face</w:t>
            </w:r>
            <w:proofErr w:type="gramEnd"/>
            <w:r w:rsidRPr="00BB24F0">
              <w:t xml:space="preserve"> delivery.</w:t>
            </w:r>
          </w:p>
          <w:p w14:paraId="6423015E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</w:tr>
      <w:tr w:rsidR="00BB24F0" w:rsidRPr="00F716C0" w14:paraId="6296A0B9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44A33C7F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>Please could you confirm that value of £90,000 is for the whole 3 years and not per year?</w:t>
            </w:r>
          </w:p>
          <w:p w14:paraId="0E02B5B3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A318141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>Yes, £90,000 is an approximate cost for the whole 3 years and not per year</w:t>
            </w:r>
          </w:p>
          <w:p w14:paraId="1901513F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</w:tr>
      <w:tr w:rsidR="00BB24F0" w:rsidRPr="00F716C0" w14:paraId="3551FE73" w14:textId="77777777" w:rsidTr="00BB24F0">
        <w:trPr>
          <w:trHeight w:val="1918"/>
        </w:trPr>
        <w:tc>
          <w:tcPr>
            <w:tcW w:w="6374" w:type="dxa"/>
            <w:vAlign w:val="center"/>
          </w:tcPr>
          <w:p w14:paraId="24CA64EF" w14:textId="77777777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>How many senior managers and customer facing staff will be accessing the mandatory training around culture competency?</w:t>
            </w:r>
          </w:p>
          <w:p w14:paraId="475D5865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09509F9C" w14:textId="02845D4A" w:rsidR="00BB24F0" w:rsidRPr="00BB24F0" w:rsidRDefault="00BB24F0" w:rsidP="00BB24F0">
            <w:pPr>
              <w:rPr>
                <w:rFonts w:ascii="Calibri" w:hAnsi="Calibri"/>
                <w:sz w:val="22"/>
                <w:szCs w:val="22"/>
              </w:rPr>
            </w:pPr>
            <w:r w:rsidRPr="00BB24F0">
              <w:t xml:space="preserve">In reference to the cultural competency </w:t>
            </w:r>
            <w:proofErr w:type="gramStart"/>
            <w:r w:rsidRPr="00BB24F0">
              <w:t>training</w:t>
            </w:r>
            <w:proofErr w:type="gramEnd"/>
            <w:r w:rsidRPr="00BB24F0">
              <w:t xml:space="preserve"> we have c.20 senior managers and c.16 customer facing staff. </w:t>
            </w:r>
            <w:r w:rsidR="00222767" w:rsidRPr="00BB24F0">
              <w:t>Essentially,</w:t>
            </w:r>
            <w:r w:rsidRPr="00BB24F0">
              <w:t xml:space="preserve"> we are referring to around 35-40 members of staff.</w:t>
            </w:r>
          </w:p>
          <w:p w14:paraId="6314F042" w14:textId="77777777" w:rsidR="00BB24F0" w:rsidRPr="00F716C0" w:rsidRDefault="00BB24F0" w:rsidP="006D52BF">
            <w:pPr>
              <w:rPr>
                <w:sz w:val="22"/>
                <w:szCs w:val="22"/>
              </w:rPr>
            </w:pPr>
          </w:p>
        </w:tc>
      </w:tr>
    </w:tbl>
    <w:p w14:paraId="12C57281" w14:textId="77777777" w:rsidR="003778D8" w:rsidRPr="00F716C0" w:rsidRDefault="003778D8" w:rsidP="00B43096">
      <w:pPr>
        <w:rPr>
          <w:sz w:val="22"/>
          <w:szCs w:val="22"/>
        </w:rPr>
      </w:pPr>
    </w:p>
    <w:sectPr w:rsidR="003778D8" w:rsidRPr="00F716C0" w:rsidSect="00BB24F0">
      <w:footerReference w:type="even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C3EC" w14:textId="77777777" w:rsidR="000D136B" w:rsidRDefault="000D136B">
      <w:r>
        <w:separator/>
      </w:r>
    </w:p>
  </w:endnote>
  <w:endnote w:type="continuationSeparator" w:id="0">
    <w:p w14:paraId="306A32A0" w14:textId="77777777" w:rsidR="000D136B" w:rsidRDefault="000D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5D9A" w14:textId="77777777" w:rsidR="002217FD" w:rsidRDefault="002217FD" w:rsidP="004434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918A48" w14:textId="77777777" w:rsidR="002217FD" w:rsidRDefault="002217FD" w:rsidP="002217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C2A3" w14:textId="77777777" w:rsidR="002217FD" w:rsidRDefault="002217FD" w:rsidP="004434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9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6BBD16" w14:textId="77777777" w:rsidR="002217FD" w:rsidRDefault="002217FD" w:rsidP="00221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B24D" w14:textId="77777777" w:rsidR="000D136B" w:rsidRDefault="000D136B">
      <w:r>
        <w:separator/>
      </w:r>
    </w:p>
  </w:footnote>
  <w:footnote w:type="continuationSeparator" w:id="0">
    <w:p w14:paraId="7606C9F2" w14:textId="77777777" w:rsidR="000D136B" w:rsidRDefault="000D1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2356"/>
    <w:multiLevelType w:val="hybridMultilevel"/>
    <w:tmpl w:val="1C78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146D1"/>
    <w:multiLevelType w:val="hybridMultilevel"/>
    <w:tmpl w:val="0DF4A7BE"/>
    <w:lvl w:ilvl="0" w:tplc="8AAC82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932519">
    <w:abstractNumId w:val="1"/>
  </w:num>
  <w:num w:numId="2" w16cid:durableId="2978803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8"/>
    <w:rsid w:val="00013A5E"/>
    <w:rsid w:val="0001544E"/>
    <w:rsid w:val="000429E6"/>
    <w:rsid w:val="00043736"/>
    <w:rsid w:val="00057767"/>
    <w:rsid w:val="00060E11"/>
    <w:rsid w:val="000918D0"/>
    <w:rsid w:val="00094F57"/>
    <w:rsid w:val="000C3BA5"/>
    <w:rsid w:val="000D136B"/>
    <w:rsid w:val="000D17B3"/>
    <w:rsid w:val="000D475E"/>
    <w:rsid w:val="000D5E41"/>
    <w:rsid w:val="000E4F15"/>
    <w:rsid w:val="000F3DA8"/>
    <w:rsid w:val="0011288D"/>
    <w:rsid w:val="00115657"/>
    <w:rsid w:val="0013384D"/>
    <w:rsid w:val="00136129"/>
    <w:rsid w:val="00141DF9"/>
    <w:rsid w:val="00156BB0"/>
    <w:rsid w:val="00184427"/>
    <w:rsid w:val="001975CE"/>
    <w:rsid w:val="001A3C19"/>
    <w:rsid w:val="001C37D5"/>
    <w:rsid w:val="001D397A"/>
    <w:rsid w:val="001D55DC"/>
    <w:rsid w:val="002205B5"/>
    <w:rsid w:val="002217FD"/>
    <w:rsid w:val="00222767"/>
    <w:rsid w:val="00225024"/>
    <w:rsid w:val="00227816"/>
    <w:rsid w:val="00231111"/>
    <w:rsid w:val="0024282C"/>
    <w:rsid w:val="00247EE1"/>
    <w:rsid w:val="00250181"/>
    <w:rsid w:val="00263EA5"/>
    <w:rsid w:val="0027462A"/>
    <w:rsid w:val="002815D3"/>
    <w:rsid w:val="0028765F"/>
    <w:rsid w:val="00290E4F"/>
    <w:rsid w:val="00290F5A"/>
    <w:rsid w:val="002A1788"/>
    <w:rsid w:val="002A52C3"/>
    <w:rsid w:val="002B1D44"/>
    <w:rsid w:val="002D4EAD"/>
    <w:rsid w:val="002F1AE5"/>
    <w:rsid w:val="00300F56"/>
    <w:rsid w:val="00324FCC"/>
    <w:rsid w:val="003323F8"/>
    <w:rsid w:val="00346DCC"/>
    <w:rsid w:val="00367139"/>
    <w:rsid w:val="003778D8"/>
    <w:rsid w:val="00377945"/>
    <w:rsid w:val="003A5D6D"/>
    <w:rsid w:val="003D3B95"/>
    <w:rsid w:val="003D486D"/>
    <w:rsid w:val="003F0C00"/>
    <w:rsid w:val="003F2060"/>
    <w:rsid w:val="0041491F"/>
    <w:rsid w:val="00416B5C"/>
    <w:rsid w:val="004318C3"/>
    <w:rsid w:val="0044349A"/>
    <w:rsid w:val="0044599F"/>
    <w:rsid w:val="0046027C"/>
    <w:rsid w:val="00461AC8"/>
    <w:rsid w:val="0046489F"/>
    <w:rsid w:val="00480ACE"/>
    <w:rsid w:val="00481F93"/>
    <w:rsid w:val="00491013"/>
    <w:rsid w:val="004A1F76"/>
    <w:rsid w:val="004C0207"/>
    <w:rsid w:val="004C33F3"/>
    <w:rsid w:val="004D7BE1"/>
    <w:rsid w:val="004E2BBB"/>
    <w:rsid w:val="004E76AF"/>
    <w:rsid w:val="00503145"/>
    <w:rsid w:val="00510992"/>
    <w:rsid w:val="005164ED"/>
    <w:rsid w:val="005214F2"/>
    <w:rsid w:val="00532AE5"/>
    <w:rsid w:val="00533D33"/>
    <w:rsid w:val="00551616"/>
    <w:rsid w:val="005712A6"/>
    <w:rsid w:val="00582CB3"/>
    <w:rsid w:val="00582F38"/>
    <w:rsid w:val="00592247"/>
    <w:rsid w:val="005A56C8"/>
    <w:rsid w:val="005A5C7F"/>
    <w:rsid w:val="005C4368"/>
    <w:rsid w:val="005C4956"/>
    <w:rsid w:val="005E3B29"/>
    <w:rsid w:val="005E3C45"/>
    <w:rsid w:val="005E5087"/>
    <w:rsid w:val="005F35C6"/>
    <w:rsid w:val="006016C4"/>
    <w:rsid w:val="006059D2"/>
    <w:rsid w:val="0063596D"/>
    <w:rsid w:val="0064430A"/>
    <w:rsid w:val="00652398"/>
    <w:rsid w:val="00657778"/>
    <w:rsid w:val="006649B8"/>
    <w:rsid w:val="006711E6"/>
    <w:rsid w:val="00683110"/>
    <w:rsid w:val="00690F36"/>
    <w:rsid w:val="00692047"/>
    <w:rsid w:val="006A0AA8"/>
    <w:rsid w:val="006A282B"/>
    <w:rsid w:val="006A68CC"/>
    <w:rsid w:val="006B3916"/>
    <w:rsid w:val="006C29CA"/>
    <w:rsid w:val="006D52BF"/>
    <w:rsid w:val="006E356E"/>
    <w:rsid w:val="007027D5"/>
    <w:rsid w:val="00714674"/>
    <w:rsid w:val="00715713"/>
    <w:rsid w:val="0072071C"/>
    <w:rsid w:val="00753926"/>
    <w:rsid w:val="00760DA1"/>
    <w:rsid w:val="00765C40"/>
    <w:rsid w:val="00787123"/>
    <w:rsid w:val="00797547"/>
    <w:rsid w:val="00797949"/>
    <w:rsid w:val="007A4AD8"/>
    <w:rsid w:val="007C26F7"/>
    <w:rsid w:val="007E7118"/>
    <w:rsid w:val="00821C3B"/>
    <w:rsid w:val="00827F1F"/>
    <w:rsid w:val="0083795B"/>
    <w:rsid w:val="008402D5"/>
    <w:rsid w:val="008436F1"/>
    <w:rsid w:val="00863B64"/>
    <w:rsid w:val="00872732"/>
    <w:rsid w:val="00873665"/>
    <w:rsid w:val="00884396"/>
    <w:rsid w:val="008B383F"/>
    <w:rsid w:val="008C7F3E"/>
    <w:rsid w:val="008D071B"/>
    <w:rsid w:val="0090213C"/>
    <w:rsid w:val="00906F56"/>
    <w:rsid w:val="00911F31"/>
    <w:rsid w:val="009232CD"/>
    <w:rsid w:val="00932E83"/>
    <w:rsid w:val="00936691"/>
    <w:rsid w:val="0094058D"/>
    <w:rsid w:val="00943760"/>
    <w:rsid w:val="0096626C"/>
    <w:rsid w:val="00976450"/>
    <w:rsid w:val="00994E70"/>
    <w:rsid w:val="009A38FD"/>
    <w:rsid w:val="009B38F7"/>
    <w:rsid w:val="009B659D"/>
    <w:rsid w:val="009C7295"/>
    <w:rsid w:val="009D12ED"/>
    <w:rsid w:val="009D1315"/>
    <w:rsid w:val="009D714A"/>
    <w:rsid w:val="00A1047C"/>
    <w:rsid w:val="00A16B9F"/>
    <w:rsid w:val="00A278EA"/>
    <w:rsid w:val="00A52571"/>
    <w:rsid w:val="00A5784C"/>
    <w:rsid w:val="00A7189C"/>
    <w:rsid w:val="00A90509"/>
    <w:rsid w:val="00AD0CA3"/>
    <w:rsid w:val="00B072F5"/>
    <w:rsid w:val="00B30ADF"/>
    <w:rsid w:val="00B32B59"/>
    <w:rsid w:val="00B37609"/>
    <w:rsid w:val="00B43096"/>
    <w:rsid w:val="00B54D9D"/>
    <w:rsid w:val="00B57896"/>
    <w:rsid w:val="00B62BD1"/>
    <w:rsid w:val="00B85FCC"/>
    <w:rsid w:val="00B96F4E"/>
    <w:rsid w:val="00B97773"/>
    <w:rsid w:val="00BB24F0"/>
    <w:rsid w:val="00BC7FC0"/>
    <w:rsid w:val="00BE463D"/>
    <w:rsid w:val="00BF43D4"/>
    <w:rsid w:val="00C0141C"/>
    <w:rsid w:val="00C416F5"/>
    <w:rsid w:val="00C55CA2"/>
    <w:rsid w:val="00C57A9B"/>
    <w:rsid w:val="00C73014"/>
    <w:rsid w:val="00C82F19"/>
    <w:rsid w:val="00C875E9"/>
    <w:rsid w:val="00C931B6"/>
    <w:rsid w:val="00CA65D7"/>
    <w:rsid w:val="00CB22C3"/>
    <w:rsid w:val="00CB4B40"/>
    <w:rsid w:val="00CC658D"/>
    <w:rsid w:val="00CE181D"/>
    <w:rsid w:val="00CE6158"/>
    <w:rsid w:val="00D04213"/>
    <w:rsid w:val="00D118A0"/>
    <w:rsid w:val="00D32F43"/>
    <w:rsid w:val="00D4102A"/>
    <w:rsid w:val="00D46326"/>
    <w:rsid w:val="00D52305"/>
    <w:rsid w:val="00D62A3C"/>
    <w:rsid w:val="00D80568"/>
    <w:rsid w:val="00D86DAC"/>
    <w:rsid w:val="00D91AF5"/>
    <w:rsid w:val="00D926AC"/>
    <w:rsid w:val="00DA40EA"/>
    <w:rsid w:val="00DF3AA7"/>
    <w:rsid w:val="00DF3DB1"/>
    <w:rsid w:val="00E03DE5"/>
    <w:rsid w:val="00E07C1E"/>
    <w:rsid w:val="00E36B06"/>
    <w:rsid w:val="00E36C67"/>
    <w:rsid w:val="00E405B6"/>
    <w:rsid w:val="00E54D17"/>
    <w:rsid w:val="00E65A5B"/>
    <w:rsid w:val="00E71F34"/>
    <w:rsid w:val="00E7215E"/>
    <w:rsid w:val="00E81D6E"/>
    <w:rsid w:val="00E85577"/>
    <w:rsid w:val="00E8575F"/>
    <w:rsid w:val="00E92BF5"/>
    <w:rsid w:val="00EA46B5"/>
    <w:rsid w:val="00EA5963"/>
    <w:rsid w:val="00ED308B"/>
    <w:rsid w:val="00ED31A3"/>
    <w:rsid w:val="00ED6676"/>
    <w:rsid w:val="00F03DFF"/>
    <w:rsid w:val="00F07285"/>
    <w:rsid w:val="00F251EE"/>
    <w:rsid w:val="00F55A77"/>
    <w:rsid w:val="00F608D6"/>
    <w:rsid w:val="00F716C0"/>
    <w:rsid w:val="00F932FF"/>
    <w:rsid w:val="00FC7DFC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CF6A6"/>
  <w15:chartTrackingRefBased/>
  <w15:docId w15:val="{7BF258CC-5AC3-46A1-8C01-9F211AAF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autoRedefine/>
    <w:semiHidden/>
    <w:rsid w:val="00250181"/>
    <w:rPr>
      <w:sz w:val="20"/>
      <w:szCs w:val="20"/>
    </w:rPr>
  </w:style>
  <w:style w:type="table" w:styleId="TableGrid">
    <w:name w:val="Table Grid"/>
    <w:basedOn w:val="TableNormal"/>
    <w:rsid w:val="0037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778D8"/>
    <w:rPr>
      <w:color w:val="0000FF"/>
      <w:u w:val="single"/>
    </w:rPr>
  </w:style>
  <w:style w:type="table" w:styleId="TableProfessional">
    <w:name w:val="Table Professional"/>
    <w:basedOn w:val="TableNormal"/>
    <w:rsid w:val="003778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semiHidden/>
    <w:rsid w:val="006D52B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D52BF"/>
    <w:rPr>
      <w:b/>
      <w:bCs/>
    </w:rPr>
  </w:style>
  <w:style w:type="paragraph" w:styleId="BalloonText">
    <w:name w:val="Balloon Text"/>
    <w:basedOn w:val="Normal"/>
    <w:semiHidden/>
    <w:rsid w:val="006D52B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217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17FD"/>
  </w:style>
  <w:style w:type="paragraph" w:styleId="ListParagraph">
    <w:name w:val="List Paragraph"/>
    <w:basedOn w:val="Normal"/>
    <w:uiPriority w:val="34"/>
    <w:qFormat/>
    <w:rsid w:val="00D8056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</vt:lpstr>
    </vt:vector>
  </TitlesOfParts>
  <Company>London Councils</Company>
  <LinksUpToDate>false</LinksUpToDate>
  <CharactersWithSpaces>2087</CharactersWithSpaces>
  <SharedDoc>false</SharedDoc>
  <HLinks>
    <vt:vector size="6" baseType="variant"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http://www.supply2.gov.uk/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subject/>
  <dc:creator>Sima Maqbool</dc:creator>
  <cp:keywords/>
  <dc:description/>
  <cp:lastModifiedBy>Richard Merrington</cp:lastModifiedBy>
  <cp:revision>3</cp:revision>
  <dcterms:created xsi:type="dcterms:W3CDTF">2022-04-29T14:01:00Z</dcterms:created>
  <dcterms:modified xsi:type="dcterms:W3CDTF">2022-04-29T14:02:00Z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