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F6A" w:rsidRDefault="00F91F6A" w:rsidP="00144B0F">
      <w:pPr>
        <w:spacing w:after="0" w:line="240" w:lineRule="auto"/>
        <w:rPr>
          <w:b/>
          <w:sz w:val="24"/>
          <w:szCs w:val="24"/>
          <w:lang w:val="en-US"/>
        </w:rPr>
      </w:pPr>
    </w:p>
    <w:p w:rsidR="00144B0F" w:rsidRPr="00144B0F" w:rsidRDefault="00144B0F" w:rsidP="00144B0F">
      <w:pPr>
        <w:spacing w:after="0" w:line="240" w:lineRule="auto"/>
        <w:rPr>
          <w:b/>
          <w:sz w:val="24"/>
          <w:szCs w:val="24"/>
          <w:lang w:val="en-US"/>
        </w:rPr>
      </w:pPr>
      <w:r w:rsidRPr="00144B0F">
        <w:rPr>
          <w:b/>
          <w:sz w:val="24"/>
          <w:szCs w:val="24"/>
          <w:lang w:val="en-US"/>
        </w:rPr>
        <w:t>Digital Records Solution – Early Market Engagement</w:t>
      </w:r>
      <w:r w:rsidR="001E787E">
        <w:rPr>
          <w:b/>
          <w:sz w:val="24"/>
          <w:szCs w:val="24"/>
          <w:lang w:val="en-US"/>
        </w:rPr>
        <w:t xml:space="preserve"> – </w:t>
      </w:r>
      <w:r w:rsidR="00F91F6A">
        <w:rPr>
          <w:b/>
          <w:sz w:val="24"/>
          <w:szCs w:val="24"/>
          <w:lang w:val="en-US"/>
        </w:rPr>
        <w:t>Instruction Document -</w:t>
      </w:r>
      <w:r w:rsidR="001E787E">
        <w:rPr>
          <w:b/>
          <w:sz w:val="24"/>
          <w:szCs w:val="24"/>
          <w:lang w:val="en-US"/>
        </w:rPr>
        <w:t>22/07/2022</w:t>
      </w:r>
    </w:p>
    <w:p w:rsidR="00144B0F" w:rsidRPr="00144B0F" w:rsidRDefault="00144B0F" w:rsidP="00144B0F">
      <w:pPr>
        <w:spacing w:after="0" w:line="240" w:lineRule="auto"/>
        <w:rPr>
          <w:lang w:val="en-US"/>
        </w:rPr>
      </w:pPr>
    </w:p>
    <w:p w:rsidR="00144B0F" w:rsidRPr="00144B0F" w:rsidRDefault="00144B0F" w:rsidP="00144B0F">
      <w:pPr>
        <w:spacing w:after="0" w:line="240" w:lineRule="auto"/>
        <w:rPr>
          <w:lang w:val="en-US"/>
        </w:rPr>
      </w:pPr>
      <w:r w:rsidRPr="00144B0F">
        <w:rPr>
          <w:lang w:val="en-US"/>
        </w:rPr>
        <w:t xml:space="preserve">The UK Debt Management Office (DMO) </w:t>
      </w:r>
      <w:r>
        <w:rPr>
          <w:lang w:val="en-US"/>
        </w:rPr>
        <w:t xml:space="preserve">will soon be tendering </w:t>
      </w:r>
      <w:r w:rsidRPr="00144B0F">
        <w:rPr>
          <w:lang w:val="en-US"/>
        </w:rPr>
        <w:t xml:space="preserve">for the provision of </w:t>
      </w:r>
      <w:r>
        <w:rPr>
          <w:lang w:val="en-US"/>
        </w:rPr>
        <w:t>Digital Records Solution.</w:t>
      </w:r>
    </w:p>
    <w:p w:rsidR="00144B0F" w:rsidRPr="00144B0F" w:rsidRDefault="00144B0F" w:rsidP="00144B0F">
      <w:pPr>
        <w:spacing w:after="0" w:line="240" w:lineRule="auto"/>
        <w:rPr>
          <w:lang w:val="en-US"/>
        </w:rPr>
      </w:pPr>
    </w:p>
    <w:p w:rsidR="00144B0F" w:rsidRDefault="00144B0F" w:rsidP="00144B0F">
      <w:pPr>
        <w:spacing w:after="0" w:line="240" w:lineRule="auto"/>
        <w:rPr>
          <w:lang w:val="en-US"/>
        </w:rPr>
      </w:pPr>
      <w:r w:rsidRPr="00144B0F">
        <w:rPr>
          <w:lang w:val="en-US"/>
        </w:rPr>
        <w:t>The DMO is an executive agency of Her Majesty’s Treasury (HMT) and has responsibility for government wholesale sterling debt issuance. The DMO’s remit is to carry out the Government's debt management policy of minimising financing costs over the long term, taking account of risk, and to minimise the cost of offsetting the Government's net cash flows over time, while operating in a risk appetite approved by Ministers in both cases.</w:t>
      </w:r>
    </w:p>
    <w:p w:rsidR="00C02FFB" w:rsidRDefault="00C02FFB" w:rsidP="00144B0F">
      <w:pPr>
        <w:spacing w:after="0" w:line="240" w:lineRule="auto"/>
        <w:rPr>
          <w:lang w:val="en-US"/>
        </w:rPr>
      </w:pPr>
    </w:p>
    <w:p w:rsidR="00C02FFB" w:rsidRDefault="00C02FFB" w:rsidP="00144B0F">
      <w:pPr>
        <w:spacing w:after="0" w:line="240" w:lineRule="auto"/>
        <w:rPr>
          <w:lang w:val="en-US"/>
        </w:rPr>
      </w:pPr>
      <w:r>
        <w:rPr>
          <w:lang w:val="en-US"/>
        </w:rPr>
        <w:t xml:space="preserve">The purpose of this early market engagement is to assist the DMO in identifying potential suppliers in the market </w:t>
      </w:r>
      <w:r w:rsidR="001E787E">
        <w:rPr>
          <w:lang w:val="en-US"/>
        </w:rPr>
        <w:t>that</w:t>
      </w:r>
      <w:r>
        <w:rPr>
          <w:lang w:val="en-US"/>
        </w:rPr>
        <w:t xml:space="preserve"> can provide a Digital Records Solution aligned with the DMO requirements. </w:t>
      </w:r>
    </w:p>
    <w:p w:rsidR="001E787E" w:rsidRDefault="001E787E" w:rsidP="00144B0F">
      <w:pPr>
        <w:spacing w:after="0" w:line="240" w:lineRule="auto"/>
        <w:rPr>
          <w:lang w:val="en-US"/>
        </w:rPr>
      </w:pPr>
    </w:p>
    <w:p w:rsidR="00C02FFB" w:rsidRPr="00144B0F" w:rsidRDefault="00C02FFB" w:rsidP="00144B0F">
      <w:pPr>
        <w:spacing w:after="0" w:line="240" w:lineRule="auto"/>
        <w:rPr>
          <w:lang w:val="en-US"/>
        </w:rPr>
      </w:pPr>
      <w:r>
        <w:rPr>
          <w:lang w:val="en-US"/>
        </w:rPr>
        <w:t xml:space="preserve">We will assess responses provided </w:t>
      </w:r>
      <w:r w:rsidR="00EB2332">
        <w:rPr>
          <w:lang w:val="en-US"/>
        </w:rPr>
        <w:t xml:space="preserve">by suppliers </w:t>
      </w:r>
      <w:r>
        <w:rPr>
          <w:lang w:val="en-US"/>
        </w:rPr>
        <w:t>and determine the appropriate procurement route for this contract based on the outcome of this exercise.</w:t>
      </w:r>
    </w:p>
    <w:p w:rsidR="00144B0F" w:rsidRPr="00144B0F" w:rsidRDefault="00144B0F" w:rsidP="00144B0F">
      <w:pPr>
        <w:spacing w:after="0" w:line="240" w:lineRule="auto"/>
        <w:rPr>
          <w:lang w:val="en-US"/>
        </w:rPr>
      </w:pPr>
    </w:p>
    <w:p w:rsidR="00144B0F" w:rsidRPr="00144B0F" w:rsidRDefault="00144B0F" w:rsidP="00144B0F">
      <w:pPr>
        <w:spacing w:after="0" w:line="240" w:lineRule="auto"/>
        <w:rPr>
          <w:b/>
          <w:lang w:val="en-US"/>
        </w:rPr>
      </w:pPr>
      <w:r w:rsidRPr="00144B0F">
        <w:rPr>
          <w:b/>
          <w:lang w:val="en-US"/>
        </w:rPr>
        <w:t>The Service Requirements</w:t>
      </w:r>
    </w:p>
    <w:p w:rsidR="00144B0F" w:rsidRPr="00144B0F" w:rsidRDefault="00144B0F" w:rsidP="00144B0F">
      <w:pPr>
        <w:spacing w:after="0" w:line="240" w:lineRule="auto"/>
        <w:rPr>
          <w:lang w:val="en-US"/>
        </w:rPr>
      </w:pPr>
    </w:p>
    <w:p w:rsidR="00144B0F" w:rsidRPr="00144B0F" w:rsidRDefault="00144B0F" w:rsidP="00144B0F">
      <w:pPr>
        <w:spacing w:after="0" w:line="240" w:lineRule="auto"/>
        <w:rPr>
          <w:lang w:val="en-US"/>
        </w:rPr>
      </w:pPr>
      <w:r>
        <w:rPr>
          <w:lang w:val="en-US"/>
        </w:rPr>
        <w:t xml:space="preserve">A comprehensive list of requirements for the Digital Records Solution is provided in </w:t>
      </w:r>
      <w:r w:rsidRPr="00C02FFB">
        <w:rPr>
          <w:b/>
          <w:lang w:val="en-US"/>
        </w:rPr>
        <w:t>Annex I</w:t>
      </w:r>
      <w:r>
        <w:rPr>
          <w:lang w:val="en-US"/>
        </w:rPr>
        <w:t>. Suppliers are required to review the document and respond as instructed in the annex</w:t>
      </w:r>
      <w:r w:rsidR="00C02FFB">
        <w:rPr>
          <w:lang w:val="en-US"/>
        </w:rPr>
        <w:t xml:space="preserve"> confirming</w:t>
      </w:r>
      <w:r>
        <w:rPr>
          <w:lang w:val="en-US"/>
        </w:rPr>
        <w:t xml:space="preserve"> whether their solution can meet the DMO requirements.</w:t>
      </w:r>
    </w:p>
    <w:p w:rsidR="00144B0F" w:rsidRPr="00144B0F" w:rsidRDefault="00144B0F" w:rsidP="00144B0F">
      <w:pPr>
        <w:spacing w:after="0" w:line="240" w:lineRule="auto"/>
        <w:rPr>
          <w:lang w:val="en-US"/>
        </w:rPr>
      </w:pPr>
    </w:p>
    <w:p w:rsidR="00144B0F" w:rsidRPr="00144B0F" w:rsidRDefault="00C02FFB" w:rsidP="00144B0F">
      <w:pPr>
        <w:spacing w:after="0" w:line="240" w:lineRule="auto"/>
        <w:rPr>
          <w:b/>
          <w:lang w:val="en-US"/>
        </w:rPr>
      </w:pPr>
      <w:r>
        <w:rPr>
          <w:b/>
          <w:lang w:val="en-US"/>
        </w:rPr>
        <w:t>How to respond to this request</w:t>
      </w:r>
    </w:p>
    <w:p w:rsidR="00144B0F" w:rsidRPr="00144B0F" w:rsidRDefault="00144B0F" w:rsidP="00144B0F">
      <w:pPr>
        <w:spacing w:after="0" w:line="240" w:lineRule="auto"/>
        <w:rPr>
          <w:lang w:val="en-US"/>
        </w:rPr>
      </w:pPr>
    </w:p>
    <w:p w:rsidR="00144B0F" w:rsidRPr="00144B0F" w:rsidRDefault="00144B0F" w:rsidP="00144B0F">
      <w:pPr>
        <w:spacing w:after="0" w:line="240" w:lineRule="auto"/>
        <w:rPr>
          <w:lang w:val="en-US"/>
        </w:rPr>
      </w:pPr>
      <w:r w:rsidRPr="00144B0F">
        <w:rPr>
          <w:lang w:val="en-US"/>
        </w:rPr>
        <w:t xml:space="preserve">Suppliers interested </w:t>
      </w:r>
      <w:r w:rsidR="00C02FFB">
        <w:rPr>
          <w:lang w:val="en-US"/>
        </w:rPr>
        <w:t>in this contract</w:t>
      </w:r>
      <w:r w:rsidRPr="00144B0F">
        <w:rPr>
          <w:lang w:val="en-US"/>
        </w:rPr>
        <w:t xml:space="preserve"> should submit </w:t>
      </w:r>
      <w:r w:rsidR="00C02FFB">
        <w:rPr>
          <w:lang w:val="en-US"/>
        </w:rPr>
        <w:t>a response by completing Annex I and submitting it via</w:t>
      </w:r>
      <w:r w:rsidR="001E787E">
        <w:rPr>
          <w:lang w:val="en-US"/>
        </w:rPr>
        <w:t xml:space="preserve"> email as indicated below by close of business on </w:t>
      </w:r>
      <w:r w:rsidR="001E787E" w:rsidRPr="001E787E">
        <w:rPr>
          <w:b/>
          <w:lang w:val="en-US"/>
        </w:rPr>
        <w:t>3 August 2022</w:t>
      </w:r>
      <w:r w:rsidR="001E787E">
        <w:rPr>
          <w:lang w:val="en-US"/>
        </w:rPr>
        <w:t xml:space="preserve">. </w:t>
      </w:r>
    </w:p>
    <w:p w:rsidR="00144B0F" w:rsidRPr="00144B0F" w:rsidRDefault="00144B0F" w:rsidP="00144B0F">
      <w:pPr>
        <w:spacing w:after="0" w:line="240" w:lineRule="auto"/>
        <w:rPr>
          <w:lang w:val="en-US"/>
        </w:rPr>
      </w:pPr>
    </w:p>
    <w:p w:rsidR="00144B0F" w:rsidRPr="00144B0F" w:rsidRDefault="00144B0F" w:rsidP="00144B0F">
      <w:pPr>
        <w:spacing w:after="0" w:line="240" w:lineRule="auto"/>
        <w:rPr>
          <w:lang w:val="en-US"/>
        </w:rPr>
      </w:pPr>
      <w:r w:rsidRPr="00144B0F">
        <w:rPr>
          <w:lang w:val="en-US"/>
        </w:rPr>
        <w:t xml:space="preserve">Email to </w:t>
      </w:r>
      <w:hyperlink r:id="rId7" w:history="1">
        <w:r w:rsidR="00C02FFB" w:rsidRPr="002D63A4">
          <w:rPr>
            <w:rStyle w:val="Hyperlink"/>
            <w:lang w:val="en-US"/>
          </w:rPr>
          <w:t>DMOTenders@dmo.gov.uk</w:t>
        </w:r>
      </w:hyperlink>
      <w:r w:rsidR="00C02FFB">
        <w:rPr>
          <w:lang w:val="en-US"/>
        </w:rPr>
        <w:t xml:space="preserve"> </w:t>
      </w:r>
      <w:r w:rsidR="00C02FFB" w:rsidRPr="00C02FFB">
        <w:rPr>
          <w:lang w:val="en-US"/>
        </w:rPr>
        <w:t xml:space="preserve"> </w:t>
      </w:r>
      <w:r w:rsidR="00C02FFB">
        <w:rPr>
          <w:lang w:val="en-US"/>
        </w:rPr>
        <w:t xml:space="preserve"> </w:t>
      </w:r>
      <w:r w:rsidRPr="00144B0F">
        <w:rPr>
          <w:lang w:val="en-US"/>
        </w:rPr>
        <w:t xml:space="preserve">   </w:t>
      </w:r>
    </w:p>
    <w:p w:rsidR="00144B0F" w:rsidRPr="00144B0F" w:rsidRDefault="00144B0F" w:rsidP="00144B0F">
      <w:pPr>
        <w:spacing w:after="0" w:line="240" w:lineRule="auto"/>
        <w:rPr>
          <w:lang w:val="en-US"/>
        </w:rPr>
      </w:pPr>
    </w:p>
    <w:tbl>
      <w:tblPr>
        <w:tblStyle w:val="TableGrid"/>
        <w:tblW w:w="0" w:type="auto"/>
        <w:tblLook w:val="04A0" w:firstRow="1" w:lastRow="0" w:firstColumn="1" w:lastColumn="0" w:noHBand="0" w:noVBand="1"/>
      </w:tblPr>
      <w:tblGrid>
        <w:gridCol w:w="9016"/>
      </w:tblGrid>
      <w:tr w:rsidR="00144B0F" w:rsidRPr="00144B0F" w:rsidTr="00553708">
        <w:tc>
          <w:tcPr>
            <w:tcW w:w="9576" w:type="dxa"/>
            <w:tcBorders>
              <w:top w:val="single" w:sz="4" w:space="0" w:color="auto"/>
              <w:left w:val="single" w:sz="4" w:space="0" w:color="auto"/>
              <w:bottom w:val="single" w:sz="4" w:space="0" w:color="auto"/>
              <w:right w:val="single" w:sz="4" w:space="0" w:color="auto"/>
            </w:tcBorders>
          </w:tcPr>
          <w:p w:rsidR="00144B0F" w:rsidRDefault="00144B0F" w:rsidP="00144B0F">
            <w:pPr>
              <w:rPr>
                <w:lang w:val="en-US"/>
              </w:rPr>
            </w:pPr>
            <w:r w:rsidRPr="00144B0F">
              <w:rPr>
                <w:lang w:val="en-US"/>
              </w:rPr>
              <w:t xml:space="preserve">Dear </w:t>
            </w:r>
            <w:r w:rsidR="00C02FFB">
              <w:rPr>
                <w:lang w:val="en-US"/>
              </w:rPr>
              <w:t xml:space="preserve">Carlos </w:t>
            </w:r>
          </w:p>
          <w:p w:rsidR="00977501" w:rsidRPr="00144B0F" w:rsidRDefault="00977501" w:rsidP="00144B0F">
            <w:pPr>
              <w:rPr>
                <w:lang w:val="en-US"/>
              </w:rPr>
            </w:pPr>
          </w:p>
          <w:p w:rsidR="00144B0F" w:rsidRPr="00144B0F" w:rsidRDefault="00144B0F" w:rsidP="00144B0F">
            <w:pPr>
              <w:rPr>
                <w:lang w:val="en-US"/>
              </w:rPr>
            </w:pPr>
            <w:r w:rsidRPr="00144B0F">
              <w:rPr>
                <w:lang w:val="en-US"/>
              </w:rPr>
              <w:t xml:space="preserve">We would like to express an interest in bidding for the </w:t>
            </w:r>
            <w:r w:rsidR="00C02FFB">
              <w:rPr>
                <w:lang w:val="en-US"/>
              </w:rPr>
              <w:t>Digital Records Solution contract</w:t>
            </w:r>
            <w:r w:rsidRPr="00144B0F">
              <w:rPr>
                <w:lang w:val="en-US"/>
              </w:rPr>
              <w:t>.</w:t>
            </w:r>
          </w:p>
          <w:p w:rsidR="00144B0F" w:rsidRPr="00144B0F" w:rsidRDefault="00144B0F" w:rsidP="00144B0F">
            <w:pPr>
              <w:rPr>
                <w:lang w:val="en-US"/>
              </w:rPr>
            </w:pPr>
          </w:p>
          <w:p w:rsidR="00144B0F" w:rsidRDefault="00C02FFB" w:rsidP="00144B0F">
            <w:pPr>
              <w:rPr>
                <w:lang w:val="en-US"/>
              </w:rPr>
            </w:pPr>
            <w:r>
              <w:rPr>
                <w:lang w:val="en-US"/>
              </w:rPr>
              <w:t>We have attached our response</w:t>
            </w:r>
            <w:r w:rsidR="00EB2332">
              <w:rPr>
                <w:lang w:val="en-US"/>
              </w:rPr>
              <w:t>s</w:t>
            </w:r>
            <w:r>
              <w:rPr>
                <w:lang w:val="en-US"/>
              </w:rPr>
              <w:t xml:space="preserve"> to your requirements listed in Annex I of the </w:t>
            </w:r>
            <w:r w:rsidR="009948A0">
              <w:rPr>
                <w:lang w:val="en-US"/>
              </w:rPr>
              <w:t>I</w:t>
            </w:r>
            <w:r w:rsidR="00EB2332">
              <w:rPr>
                <w:lang w:val="en-US"/>
              </w:rPr>
              <w:t>nstruction</w:t>
            </w:r>
            <w:r w:rsidR="009948A0">
              <w:rPr>
                <w:lang w:val="en-US"/>
              </w:rPr>
              <w:t xml:space="preserve"> D</w:t>
            </w:r>
            <w:bookmarkStart w:id="0" w:name="_GoBack"/>
            <w:bookmarkEnd w:id="0"/>
            <w:r w:rsidR="00977501">
              <w:rPr>
                <w:lang w:val="en-US"/>
              </w:rPr>
              <w:t>ocument provided in Contracts Finder</w:t>
            </w:r>
            <w:r w:rsidR="00EB2332">
              <w:rPr>
                <w:lang w:val="en-US"/>
              </w:rPr>
              <w:t>.</w:t>
            </w:r>
          </w:p>
          <w:p w:rsidR="00977501" w:rsidRDefault="00977501" w:rsidP="00144B0F">
            <w:pPr>
              <w:rPr>
                <w:lang w:val="en-US"/>
              </w:rPr>
            </w:pPr>
          </w:p>
          <w:p w:rsidR="00977501" w:rsidRPr="00977501" w:rsidRDefault="00977501" w:rsidP="00977501">
            <w:pPr>
              <w:rPr>
                <w:b/>
                <w:lang w:val="en-US"/>
              </w:rPr>
            </w:pPr>
            <w:r w:rsidRPr="00977501">
              <w:rPr>
                <w:b/>
                <w:lang w:val="en-US"/>
              </w:rPr>
              <w:t xml:space="preserve">Here are our contact details: </w:t>
            </w:r>
          </w:p>
          <w:p w:rsidR="00977501" w:rsidRPr="00977501" w:rsidRDefault="00977501" w:rsidP="00977501">
            <w:pPr>
              <w:rPr>
                <w:i/>
                <w:sz w:val="20"/>
                <w:szCs w:val="20"/>
                <w:lang w:val="en-US"/>
              </w:rPr>
            </w:pPr>
            <w:r w:rsidRPr="00977501">
              <w:rPr>
                <w:i/>
                <w:sz w:val="20"/>
                <w:szCs w:val="20"/>
                <w:lang w:val="en-US"/>
              </w:rPr>
              <w:t>(Company name, main contact name, telephone, email address, company’s address</w:t>
            </w:r>
            <w:r>
              <w:rPr>
                <w:i/>
                <w:sz w:val="20"/>
                <w:szCs w:val="20"/>
                <w:lang w:val="en-US"/>
              </w:rPr>
              <w:t>)</w:t>
            </w:r>
          </w:p>
          <w:p w:rsidR="00977501" w:rsidRPr="00977501" w:rsidRDefault="00977501" w:rsidP="00977501">
            <w:pPr>
              <w:rPr>
                <w:sz w:val="20"/>
                <w:szCs w:val="20"/>
                <w:lang w:val="en-US"/>
              </w:rPr>
            </w:pPr>
            <w:r w:rsidRPr="00977501">
              <w:rPr>
                <w:b/>
                <w:lang w:val="en-US"/>
              </w:rPr>
              <w:t xml:space="preserve">Link to </w:t>
            </w:r>
            <w:r w:rsidRPr="00977501">
              <w:rPr>
                <w:b/>
                <w:lang w:val="en-US"/>
              </w:rPr>
              <w:t>our</w:t>
            </w:r>
            <w:r w:rsidRPr="00977501">
              <w:rPr>
                <w:b/>
                <w:lang w:val="en-US"/>
              </w:rPr>
              <w:t xml:space="preserve"> website</w:t>
            </w:r>
            <w:r w:rsidRPr="00977501">
              <w:rPr>
                <w:b/>
                <w:lang w:val="en-US"/>
              </w:rPr>
              <w:t>:</w:t>
            </w:r>
            <w:r>
              <w:rPr>
                <w:lang w:val="en-US"/>
              </w:rPr>
              <w:t xml:space="preserve"> </w:t>
            </w:r>
            <w:r w:rsidRPr="00977501">
              <w:rPr>
                <w:sz w:val="20"/>
                <w:szCs w:val="20"/>
                <w:lang w:val="en-US"/>
              </w:rPr>
              <w:t>(</w:t>
            </w:r>
            <w:r w:rsidRPr="00977501">
              <w:rPr>
                <w:i/>
                <w:sz w:val="20"/>
                <w:szCs w:val="20"/>
                <w:lang w:val="en-US"/>
              </w:rPr>
              <w:t>please provide the link to your website if you have one</w:t>
            </w:r>
            <w:r w:rsidRPr="00977501">
              <w:rPr>
                <w:sz w:val="20"/>
                <w:szCs w:val="20"/>
                <w:lang w:val="en-US"/>
              </w:rPr>
              <w:t>)</w:t>
            </w:r>
          </w:p>
          <w:p w:rsidR="00977501" w:rsidRPr="00144B0F" w:rsidRDefault="00977501" w:rsidP="00977501">
            <w:pPr>
              <w:rPr>
                <w:i/>
                <w:sz w:val="20"/>
                <w:szCs w:val="20"/>
                <w:lang w:val="en-US"/>
              </w:rPr>
            </w:pPr>
            <w:r w:rsidRPr="00977501">
              <w:rPr>
                <w:b/>
                <w:lang w:val="en-US"/>
              </w:rPr>
              <w:t>Name of the product/solution you are proposing</w:t>
            </w:r>
            <w:r>
              <w:rPr>
                <w:lang w:val="en-US"/>
              </w:rPr>
              <w:t xml:space="preserve">: </w:t>
            </w:r>
            <w:r w:rsidRPr="00977501">
              <w:rPr>
                <w:i/>
                <w:sz w:val="20"/>
                <w:szCs w:val="20"/>
                <w:lang w:val="en-US"/>
              </w:rPr>
              <w:t>(name of your product/solution)</w:t>
            </w:r>
          </w:p>
          <w:p w:rsidR="00977501" w:rsidRPr="00144B0F" w:rsidRDefault="00977501" w:rsidP="00977501">
            <w:pPr>
              <w:rPr>
                <w:lang w:val="en-US"/>
              </w:rPr>
            </w:pPr>
          </w:p>
          <w:p w:rsidR="00144B0F" w:rsidRDefault="00144B0F" w:rsidP="00144B0F">
            <w:pPr>
              <w:rPr>
                <w:lang w:val="en-US"/>
              </w:rPr>
            </w:pPr>
            <w:r w:rsidRPr="00144B0F">
              <w:rPr>
                <w:lang w:val="en-US"/>
              </w:rPr>
              <w:t>We look forward to hearing from you.</w:t>
            </w:r>
          </w:p>
          <w:p w:rsidR="00581585" w:rsidRDefault="00581585" w:rsidP="00144B0F">
            <w:pPr>
              <w:rPr>
                <w:lang w:val="en-US"/>
              </w:rPr>
            </w:pPr>
          </w:p>
          <w:p w:rsidR="00144B0F" w:rsidRPr="00144B0F" w:rsidRDefault="00144B0F" w:rsidP="00144B0F">
            <w:pPr>
              <w:rPr>
                <w:lang w:val="en-US"/>
              </w:rPr>
            </w:pPr>
            <w:r w:rsidRPr="00144B0F">
              <w:rPr>
                <w:lang w:val="en-US"/>
              </w:rPr>
              <w:t>Kind regards</w:t>
            </w:r>
          </w:p>
          <w:p w:rsidR="00144B0F" w:rsidRPr="00144B0F" w:rsidRDefault="00144B0F" w:rsidP="00144B0F">
            <w:pPr>
              <w:rPr>
                <w:lang w:val="en-US"/>
              </w:rPr>
            </w:pPr>
          </w:p>
        </w:tc>
      </w:tr>
    </w:tbl>
    <w:p w:rsidR="00144B0F" w:rsidRPr="00144B0F" w:rsidRDefault="00144B0F" w:rsidP="00144B0F">
      <w:pPr>
        <w:spacing w:after="0" w:line="240" w:lineRule="auto"/>
        <w:rPr>
          <w:lang w:val="en-US"/>
        </w:rPr>
      </w:pPr>
    </w:p>
    <w:p w:rsidR="00144B0F" w:rsidRPr="00144B0F" w:rsidRDefault="00144B0F" w:rsidP="00144B0F">
      <w:pPr>
        <w:spacing w:after="0" w:line="240" w:lineRule="auto"/>
        <w:rPr>
          <w:lang w:val="en-US"/>
        </w:rPr>
      </w:pPr>
    </w:p>
    <w:p w:rsidR="00144B0F" w:rsidRPr="00144B0F" w:rsidRDefault="00144B0F" w:rsidP="00144B0F">
      <w:pPr>
        <w:spacing w:after="0" w:line="240" w:lineRule="auto"/>
        <w:rPr>
          <w:lang w:val="en-US"/>
        </w:rPr>
      </w:pPr>
    </w:p>
    <w:p w:rsidR="00DF7262" w:rsidRDefault="00DF7262" w:rsidP="00217CCB">
      <w:pPr>
        <w:sectPr w:rsidR="00DF7262" w:rsidSect="00DF7262">
          <w:pgSz w:w="11906" w:h="16838"/>
          <w:pgMar w:top="1440" w:right="1440" w:bottom="1440" w:left="1440" w:header="708" w:footer="708" w:gutter="0"/>
          <w:cols w:space="708"/>
          <w:docGrid w:linePitch="360"/>
        </w:sectPr>
      </w:pPr>
    </w:p>
    <w:p w:rsidR="00217CCB" w:rsidRDefault="00DF7262" w:rsidP="00217CCB">
      <w:r>
        <w:t xml:space="preserve">ANNEX I - </w:t>
      </w:r>
      <w:r w:rsidR="00217CCB">
        <w:t>Digital Records – List of requirements for Procurement:</w:t>
      </w:r>
    </w:p>
    <w:p w:rsidR="00D2271A" w:rsidRPr="004C39DD" w:rsidRDefault="00D2271A" w:rsidP="00217CCB">
      <w:r w:rsidRPr="004C39DD">
        <w:t>Records series: defined as a collection of records with sufficient attributes in common that they can be managed as a unit.</w:t>
      </w:r>
    </w:p>
    <w:tbl>
      <w:tblPr>
        <w:tblStyle w:val="TableGrid"/>
        <w:tblW w:w="0" w:type="auto"/>
        <w:tblInd w:w="-5" w:type="dxa"/>
        <w:tblLook w:val="04A0" w:firstRow="1" w:lastRow="0" w:firstColumn="1" w:lastColumn="0" w:noHBand="0" w:noVBand="1"/>
      </w:tblPr>
      <w:tblGrid>
        <w:gridCol w:w="440"/>
        <w:gridCol w:w="7750"/>
        <w:gridCol w:w="874"/>
        <w:gridCol w:w="4403"/>
      </w:tblGrid>
      <w:tr w:rsidR="00DF7262" w:rsidRPr="004C39DD" w:rsidTr="00DF7262">
        <w:tc>
          <w:tcPr>
            <w:tcW w:w="440" w:type="dxa"/>
          </w:tcPr>
          <w:p w:rsidR="00DF7262" w:rsidRPr="004C39DD" w:rsidRDefault="00DF7262" w:rsidP="00DF7262">
            <w:pPr>
              <w:rPr>
                <w:highlight w:val="cyan"/>
              </w:rPr>
            </w:pPr>
          </w:p>
        </w:tc>
        <w:tc>
          <w:tcPr>
            <w:tcW w:w="7750" w:type="dxa"/>
            <w:shd w:val="clear" w:color="auto" w:fill="auto"/>
          </w:tcPr>
          <w:p w:rsidR="00DF7262" w:rsidRPr="004C39DD" w:rsidRDefault="00DF7262" w:rsidP="00DF7262">
            <w:pPr>
              <w:rPr>
                <w:highlight w:val="cyan"/>
              </w:rPr>
            </w:pPr>
            <w:r w:rsidRPr="004C39DD">
              <w:t>Requirements</w:t>
            </w:r>
          </w:p>
        </w:tc>
        <w:tc>
          <w:tcPr>
            <w:tcW w:w="874" w:type="dxa"/>
          </w:tcPr>
          <w:p w:rsidR="00DF7262" w:rsidRPr="004C39DD" w:rsidRDefault="00DF7262" w:rsidP="00DF7262">
            <w:pPr>
              <w:rPr>
                <w:highlight w:val="cyan"/>
              </w:rPr>
            </w:pPr>
            <w:r w:rsidRPr="004C39DD">
              <w:t>Priority</w:t>
            </w:r>
          </w:p>
        </w:tc>
        <w:tc>
          <w:tcPr>
            <w:tcW w:w="4403" w:type="dxa"/>
          </w:tcPr>
          <w:p w:rsidR="00DF7262" w:rsidRPr="004C39DD" w:rsidRDefault="000F223D" w:rsidP="000F223D">
            <w:pPr>
              <w:rPr>
                <w:highlight w:val="cyan"/>
              </w:rPr>
            </w:pPr>
            <w:r w:rsidRPr="000F223D">
              <w:rPr>
                <w:color w:val="FF0000"/>
              </w:rPr>
              <w:t>Supplier</w:t>
            </w:r>
            <w:r w:rsidR="00A5645B">
              <w:rPr>
                <w:color w:val="FF0000"/>
              </w:rPr>
              <w:t>s</w:t>
            </w:r>
            <w:r w:rsidRPr="000F223D">
              <w:rPr>
                <w:color w:val="FF0000"/>
              </w:rPr>
              <w:t xml:space="preserve"> should respond to each item with a </w:t>
            </w:r>
            <w:r w:rsidRPr="000F223D">
              <w:rPr>
                <w:b/>
                <w:color w:val="FF0000"/>
                <w:u w:val="single"/>
              </w:rPr>
              <w:t>YES</w:t>
            </w:r>
            <w:r w:rsidRPr="000F223D">
              <w:rPr>
                <w:color w:val="FF0000"/>
              </w:rPr>
              <w:t xml:space="preserve">, if they can meet the requirement or </w:t>
            </w:r>
            <w:r w:rsidRPr="000F223D">
              <w:rPr>
                <w:b/>
                <w:color w:val="FF0000"/>
                <w:u w:val="single"/>
              </w:rPr>
              <w:t>NO</w:t>
            </w:r>
            <w:r w:rsidRPr="000F223D">
              <w:rPr>
                <w:color w:val="FF0000"/>
              </w:rPr>
              <w:t xml:space="preserve">, if they cannot meet the requirement. Where the response is </w:t>
            </w:r>
            <w:r w:rsidRPr="000F223D">
              <w:rPr>
                <w:b/>
                <w:color w:val="FF0000"/>
                <w:u w:val="single"/>
              </w:rPr>
              <w:t>NO</w:t>
            </w:r>
            <w:r w:rsidRPr="000F223D">
              <w:rPr>
                <w:color w:val="FF0000"/>
              </w:rPr>
              <w:t>, supplier</w:t>
            </w:r>
            <w:r>
              <w:rPr>
                <w:color w:val="FF0000"/>
              </w:rPr>
              <w:t>s</w:t>
            </w:r>
            <w:r w:rsidRPr="000F223D">
              <w:rPr>
                <w:color w:val="FF0000"/>
              </w:rPr>
              <w:t xml:space="preserve"> should provide a brief clarification justifying their response.</w:t>
            </w:r>
          </w:p>
        </w:tc>
      </w:tr>
      <w:tr w:rsidR="00DF7262" w:rsidRPr="004C39DD" w:rsidTr="00DF7262">
        <w:tc>
          <w:tcPr>
            <w:tcW w:w="440" w:type="dxa"/>
          </w:tcPr>
          <w:p w:rsidR="00DF7262" w:rsidRPr="004C39DD" w:rsidRDefault="00DF7262" w:rsidP="00DF7262">
            <w:r w:rsidRPr="004C39DD">
              <w:t>1</w:t>
            </w:r>
          </w:p>
        </w:tc>
        <w:tc>
          <w:tcPr>
            <w:tcW w:w="7750" w:type="dxa"/>
          </w:tcPr>
          <w:p w:rsidR="00DF7262" w:rsidRPr="004C39DD" w:rsidRDefault="00DF7262" w:rsidP="00DF7262">
            <w:r w:rsidRPr="004C39DD">
              <w:t xml:space="preserve">Solution must be capable of being hosted in the cloud </w:t>
            </w:r>
            <w:r>
              <w:t xml:space="preserve">and </w:t>
            </w:r>
            <w:r w:rsidRPr="004C39DD">
              <w:t>on premise</w:t>
            </w:r>
            <w:r>
              <w:t xml:space="preserve"> and be compliant with UK NSCS guidance and cyber security protocols.</w:t>
            </w:r>
          </w:p>
        </w:tc>
        <w:tc>
          <w:tcPr>
            <w:tcW w:w="874" w:type="dxa"/>
          </w:tcPr>
          <w:p w:rsidR="00DF7262" w:rsidRPr="004C39DD" w:rsidRDefault="00DF7262" w:rsidP="00DF7262">
            <w:r w:rsidRPr="004C39DD">
              <w:t>Must</w:t>
            </w:r>
          </w:p>
        </w:tc>
        <w:tc>
          <w:tcPr>
            <w:tcW w:w="4403" w:type="dxa"/>
          </w:tcPr>
          <w:p w:rsidR="00DF7262" w:rsidRPr="004C39DD" w:rsidRDefault="00DF7262" w:rsidP="00DF7262"/>
        </w:tc>
      </w:tr>
      <w:tr w:rsidR="00DF7262" w:rsidRPr="004C39DD" w:rsidTr="00DF7262">
        <w:tc>
          <w:tcPr>
            <w:tcW w:w="440" w:type="dxa"/>
          </w:tcPr>
          <w:p w:rsidR="00DF7262" w:rsidRPr="004C39DD" w:rsidRDefault="00DF7262" w:rsidP="00DF7262">
            <w:r>
              <w:t>2</w:t>
            </w:r>
          </w:p>
        </w:tc>
        <w:tc>
          <w:tcPr>
            <w:tcW w:w="7750" w:type="dxa"/>
          </w:tcPr>
          <w:p w:rsidR="00DF7262" w:rsidRPr="004C39DD" w:rsidRDefault="00DF7262" w:rsidP="00DF7262">
            <w:r>
              <w:t>Solution must be fully capable of integrating with Microsoft.</w:t>
            </w:r>
          </w:p>
        </w:tc>
        <w:tc>
          <w:tcPr>
            <w:tcW w:w="874" w:type="dxa"/>
          </w:tcPr>
          <w:p w:rsidR="00DF7262" w:rsidRPr="004C39DD" w:rsidRDefault="00DF7262" w:rsidP="00DF7262">
            <w:r>
              <w:t>Must</w:t>
            </w:r>
          </w:p>
        </w:tc>
        <w:tc>
          <w:tcPr>
            <w:tcW w:w="4403" w:type="dxa"/>
          </w:tcPr>
          <w:p w:rsidR="00DF7262" w:rsidRPr="004C39DD" w:rsidRDefault="00DF7262" w:rsidP="00DF7262"/>
        </w:tc>
      </w:tr>
      <w:tr w:rsidR="00DF7262" w:rsidRPr="004C39DD" w:rsidTr="00DF7262">
        <w:tc>
          <w:tcPr>
            <w:tcW w:w="440" w:type="dxa"/>
          </w:tcPr>
          <w:p w:rsidR="00DF7262" w:rsidRPr="004C39DD" w:rsidRDefault="00DF7262" w:rsidP="00DF7262">
            <w:r>
              <w:t>3</w:t>
            </w:r>
          </w:p>
        </w:tc>
        <w:tc>
          <w:tcPr>
            <w:tcW w:w="7750" w:type="dxa"/>
          </w:tcPr>
          <w:p w:rsidR="00DF7262" w:rsidRPr="004C39DD" w:rsidRDefault="00DF7262" w:rsidP="00DF7262">
            <w:r w:rsidRPr="004C39DD">
              <w:t>Solution must be metadata driven with no dependence on a hierarchical file structure. Therefore, it must use 'Logical folders' with no dependency on the underlying file system and with files held in a flat file structure. This allows users to create their own hierarchy independent of others.</w:t>
            </w:r>
          </w:p>
        </w:tc>
        <w:tc>
          <w:tcPr>
            <w:tcW w:w="874" w:type="dxa"/>
          </w:tcPr>
          <w:p w:rsidR="00DF7262" w:rsidRPr="004C39DD" w:rsidRDefault="00DF7262" w:rsidP="00DF7262">
            <w:r w:rsidRPr="004C39DD">
              <w:t>Must</w:t>
            </w:r>
          </w:p>
        </w:tc>
        <w:tc>
          <w:tcPr>
            <w:tcW w:w="4403" w:type="dxa"/>
          </w:tcPr>
          <w:p w:rsidR="00DF7262" w:rsidRPr="004C39DD" w:rsidRDefault="00DF7262" w:rsidP="00DF7262"/>
        </w:tc>
      </w:tr>
      <w:tr w:rsidR="00DF7262" w:rsidRPr="004C39DD" w:rsidTr="00DF7262">
        <w:tc>
          <w:tcPr>
            <w:tcW w:w="440" w:type="dxa"/>
          </w:tcPr>
          <w:p w:rsidR="00DF7262" w:rsidRPr="004C39DD" w:rsidRDefault="00DF7262" w:rsidP="00DF7262">
            <w:r>
              <w:t>4</w:t>
            </w:r>
          </w:p>
        </w:tc>
        <w:tc>
          <w:tcPr>
            <w:tcW w:w="7750" w:type="dxa"/>
          </w:tcPr>
          <w:p w:rsidR="00DF7262" w:rsidRPr="004C39DD" w:rsidRDefault="00DF7262" w:rsidP="00DF7262">
            <w:r w:rsidRPr="004C39DD">
              <w:t>Solution must support access to a single file and prohibit duplicates.</w:t>
            </w:r>
          </w:p>
        </w:tc>
        <w:tc>
          <w:tcPr>
            <w:tcW w:w="874" w:type="dxa"/>
          </w:tcPr>
          <w:p w:rsidR="00DF7262" w:rsidRPr="004C39DD" w:rsidRDefault="00DF7262" w:rsidP="00DF7262">
            <w:r w:rsidRPr="004C39DD">
              <w:t>Must</w:t>
            </w:r>
          </w:p>
        </w:tc>
        <w:tc>
          <w:tcPr>
            <w:tcW w:w="4403" w:type="dxa"/>
          </w:tcPr>
          <w:p w:rsidR="00DF7262" w:rsidRPr="004C39DD" w:rsidRDefault="00DF7262" w:rsidP="00DF7262"/>
        </w:tc>
      </w:tr>
      <w:tr w:rsidR="00DF7262" w:rsidRPr="004C39DD" w:rsidTr="00DF7262">
        <w:tc>
          <w:tcPr>
            <w:tcW w:w="440" w:type="dxa"/>
          </w:tcPr>
          <w:p w:rsidR="00DF7262" w:rsidRPr="004C39DD" w:rsidRDefault="00DF7262" w:rsidP="00DF7262">
            <w:pPr>
              <w:rPr>
                <w:lang w:eastAsia="en-GB"/>
              </w:rPr>
            </w:pPr>
            <w:r>
              <w:rPr>
                <w:lang w:eastAsia="en-GB"/>
              </w:rPr>
              <w:t>5</w:t>
            </w:r>
          </w:p>
        </w:tc>
        <w:tc>
          <w:tcPr>
            <w:tcW w:w="7750" w:type="dxa"/>
          </w:tcPr>
          <w:p w:rsidR="00DF7262" w:rsidRPr="004C39DD" w:rsidRDefault="00DF7262" w:rsidP="00DF7262">
            <w:pPr>
              <w:rPr>
                <w:lang w:eastAsia="en-GB"/>
              </w:rPr>
            </w:pPr>
            <w:r w:rsidRPr="004C39DD">
              <w:rPr>
                <w:lang w:eastAsia="en-GB"/>
              </w:rPr>
              <w:t>Solution must support granular access management recognising access by individual, and, where relevant, affiliations to teams, projects and business processes.</w:t>
            </w:r>
          </w:p>
        </w:tc>
        <w:tc>
          <w:tcPr>
            <w:tcW w:w="874" w:type="dxa"/>
          </w:tcPr>
          <w:p w:rsidR="00DF7262" w:rsidRPr="004C39DD" w:rsidRDefault="00DF7262" w:rsidP="00DF7262">
            <w:pPr>
              <w:rPr>
                <w:lang w:eastAsia="en-GB"/>
              </w:rPr>
            </w:pPr>
            <w:r w:rsidRPr="004C39DD">
              <w:t>Must</w:t>
            </w:r>
          </w:p>
        </w:tc>
        <w:tc>
          <w:tcPr>
            <w:tcW w:w="4403" w:type="dxa"/>
          </w:tcPr>
          <w:p w:rsidR="00DF7262" w:rsidRPr="004C39DD" w:rsidRDefault="00DF7262" w:rsidP="00DF7262">
            <w:pPr>
              <w:rPr>
                <w:lang w:eastAsia="en-GB"/>
              </w:rPr>
            </w:pPr>
          </w:p>
        </w:tc>
      </w:tr>
      <w:tr w:rsidR="00DF7262" w:rsidRPr="004C39DD" w:rsidTr="00DF7262">
        <w:tc>
          <w:tcPr>
            <w:tcW w:w="440" w:type="dxa"/>
          </w:tcPr>
          <w:p w:rsidR="00DF7262" w:rsidRPr="004C39DD" w:rsidRDefault="00DF7262" w:rsidP="00DF7262">
            <w:r>
              <w:t>6</w:t>
            </w:r>
          </w:p>
        </w:tc>
        <w:tc>
          <w:tcPr>
            <w:tcW w:w="7750" w:type="dxa"/>
          </w:tcPr>
          <w:p w:rsidR="00DF7262" w:rsidRPr="004C39DD" w:rsidRDefault="00DF7262" w:rsidP="00DF7262">
            <w:r w:rsidRPr="004C39DD">
              <w:t>Access permissions must be attributes of files and users, and not of the folders in which files are held. Files must be independently permissioned. This will allow for easier and more secure sharing.</w:t>
            </w:r>
          </w:p>
        </w:tc>
        <w:tc>
          <w:tcPr>
            <w:tcW w:w="874" w:type="dxa"/>
          </w:tcPr>
          <w:p w:rsidR="00DF7262" w:rsidRPr="004C39DD" w:rsidRDefault="00DF7262" w:rsidP="00DF7262">
            <w:r w:rsidRPr="004C39DD">
              <w:t>Must</w:t>
            </w:r>
          </w:p>
        </w:tc>
        <w:tc>
          <w:tcPr>
            <w:tcW w:w="4403" w:type="dxa"/>
          </w:tcPr>
          <w:p w:rsidR="00DF7262" w:rsidRPr="004C39DD" w:rsidRDefault="00DF7262" w:rsidP="00DF7262"/>
        </w:tc>
      </w:tr>
      <w:tr w:rsidR="00DF7262" w:rsidRPr="004C39DD" w:rsidTr="00DF7262">
        <w:tc>
          <w:tcPr>
            <w:tcW w:w="440" w:type="dxa"/>
          </w:tcPr>
          <w:p w:rsidR="00DF7262" w:rsidRPr="004C39DD" w:rsidRDefault="00DF7262" w:rsidP="00DF7262">
            <w:pPr>
              <w:rPr>
                <w:lang w:eastAsia="en-GB"/>
              </w:rPr>
            </w:pPr>
            <w:r>
              <w:rPr>
                <w:lang w:eastAsia="en-GB"/>
              </w:rPr>
              <w:t>7</w:t>
            </w:r>
          </w:p>
        </w:tc>
        <w:tc>
          <w:tcPr>
            <w:tcW w:w="7750" w:type="dxa"/>
          </w:tcPr>
          <w:p w:rsidR="00DF7262" w:rsidRPr="004C39DD" w:rsidRDefault="00DF7262" w:rsidP="00DF7262">
            <w:pPr>
              <w:rPr>
                <w:lang w:eastAsia="en-GB"/>
              </w:rPr>
            </w:pPr>
            <w:r w:rsidRPr="004C39DD">
              <w:rPr>
                <w:lang w:eastAsia="en-GB"/>
              </w:rPr>
              <w:t>Should offer discovery functionality, including federated search if relevant, which is able to take account of the recordkeeping and access rules.</w:t>
            </w:r>
          </w:p>
        </w:tc>
        <w:tc>
          <w:tcPr>
            <w:tcW w:w="874" w:type="dxa"/>
          </w:tcPr>
          <w:p w:rsidR="00DF7262" w:rsidRPr="004C39DD" w:rsidRDefault="00DF7262" w:rsidP="00DF7262">
            <w:pPr>
              <w:rPr>
                <w:lang w:eastAsia="en-GB"/>
              </w:rPr>
            </w:pPr>
            <w:r w:rsidRPr="004C39DD">
              <w:rPr>
                <w:lang w:eastAsia="en-GB"/>
              </w:rPr>
              <w:t>Should</w:t>
            </w:r>
          </w:p>
        </w:tc>
        <w:tc>
          <w:tcPr>
            <w:tcW w:w="4403" w:type="dxa"/>
          </w:tcPr>
          <w:p w:rsidR="00DF7262" w:rsidRPr="004C39DD" w:rsidRDefault="00DF7262" w:rsidP="00DF7262">
            <w:pPr>
              <w:rPr>
                <w:lang w:eastAsia="en-GB"/>
              </w:rPr>
            </w:pPr>
          </w:p>
        </w:tc>
      </w:tr>
      <w:tr w:rsidR="00DF7262" w:rsidRPr="004C39DD" w:rsidTr="00DF7262">
        <w:tc>
          <w:tcPr>
            <w:tcW w:w="440" w:type="dxa"/>
          </w:tcPr>
          <w:p w:rsidR="00DF7262" w:rsidRPr="004C39DD" w:rsidRDefault="00DF7262" w:rsidP="00DF7262">
            <w:r>
              <w:t>8</w:t>
            </w:r>
          </w:p>
        </w:tc>
        <w:tc>
          <w:tcPr>
            <w:tcW w:w="7750" w:type="dxa"/>
          </w:tcPr>
          <w:p w:rsidR="00DF7262" w:rsidRPr="004C39DD" w:rsidRDefault="00DF7262" w:rsidP="00DF7262">
            <w:r w:rsidRPr="004C39DD">
              <w:t>Solution must be able to categorise (whether automatically, manually or partially manual), all digital files based on content, form and metadata into specific record series or reference content, etc.</w:t>
            </w:r>
          </w:p>
        </w:tc>
        <w:tc>
          <w:tcPr>
            <w:tcW w:w="874" w:type="dxa"/>
          </w:tcPr>
          <w:p w:rsidR="00DF7262" w:rsidRPr="004C39DD" w:rsidRDefault="00DF7262" w:rsidP="00DF7262">
            <w:r w:rsidRPr="004C39DD">
              <w:t>Must</w:t>
            </w:r>
          </w:p>
        </w:tc>
        <w:tc>
          <w:tcPr>
            <w:tcW w:w="4403" w:type="dxa"/>
          </w:tcPr>
          <w:p w:rsidR="00DF7262" w:rsidRPr="004C39DD" w:rsidRDefault="00DF7262" w:rsidP="00DF7262"/>
        </w:tc>
      </w:tr>
      <w:tr w:rsidR="00DF7262" w:rsidRPr="004C39DD" w:rsidTr="00DF7262">
        <w:tc>
          <w:tcPr>
            <w:tcW w:w="440" w:type="dxa"/>
          </w:tcPr>
          <w:p w:rsidR="00DF7262" w:rsidRPr="004C39DD" w:rsidRDefault="00DF7262" w:rsidP="00DF7262">
            <w:pPr>
              <w:rPr>
                <w:lang w:eastAsia="en-GB"/>
              </w:rPr>
            </w:pPr>
            <w:r>
              <w:rPr>
                <w:lang w:eastAsia="en-GB"/>
              </w:rPr>
              <w:t>9</w:t>
            </w:r>
          </w:p>
        </w:tc>
        <w:tc>
          <w:tcPr>
            <w:tcW w:w="7750" w:type="dxa"/>
          </w:tcPr>
          <w:p w:rsidR="00DF7262" w:rsidRPr="004C39DD" w:rsidRDefault="00DF7262" w:rsidP="00DF7262">
            <w:pPr>
              <w:rPr>
                <w:lang w:eastAsia="en-GB"/>
              </w:rPr>
            </w:pPr>
            <w:r w:rsidRPr="004C39DD">
              <w:rPr>
                <w:lang w:eastAsia="en-GB"/>
              </w:rPr>
              <w:t>Record series must be the defining categorisation for establishing retention rules.</w:t>
            </w:r>
          </w:p>
        </w:tc>
        <w:tc>
          <w:tcPr>
            <w:tcW w:w="874" w:type="dxa"/>
          </w:tcPr>
          <w:p w:rsidR="00DF7262" w:rsidRPr="004C39DD" w:rsidRDefault="00DF7262" w:rsidP="00DF7262">
            <w:pPr>
              <w:rPr>
                <w:lang w:eastAsia="en-GB"/>
              </w:rPr>
            </w:pPr>
            <w:r w:rsidRPr="004C39DD">
              <w:rPr>
                <w:lang w:eastAsia="en-GB"/>
              </w:rPr>
              <w:t>Must</w:t>
            </w:r>
          </w:p>
        </w:tc>
        <w:tc>
          <w:tcPr>
            <w:tcW w:w="4403" w:type="dxa"/>
          </w:tcPr>
          <w:p w:rsidR="00DF7262" w:rsidRPr="004C39DD" w:rsidRDefault="00DF7262" w:rsidP="00DF7262">
            <w:pPr>
              <w:rPr>
                <w:lang w:eastAsia="en-GB"/>
              </w:rPr>
            </w:pPr>
          </w:p>
        </w:tc>
      </w:tr>
      <w:tr w:rsidR="00DF7262" w:rsidRPr="004C39DD" w:rsidTr="00DF7262">
        <w:tc>
          <w:tcPr>
            <w:tcW w:w="440" w:type="dxa"/>
          </w:tcPr>
          <w:p w:rsidR="00DF7262" w:rsidRPr="004C39DD" w:rsidRDefault="00DF7262" w:rsidP="00DF7262">
            <w:pPr>
              <w:rPr>
                <w:lang w:eastAsia="en-GB"/>
              </w:rPr>
            </w:pPr>
            <w:r>
              <w:rPr>
                <w:lang w:eastAsia="en-GB"/>
              </w:rPr>
              <w:t>10</w:t>
            </w:r>
          </w:p>
        </w:tc>
        <w:tc>
          <w:tcPr>
            <w:tcW w:w="7750" w:type="dxa"/>
          </w:tcPr>
          <w:p w:rsidR="00DF7262" w:rsidRPr="004C39DD" w:rsidRDefault="00DF7262" w:rsidP="00DF7262">
            <w:pPr>
              <w:rPr>
                <w:lang w:eastAsia="en-GB"/>
              </w:rPr>
            </w:pPr>
            <w:r w:rsidRPr="004C39DD">
              <w:rPr>
                <w:lang w:eastAsia="en-GB"/>
              </w:rPr>
              <w:t>The retention schedule must be integral to the system, whether that is federated across different applications or contained within a single application.</w:t>
            </w:r>
          </w:p>
        </w:tc>
        <w:tc>
          <w:tcPr>
            <w:tcW w:w="874" w:type="dxa"/>
          </w:tcPr>
          <w:p w:rsidR="00DF7262" w:rsidRPr="004C39DD" w:rsidRDefault="00DF7262" w:rsidP="00DF7262">
            <w:pPr>
              <w:rPr>
                <w:lang w:eastAsia="en-GB"/>
              </w:rPr>
            </w:pPr>
            <w:r w:rsidRPr="004C39DD">
              <w:rPr>
                <w:lang w:eastAsia="en-GB"/>
              </w:rPr>
              <w:t>Must</w:t>
            </w:r>
          </w:p>
        </w:tc>
        <w:tc>
          <w:tcPr>
            <w:tcW w:w="4403" w:type="dxa"/>
          </w:tcPr>
          <w:p w:rsidR="00DF7262" w:rsidRPr="004C39DD" w:rsidRDefault="00DF7262" w:rsidP="00DF7262">
            <w:pPr>
              <w:rPr>
                <w:lang w:eastAsia="en-GB"/>
              </w:rPr>
            </w:pPr>
          </w:p>
        </w:tc>
      </w:tr>
      <w:tr w:rsidR="00DF7262" w:rsidRPr="004C39DD" w:rsidTr="00DF7262">
        <w:tc>
          <w:tcPr>
            <w:tcW w:w="440" w:type="dxa"/>
          </w:tcPr>
          <w:p w:rsidR="00DF7262" w:rsidRPr="004C39DD" w:rsidRDefault="00DF7262" w:rsidP="00DF7262">
            <w:pPr>
              <w:rPr>
                <w:lang w:eastAsia="en-GB"/>
              </w:rPr>
            </w:pPr>
            <w:r>
              <w:rPr>
                <w:lang w:eastAsia="en-GB"/>
              </w:rPr>
              <w:t>11</w:t>
            </w:r>
          </w:p>
        </w:tc>
        <w:tc>
          <w:tcPr>
            <w:tcW w:w="7750" w:type="dxa"/>
          </w:tcPr>
          <w:p w:rsidR="00DF7262" w:rsidRPr="004C39DD" w:rsidRDefault="00DF7262" w:rsidP="00DF7262">
            <w:r w:rsidRPr="004C39DD">
              <w:rPr>
                <w:lang w:eastAsia="en-GB"/>
              </w:rPr>
              <w:t xml:space="preserve">Disposal must be by record series and by calendar or financial year, as appropriate, and capable of automation with definable approval stages e.g. being capable of creating simple </w:t>
            </w:r>
            <w:r w:rsidRPr="004C39DD">
              <w:t>workflows to identify records due for disposal, gathering permissions and then deleting the records (with metadata retained).</w:t>
            </w:r>
          </w:p>
        </w:tc>
        <w:tc>
          <w:tcPr>
            <w:tcW w:w="874" w:type="dxa"/>
          </w:tcPr>
          <w:p w:rsidR="00DF7262" w:rsidRPr="004C39DD" w:rsidRDefault="00DF7262" w:rsidP="00DF7262">
            <w:pPr>
              <w:rPr>
                <w:lang w:eastAsia="en-GB"/>
              </w:rPr>
            </w:pPr>
            <w:r w:rsidRPr="004C39DD">
              <w:rPr>
                <w:lang w:eastAsia="en-GB"/>
              </w:rPr>
              <w:t>Must</w:t>
            </w:r>
          </w:p>
        </w:tc>
        <w:tc>
          <w:tcPr>
            <w:tcW w:w="4403" w:type="dxa"/>
          </w:tcPr>
          <w:p w:rsidR="00DF7262" w:rsidRPr="004C39DD" w:rsidRDefault="00DF7262" w:rsidP="00DF7262">
            <w:pPr>
              <w:rPr>
                <w:lang w:eastAsia="en-GB"/>
              </w:rPr>
            </w:pPr>
          </w:p>
        </w:tc>
      </w:tr>
      <w:tr w:rsidR="00DF7262" w:rsidRPr="004C39DD" w:rsidTr="00DF7262">
        <w:tc>
          <w:tcPr>
            <w:tcW w:w="440" w:type="dxa"/>
          </w:tcPr>
          <w:p w:rsidR="00DF7262" w:rsidRPr="004C39DD" w:rsidRDefault="00DF7262" w:rsidP="00DF7262">
            <w:pPr>
              <w:rPr>
                <w:lang w:eastAsia="en-GB"/>
              </w:rPr>
            </w:pPr>
            <w:r>
              <w:rPr>
                <w:lang w:eastAsia="en-GB"/>
              </w:rPr>
              <w:t>12</w:t>
            </w:r>
          </w:p>
        </w:tc>
        <w:tc>
          <w:tcPr>
            <w:tcW w:w="7750" w:type="dxa"/>
          </w:tcPr>
          <w:p w:rsidR="00DF7262" w:rsidRPr="004C39DD" w:rsidRDefault="00DF7262" w:rsidP="00DF7262">
            <w:r w:rsidRPr="004C39DD">
              <w:rPr>
                <w:lang w:eastAsia="en-GB"/>
              </w:rPr>
              <w:t>Record series must be capable of being able to add or define mandated attributes such as RAG conditions denoting level of business criticality, government security classifications and related caveats, retention trigger, retention period, legislative justification for retention period, business justification for retention period, archival value, related team/s, related business process/</w:t>
            </w:r>
            <w:proofErr w:type="spellStart"/>
            <w:r w:rsidRPr="004C39DD">
              <w:rPr>
                <w:lang w:eastAsia="en-GB"/>
              </w:rPr>
              <w:t>es</w:t>
            </w:r>
            <w:proofErr w:type="spellEnd"/>
            <w:r w:rsidRPr="004C39DD">
              <w:rPr>
                <w:lang w:eastAsia="en-GB"/>
              </w:rPr>
              <w:t xml:space="preserve">, personal data categories. </w:t>
            </w:r>
          </w:p>
        </w:tc>
        <w:tc>
          <w:tcPr>
            <w:tcW w:w="874" w:type="dxa"/>
          </w:tcPr>
          <w:p w:rsidR="00DF7262" w:rsidRPr="004C39DD" w:rsidRDefault="00DF7262" w:rsidP="00DF7262">
            <w:pPr>
              <w:rPr>
                <w:lang w:eastAsia="en-GB"/>
              </w:rPr>
            </w:pPr>
            <w:r w:rsidRPr="004C39DD">
              <w:t>Must</w:t>
            </w:r>
          </w:p>
        </w:tc>
        <w:tc>
          <w:tcPr>
            <w:tcW w:w="4403" w:type="dxa"/>
          </w:tcPr>
          <w:p w:rsidR="00DF7262" w:rsidRPr="004C39DD" w:rsidRDefault="00DF7262" w:rsidP="00DF7262">
            <w:pPr>
              <w:rPr>
                <w:lang w:eastAsia="en-GB"/>
              </w:rPr>
            </w:pPr>
          </w:p>
        </w:tc>
      </w:tr>
      <w:tr w:rsidR="00DF7262" w:rsidRPr="004C39DD" w:rsidTr="00DF7262">
        <w:tc>
          <w:tcPr>
            <w:tcW w:w="440" w:type="dxa"/>
          </w:tcPr>
          <w:p w:rsidR="00DF7262" w:rsidRPr="004C39DD" w:rsidRDefault="00DF7262" w:rsidP="00DF7262">
            <w:r>
              <w:t>13</w:t>
            </w:r>
          </w:p>
        </w:tc>
        <w:tc>
          <w:tcPr>
            <w:tcW w:w="7750" w:type="dxa"/>
          </w:tcPr>
          <w:p w:rsidR="00DF7262" w:rsidRPr="004C39DD" w:rsidRDefault="00DF7262" w:rsidP="00DF7262">
            <w:r w:rsidRPr="004C39DD">
              <w:t>Solution must enable collaborative working; allowing documents to be easily and securely shared both internally and externally.</w:t>
            </w:r>
          </w:p>
        </w:tc>
        <w:tc>
          <w:tcPr>
            <w:tcW w:w="874" w:type="dxa"/>
          </w:tcPr>
          <w:p w:rsidR="00DF7262" w:rsidRPr="004C39DD" w:rsidRDefault="00DF7262" w:rsidP="00DF7262">
            <w:r w:rsidRPr="004C39DD">
              <w:t>Must</w:t>
            </w:r>
          </w:p>
        </w:tc>
        <w:tc>
          <w:tcPr>
            <w:tcW w:w="4403" w:type="dxa"/>
          </w:tcPr>
          <w:p w:rsidR="00DF7262" w:rsidRPr="004C39DD" w:rsidRDefault="00DF7262" w:rsidP="00DF7262"/>
        </w:tc>
      </w:tr>
      <w:tr w:rsidR="00DF7262" w:rsidRPr="004C39DD" w:rsidTr="00DF7262">
        <w:tc>
          <w:tcPr>
            <w:tcW w:w="440" w:type="dxa"/>
          </w:tcPr>
          <w:p w:rsidR="00DF7262" w:rsidRPr="004C39DD" w:rsidRDefault="00DF7262" w:rsidP="00DF7262">
            <w:r>
              <w:t>14</w:t>
            </w:r>
          </w:p>
        </w:tc>
        <w:tc>
          <w:tcPr>
            <w:tcW w:w="7750" w:type="dxa"/>
          </w:tcPr>
          <w:p w:rsidR="00DF7262" w:rsidRPr="004C39DD" w:rsidRDefault="00DF7262" w:rsidP="00DF7262">
            <w:r w:rsidRPr="004C39DD">
              <w:t xml:space="preserve">Solution must be able to integrate with email </w:t>
            </w:r>
          </w:p>
        </w:tc>
        <w:tc>
          <w:tcPr>
            <w:tcW w:w="874" w:type="dxa"/>
          </w:tcPr>
          <w:p w:rsidR="00DF7262" w:rsidRPr="004C39DD" w:rsidRDefault="00DF7262" w:rsidP="00DF7262">
            <w:r w:rsidRPr="004C39DD">
              <w:t>Must</w:t>
            </w:r>
          </w:p>
        </w:tc>
        <w:tc>
          <w:tcPr>
            <w:tcW w:w="4403" w:type="dxa"/>
          </w:tcPr>
          <w:p w:rsidR="00DF7262" w:rsidRPr="004C39DD" w:rsidRDefault="00DF7262" w:rsidP="00DF7262"/>
        </w:tc>
      </w:tr>
      <w:tr w:rsidR="00DF7262" w:rsidRPr="004C39DD" w:rsidTr="00DF7262">
        <w:tc>
          <w:tcPr>
            <w:tcW w:w="440" w:type="dxa"/>
          </w:tcPr>
          <w:p w:rsidR="00DF7262" w:rsidRPr="004C39DD" w:rsidRDefault="00DF7262" w:rsidP="00DF7262">
            <w:pPr>
              <w:rPr>
                <w:lang w:eastAsia="en-GB"/>
              </w:rPr>
            </w:pPr>
            <w:r w:rsidRPr="004C39DD">
              <w:rPr>
                <w:lang w:eastAsia="en-GB"/>
              </w:rPr>
              <w:t>1</w:t>
            </w:r>
            <w:r>
              <w:rPr>
                <w:lang w:eastAsia="en-GB"/>
              </w:rPr>
              <w:t>5</w:t>
            </w:r>
          </w:p>
        </w:tc>
        <w:tc>
          <w:tcPr>
            <w:tcW w:w="7750" w:type="dxa"/>
          </w:tcPr>
          <w:p w:rsidR="00DF7262" w:rsidRPr="004C39DD" w:rsidRDefault="00DF7262" w:rsidP="00DF7262">
            <w:pPr>
              <w:rPr>
                <w:lang w:eastAsia="en-GB"/>
              </w:rPr>
            </w:pPr>
            <w:r w:rsidRPr="004C39DD">
              <w:rPr>
                <w:lang w:eastAsia="en-GB"/>
              </w:rPr>
              <w:t>Solution must be capable of demonstrating the archival requirements of sound records: authenticity; reliability; completeness; fixity. (Authenticity/reliability: the content, context and structure of the record must be recorded in sufficient detail to ensure the record is demonstrably authentic. Completeness: metadata must be retained across the life of the record and the link with the file maintained throughout and post disposal. Reliability/Fixity: it must be possible to ensure a record is unaltered during its retention and that its metadata history is able to confirm that.)</w:t>
            </w:r>
          </w:p>
        </w:tc>
        <w:tc>
          <w:tcPr>
            <w:tcW w:w="874" w:type="dxa"/>
          </w:tcPr>
          <w:p w:rsidR="00DF7262" w:rsidRPr="004C39DD" w:rsidRDefault="00DF7262" w:rsidP="00DF7262">
            <w:pPr>
              <w:rPr>
                <w:lang w:eastAsia="en-GB"/>
              </w:rPr>
            </w:pPr>
            <w:r w:rsidRPr="004C39DD">
              <w:t>Must</w:t>
            </w:r>
          </w:p>
        </w:tc>
        <w:tc>
          <w:tcPr>
            <w:tcW w:w="4403" w:type="dxa"/>
          </w:tcPr>
          <w:p w:rsidR="00DF7262" w:rsidRPr="004C39DD" w:rsidRDefault="00DF7262" w:rsidP="00DF7262">
            <w:pPr>
              <w:rPr>
                <w:lang w:eastAsia="en-GB"/>
              </w:rPr>
            </w:pPr>
          </w:p>
        </w:tc>
      </w:tr>
      <w:tr w:rsidR="00DF7262" w:rsidRPr="004C39DD" w:rsidTr="00DF7262">
        <w:tc>
          <w:tcPr>
            <w:tcW w:w="440" w:type="dxa"/>
          </w:tcPr>
          <w:p w:rsidR="00DF7262" w:rsidRPr="004C39DD" w:rsidRDefault="00DF7262" w:rsidP="00DF7262">
            <w:pPr>
              <w:rPr>
                <w:lang w:eastAsia="en-GB"/>
              </w:rPr>
            </w:pPr>
            <w:r w:rsidRPr="004C39DD">
              <w:rPr>
                <w:lang w:eastAsia="en-GB"/>
              </w:rPr>
              <w:t>1</w:t>
            </w:r>
            <w:r>
              <w:rPr>
                <w:lang w:eastAsia="en-GB"/>
              </w:rPr>
              <w:t>6</w:t>
            </w:r>
          </w:p>
        </w:tc>
        <w:tc>
          <w:tcPr>
            <w:tcW w:w="7750" w:type="dxa"/>
          </w:tcPr>
          <w:p w:rsidR="00DF7262" w:rsidRPr="004C39DD" w:rsidRDefault="00DF7262" w:rsidP="00DF7262">
            <w:pPr>
              <w:rPr>
                <w:lang w:eastAsia="en-GB"/>
              </w:rPr>
            </w:pPr>
            <w:r w:rsidRPr="004C39DD">
              <w:rPr>
                <w:lang w:eastAsia="en-GB"/>
              </w:rPr>
              <w:t>It must be possible to export files in their native format and related metadata as a record for transfer to TNA, or any other government approved archive. Metadata must retain the link to the file and be in a human readable form with system codes resolved to natural language. (An XML metadata file with a defined schema or DTD would be preferable.)</w:t>
            </w:r>
          </w:p>
        </w:tc>
        <w:tc>
          <w:tcPr>
            <w:tcW w:w="874" w:type="dxa"/>
          </w:tcPr>
          <w:p w:rsidR="00DF7262" w:rsidRPr="004C39DD" w:rsidRDefault="00DF7262" w:rsidP="00DF7262">
            <w:pPr>
              <w:rPr>
                <w:lang w:eastAsia="en-GB"/>
              </w:rPr>
            </w:pPr>
            <w:r w:rsidRPr="004C39DD">
              <w:t>Must</w:t>
            </w:r>
          </w:p>
        </w:tc>
        <w:tc>
          <w:tcPr>
            <w:tcW w:w="4403" w:type="dxa"/>
          </w:tcPr>
          <w:p w:rsidR="00DF7262" w:rsidRPr="004C39DD" w:rsidRDefault="00DF7262" w:rsidP="00DF7262">
            <w:pPr>
              <w:rPr>
                <w:lang w:eastAsia="en-GB"/>
              </w:rPr>
            </w:pPr>
          </w:p>
        </w:tc>
      </w:tr>
      <w:tr w:rsidR="00DF7262" w:rsidRPr="004C39DD" w:rsidTr="00DF7262">
        <w:trPr>
          <w:trHeight w:val="841"/>
        </w:trPr>
        <w:tc>
          <w:tcPr>
            <w:tcW w:w="440" w:type="dxa"/>
          </w:tcPr>
          <w:p w:rsidR="00DF7262" w:rsidRPr="004C39DD" w:rsidRDefault="00DF7262" w:rsidP="00DF7262">
            <w:pPr>
              <w:spacing w:after="240"/>
              <w:rPr>
                <w:lang w:eastAsia="en-GB"/>
              </w:rPr>
            </w:pPr>
            <w:r w:rsidRPr="004C39DD">
              <w:rPr>
                <w:lang w:eastAsia="en-GB"/>
              </w:rPr>
              <w:t>1</w:t>
            </w:r>
            <w:r>
              <w:rPr>
                <w:lang w:eastAsia="en-GB"/>
              </w:rPr>
              <w:t>7</w:t>
            </w:r>
          </w:p>
        </w:tc>
        <w:tc>
          <w:tcPr>
            <w:tcW w:w="7750" w:type="dxa"/>
          </w:tcPr>
          <w:p w:rsidR="00DF7262" w:rsidRPr="004C39DD" w:rsidRDefault="00DF7262" w:rsidP="00DF7262">
            <w:pPr>
              <w:spacing w:after="240"/>
              <w:rPr>
                <w:lang w:eastAsia="en-GB"/>
              </w:rPr>
            </w:pPr>
            <w:r w:rsidRPr="004C39DD">
              <w:rPr>
                <w:lang w:eastAsia="en-GB"/>
              </w:rPr>
              <w:t>It must be possible to export files and related metadata to an alternative document management system.</w:t>
            </w:r>
          </w:p>
        </w:tc>
        <w:tc>
          <w:tcPr>
            <w:tcW w:w="874" w:type="dxa"/>
          </w:tcPr>
          <w:p w:rsidR="00DF7262" w:rsidRPr="004C39DD" w:rsidRDefault="00DF7262" w:rsidP="00DF7262">
            <w:pPr>
              <w:spacing w:after="240"/>
              <w:rPr>
                <w:lang w:eastAsia="en-GB"/>
              </w:rPr>
            </w:pPr>
            <w:r w:rsidRPr="004C39DD">
              <w:t>Must</w:t>
            </w:r>
          </w:p>
        </w:tc>
        <w:tc>
          <w:tcPr>
            <w:tcW w:w="4403" w:type="dxa"/>
          </w:tcPr>
          <w:p w:rsidR="00DF7262" w:rsidRPr="004C39DD" w:rsidRDefault="00DF7262" w:rsidP="00DF7262">
            <w:pPr>
              <w:spacing w:after="240"/>
              <w:rPr>
                <w:lang w:eastAsia="en-GB"/>
              </w:rPr>
            </w:pPr>
          </w:p>
        </w:tc>
      </w:tr>
    </w:tbl>
    <w:p w:rsidR="00CD590F" w:rsidRPr="004C39DD" w:rsidRDefault="00CD590F" w:rsidP="005C634E"/>
    <w:sectPr w:rsidR="00CD590F" w:rsidRPr="004C39DD" w:rsidSect="00DF726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CCB" w:rsidRDefault="00217CCB" w:rsidP="003841EB">
      <w:pPr>
        <w:spacing w:after="0" w:line="240" w:lineRule="auto"/>
      </w:pPr>
      <w:r>
        <w:separator/>
      </w:r>
    </w:p>
  </w:endnote>
  <w:endnote w:type="continuationSeparator" w:id="0">
    <w:p w:rsidR="00217CCB" w:rsidRDefault="00217CCB" w:rsidP="00384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CCB" w:rsidRDefault="00217CCB" w:rsidP="003841EB">
      <w:pPr>
        <w:spacing w:after="0" w:line="240" w:lineRule="auto"/>
      </w:pPr>
      <w:r>
        <w:separator/>
      </w:r>
    </w:p>
  </w:footnote>
  <w:footnote w:type="continuationSeparator" w:id="0">
    <w:p w:rsidR="00217CCB" w:rsidRDefault="00217CCB" w:rsidP="003841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1C51"/>
    <w:multiLevelType w:val="hybridMultilevel"/>
    <w:tmpl w:val="737CD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A67C1E"/>
    <w:multiLevelType w:val="hybridMultilevel"/>
    <w:tmpl w:val="BFBE9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92BF5"/>
    <w:multiLevelType w:val="hybridMultilevel"/>
    <w:tmpl w:val="280E0A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C3A1F81"/>
    <w:multiLevelType w:val="hybridMultilevel"/>
    <w:tmpl w:val="9842A2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5CF3F36"/>
    <w:multiLevelType w:val="hybridMultilevel"/>
    <w:tmpl w:val="84F66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DBF6E39"/>
    <w:multiLevelType w:val="hybridMultilevel"/>
    <w:tmpl w:val="955C5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4349D9"/>
    <w:multiLevelType w:val="hybridMultilevel"/>
    <w:tmpl w:val="2D50DD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5"/>
  </w:num>
  <w:num w:numId="6">
    <w:abstractNumId w:val="1"/>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CCB"/>
    <w:rsid w:val="00050604"/>
    <w:rsid w:val="00057A56"/>
    <w:rsid w:val="00073042"/>
    <w:rsid w:val="000F223D"/>
    <w:rsid w:val="00114A81"/>
    <w:rsid w:val="00144B0F"/>
    <w:rsid w:val="00173AAE"/>
    <w:rsid w:val="001E787E"/>
    <w:rsid w:val="001F2302"/>
    <w:rsid w:val="00217CCB"/>
    <w:rsid w:val="00265011"/>
    <w:rsid w:val="00285830"/>
    <w:rsid w:val="002F7FCB"/>
    <w:rsid w:val="00353D78"/>
    <w:rsid w:val="003841EB"/>
    <w:rsid w:val="00404691"/>
    <w:rsid w:val="0042245C"/>
    <w:rsid w:val="004930F9"/>
    <w:rsid w:val="004B1981"/>
    <w:rsid w:val="004C39DD"/>
    <w:rsid w:val="00581585"/>
    <w:rsid w:val="005C634E"/>
    <w:rsid w:val="005E4068"/>
    <w:rsid w:val="00636D31"/>
    <w:rsid w:val="007450E6"/>
    <w:rsid w:val="007E09C7"/>
    <w:rsid w:val="008354DC"/>
    <w:rsid w:val="008A1795"/>
    <w:rsid w:val="00902943"/>
    <w:rsid w:val="00977501"/>
    <w:rsid w:val="009925B0"/>
    <w:rsid w:val="009948A0"/>
    <w:rsid w:val="00A5645B"/>
    <w:rsid w:val="00AD19BC"/>
    <w:rsid w:val="00AD62DA"/>
    <w:rsid w:val="00B46EA9"/>
    <w:rsid w:val="00B81020"/>
    <w:rsid w:val="00C02FFB"/>
    <w:rsid w:val="00C33488"/>
    <w:rsid w:val="00CD590F"/>
    <w:rsid w:val="00D2271A"/>
    <w:rsid w:val="00DF7262"/>
    <w:rsid w:val="00E11D73"/>
    <w:rsid w:val="00E931EB"/>
    <w:rsid w:val="00EB2332"/>
    <w:rsid w:val="00F34FE8"/>
    <w:rsid w:val="00F91F6A"/>
    <w:rsid w:val="00FF55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A6A57"/>
  <w15:chartTrackingRefBased/>
  <w15:docId w15:val="{67E0CABB-1B48-4304-BBAE-9BC6904E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41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41EB"/>
  </w:style>
  <w:style w:type="paragraph" w:styleId="Footer">
    <w:name w:val="footer"/>
    <w:basedOn w:val="Normal"/>
    <w:link w:val="FooterChar"/>
    <w:uiPriority w:val="99"/>
    <w:unhideWhenUsed/>
    <w:rsid w:val="003841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41EB"/>
  </w:style>
  <w:style w:type="paragraph" w:styleId="ListParagraph">
    <w:name w:val="List Paragraph"/>
    <w:basedOn w:val="Normal"/>
    <w:uiPriority w:val="34"/>
    <w:qFormat/>
    <w:rsid w:val="00217CCB"/>
    <w:pPr>
      <w:spacing w:after="0" w:line="240" w:lineRule="auto"/>
      <w:ind w:left="720"/>
    </w:pPr>
    <w:rPr>
      <w:rFonts w:ascii="Calibri" w:hAnsi="Calibri" w:cs="Calibri"/>
    </w:rPr>
  </w:style>
  <w:style w:type="table" w:styleId="TableGrid">
    <w:name w:val="Table Grid"/>
    <w:basedOn w:val="TableNormal"/>
    <w:uiPriority w:val="59"/>
    <w:rsid w:val="005C6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73042"/>
    <w:pPr>
      <w:spacing w:after="0" w:line="240" w:lineRule="auto"/>
    </w:pPr>
  </w:style>
  <w:style w:type="paragraph" w:styleId="BalloonText">
    <w:name w:val="Balloon Text"/>
    <w:basedOn w:val="Normal"/>
    <w:link w:val="BalloonTextChar"/>
    <w:uiPriority w:val="99"/>
    <w:semiHidden/>
    <w:unhideWhenUsed/>
    <w:rsid w:val="000730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042"/>
    <w:rPr>
      <w:rFonts w:ascii="Segoe UI" w:hAnsi="Segoe UI" w:cs="Segoe UI"/>
      <w:sz w:val="18"/>
      <w:szCs w:val="18"/>
    </w:rPr>
  </w:style>
  <w:style w:type="character" w:styleId="Hyperlink">
    <w:name w:val="Hyperlink"/>
    <w:basedOn w:val="DefaultParagraphFont"/>
    <w:uiPriority w:val="99"/>
    <w:unhideWhenUsed/>
    <w:rsid w:val="00C02F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2641595">
      <w:bodyDiv w:val="1"/>
      <w:marLeft w:val="0"/>
      <w:marRight w:val="0"/>
      <w:marTop w:val="0"/>
      <w:marBottom w:val="0"/>
      <w:divBdr>
        <w:top w:val="none" w:sz="0" w:space="0" w:color="auto"/>
        <w:left w:val="none" w:sz="0" w:space="0" w:color="auto"/>
        <w:bottom w:val="none" w:sz="0" w:space="0" w:color="auto"/>
        <w:right w:val="none" w:sz="0" w:space="0" w:color="auto"/>
      </w:divBdr>
    </w:div>
    <w:div w:id="1928616921">
      <w:bodyDiv w:val="1"/>
      <w:marLeft w:val="0"/>
      <w:marRight w:val="0"/>
      <w:marTop w:val="0"/>
      <w:marBottom w:val="0"/>
      <w:divBdr>
        <w:top w:val="none" w:sz="0" w:space="0" w:color="auto"/>
        <w:left w:val="none" w:sz="0" w:space="0" w:color="auto"/>
        <w:bottom w:val="none" w:sz="0" w:space="0" w:color="auto"/>
        <w:right w:val="none" w:sz="0" w:space="0" w:color="auto"/>
      </w:divBdr>
    </w:div>
    <w:div w:id="1964533842">
      <w:bodyDiv w:val="1"/>
      <w:marLeft w:val="0"/>
      <w:marRight w:val="0"/>
      <w:marTop w:val="0"/>
      <w:marBottom w:val="0"/>
      <w:divBdr>
        <w:top w:val="none" w:sz="0" w:space="0" w:color="auto"/>
        <w:left w:val="none" w:sz="0" w:space="0" w:color="auto"/>
        <w:bottom w:val="none" w:sz="0" w:space="0" w:color="auto"/>
        <w:right w:val="none" w:sz="0" w:space="0" w:color="auto"/>
      </w:divBdr>
    </w:div>
    <w:div w:id="201051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MOTenders@dmo.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917</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UK Debt Management Office</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Reid</dc:creator>
  <cp:keywords/>
  <dc:description/>
  <cp:lastModifiedBy>Carlos Freitas</cp:lastModifiedBy>
  <cp:revision>10</cp:revision>
  <dcterms:created xsi:type="dcterms:W3CDTF">2022-07-20T09:32:00Z</dcterms:created>
  <dcterms:modified xsi:type="dcterms:W3CDTF">2022-07-22T16:24:00Z</dcterms:modified>
</cp:coreProperties>
</file>