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555"/>
        <w:gridCol w:w="4455"/>
        <w:gridCol w:w="3006"/>
      </w:tblGrid>
      <w:tr w:rsidR="00FA2611" w14:paraId="5F5CF858" w14:textId="77777777" w:rsidTr="00D97F8C">
        <w:tc>
          <w:tcPr>
            <w:tcW w:w="1555" w:type="dxa"/>
          </w:tcPr>
          <w:p w14:paraId="390D77DF" w14:textId="77777777" w:rsidR="00FA2611" w:rsidRPr="00FA2611" w:rsidRDefault="00FA2611" w:rsidP="00FA2611">
            <w:pPr>
              <w:rPr>
                <w:b/>
              </w:rPr>
            </w:pPr>
            <w:r>
              <w:rPr>
                <w:b/>
              </w:rPr>
              <w:t>Reference</w:t>
            </w:r>
          </w:p>
        </w:tc>
        <w:tc>
          <w:tcPr>
            <w:tcW w:w="4455" w:type="dxa"/>
          </w:tcPr>
          <w:p w14:paraId="54BC755C" w14:textId="77777777" w:rsidR="00FA2611" w:rsidRPr="00D97F8C" w:rsidRDefault="00FA2611" w:rsidP="00FA2611">
            <w:pPr>
              <w:rPr>
                <w:rFonts w:ascii="Arial" w:hAnsi="Arial" w:cs="Arial"/>
                <w:b/>
                <w:sz w:val="20"/>
                <w:szCs w:val="20"/>
              </w:rPr>
            </w:pPr>
            <w:r w:rsidRPr="00D97F8C">
              <w:rPr>
                <w:rFonts w:ascii="Arial" w:hAnsi="Arial" w:cs="Arial"/>
                <w:b/>
                <w:sz w:val="20"/>
                <w:szCs w:val="20"/>
              </w:rPr>
              <w:t>Clarification question</w:t>
            </w:r>
          </w:p>
        </w:tc>
        <w:tc>
          <w:tcPr>
            <w:tcW w:w="3006" w:type="dxa"/>
          </w:tcPr>
          <w:p w14:paraId="5CEF31F9" w14:textId="77777777" w:rsidR="00FA2611" w:rsidRPr="00D97F8C" w:rsidRDefault="00FA2611" w:rsidP="00FA2611">
            <w:pPr>
              <w:rPr>
                <w:rFonts w:ascii="Arial" w:hAnsi="Arial" w:cs="Arial"/>
                <w:b/>
                <w:sz w:val="20"/>
                <w:szCs w:val="20"/>
              </w:rPr>
            </w:pPr>
            <w:r w:rsidRPr="00D97F8C">
              <w:rPr>
                <w:rFonts w:ascii="Arial" w:hAnsi="Arial" w:cs="Arial"/>
                <w:b/>
                <w:sz w:val="20"/>
                <w:szCs w:val="20"/>
              </w:rPr>
              <w:t>Authority’s response</w:t>
            </w:r>
          </w:p>
        </w:tc>
      </w:tr>
      <w:tr w:rsidR="00FA2611" w14:paraId="006977F9" w14:textId="77777777" w:rsidTr="00D97F8C">
        <w:tc>
          <w:tcPr>
            <w:tcW w:w="1555" w:type="dxa"/>
          </w:tcPr>
          <w:p w14:paraId="0CB02E79" w14:textId="77777777" w:rsidR="00FA2611" w:rsidRPr="004939CE" w:rsidRDefault="00FA2611" w:rsidP="00FA2611">
            <w:pPr>
              <w:rPr>
                <w:rFonts w:ascii="Arial" w:hAnsi="Arial" w:cs="Arial"/>
                <w:sz w:val="20"/>
                <w:szCs w:val="20"/>
              </w:rPr>
            </w:pPr>
            <w:r w:rsidRPr="004939CE">
              <w:rPr>
                <w:rFonts w:ascii="Arial" w:hAnsi="Arial" w:cs="Arial"/>
                <w:sz w:val="20"/>
                <w:szCs w:val="20"/>
              </w:rPr>
              <w:t>1</w:t>
            </w:r>
          </w:p>
        </w:tc>
        <w:tc>
          <w:tcPr>
            <w:tcW w:w="4455" w:type="dxa"/>
          </w:tcPr>
          <w:p w14:paraId="5DF39E03" w14:textId="4AB60551" w:rsidR="00FA2611" w:rsidRPr="00D97F8C" w:rsidRDefault="004939CE" w:rsidP="00543F18">
            <w:pPr>
              <w:rPr>
                <w:rFonts w:ascii="Arial" w:hAnsi="Arial" w:cs="Arial"/>
                <w:sz w:val="20"/>
                <w:szCs w:val="20"/>
              </w:rPr>
            </w:pPr>
            <w:r w:rsidRPr="00D97F8C">
              <w:rPr>
                <w:rFonts w:ascii="Arial" w:hAnsi="Arial" w:cs="Arial"/>
                <w:sz w:val="20"/>
                <w:szCs w:val="20"/>
              </w:rPr>
              <w:t xml:space="preserve"> Please could you clarify the </w:t>
            </w:r>
            <w:r w:rsidR="00FA2611" w:rsidRPr="00D97F8C">
              <w:rPr>
                <w:rFonts w:ascii="Arial" w:hAnsi="Arial" w:cs="Arial"/>
                <w:sz w:val="20"/>
                <w:szCs w:val="20"/>
              </w:rPr>
              <w:t>description for a score of 3 marks on page 67</w:t>
            </w:r>
            <w:r w:rsidRPr="00D97F8C">
              <w:rPr>
                <w:rFonts w:ascii="Arial" w:hAnsi="Arial" w:cs="Arial"/>
                <w:sz w:val="20"/>
                <w:szCs w:val="20"/>
              </w:rPr>
              <w:t>,</w:t>
            </w:r>
            <w:r w:rsidR="00FA2611" w:rsidRPr="00D97F8C">
              <w:rPr>
                <w:rFonts w:ascii="Arial" w:hAnsi="Arial" w:cs="Arial"/>
                <w:sz w:val="20"/>
                <w:szCs w:val="20"/>
              </w:rPr>
              <w:t xml:space="preserve"> </w:t>
            </w:r>
            <w:r w:rsidRPr="00D97F8C">
              <w:rPr>
                <w:rFonts w:ascii="Arial" w:hAnsi="Arial" w:cs="Arial"/>
                <w:sz w:val="20"/>
                <w:szCs w:val="20"/>
              </w:rPr>
              <w:t>in particular the final sentence.</w:t>
            </w:r>
          </w:p>
          <w:p w14:paraId="37CFCD7B" w14:textId="77777777" w:rsidR="004939CE" w:rsidRPr="00D97F8C" w:rsidRDefault="004939CE" w:rsidP="00543F18">
            <w:pPr>
              <w:rPr>
                <w:rFonts w:ascii="Arial" w:hAnsi="Arial" w:cs="Arial"/>
                <w:sz w:val="20"/>
                <w:szCs w:val="20"/>
              </w:rPr>
            </w:pPr>
          </w:p>
          <w:p w14:paraId="6F058EE8" w14:textId="3761A3A5" w:rsidR="00FA2611" w:rsidRPr="00D97F8C" w:rsidRDefault="00FA2611" w:rsidP="00543F18">
            <w:pPr>
              <w:rPr>
                <w:rFonts w:ascii="Arial" w:hAnsi="Arial" w:cs="Arial"/>
                <w:sz w:val="20"/>
                <w:szCs w:val="20"/>
                <w:lang w:eastAsia="en-GB"/>
              </w:rPr>
            </w:pPr>
            <w:r w:rsidRPr="00D97F8C">
              <w:rPr>
                <w:rFonts w:ascii="Arial" w:hAnsi="Arial" w:cs="Arial"/>
                <w:sz w:val="20"/>
                <w:szCs w:val="20"/>
              </w:rPr>
              <w:t xml:space="preserve"> ‘</w:t>
            </w:r>
            <w:r w:rsidRPr="00D97F8C">
              <w:rPr>
                <w:rFonts w:ascii="Arial" w:hAnsi="Arial" w:cs="Arial"/>
                <w:sz w:val="20"/>
                <w:szCs w:val="20"/>
                <w:lang w:eastAsia="en-GB"/>
              </w:rPr>
              <w:t>A score of 3 will reflect that the bidder has demonstrated a consistent and coherent approach to how their solution will meet and comply with the requirements covered by the evaluation question and the solution as described has a high probability of successful delivery. Any omission from the solution would not compromise the operational integrity of the service to be provided even though it does meet the full requirement of the specification.’</w:t>
            </w:r>
          </w:p>
          <w:p w14:paraId="43485F0E" w14:textId="77777777" w:rsidR="00FA2611" w:rsidRPr="00D97F8C" w:rsidRDefault="00FA2611" w:rsidP="00543F18">
            <w:pPr>
              <w:rPr>
                <w:rFonts w:ascii="Arial" w:hAnsi="Arial" w:cs="Arial"/>
                <w:sz w:val="20"/>
                <w:szCs w:val="20"/>
              </w:rPr>
            </w:pPr>
          </w:p>
          <w:p w14:paraId="49BC5F90" w14:textId="77777777" w:rsidR="00FA2611" w:rsidRPr="00D97F8C" w:rsidRDefault="00FA2611" w:rsidP="00543F18">
            <w:pPr>
              <w:rPr>
                <w:rFonts w:ascii="Arial" w:hAnsi="Arial" w:cs="Arial"/>
                <w:sz w:val="20"/>
                <w:szCs w:val="20"/>
              </w:rPr>
            </w:pPr>
          </w:p>
        </w:tc>
        <w:tc>
          <w:tcPr>
            <w:tcW w:w="3006" w:type="dxa"/>
          </w:tcPr>
          <w:p w14:paraId="6CA16370" w14:textId="1CC52336" w:rsidR="00FA2611" w:rsidRPr="00D97F8C" w:rsidRDefault="004939CE" w:rsidP="00543F18">
            <w:pPr>
              <w:rPr>
                <w:rFonts w:ascii="Arial" w:hAnsi="Arial" w:cs="Arial"/>
                <w:sz w:val="20"/>
                <w:szCs w:val="20"/>
              </w:rPr>
            </w:pPr>
            <w:r w:rsidRPr="00D97F8C">
              <w:rPr>
                <w:rFonts w:ascii="Arial" w:hAnsi="Arial" w:cs="Arial"/>
                <w:sz w:val="20"/>
                <w:szCs w:val="20"/>
              </w:rPr>
              <w:t>This description should read as follows</w:t>
            </w:r>
            <w:r w:rsidR="00FA2611" w:rsidRPr="00D97F8C">
              <w:rPr>
                <w:rFonts w:ascii="Arial" w:hAnsi="Arial" w:cs="Arial"/>
                <w:sz w:val="20"/>
                <w:szCs w:val="20"/>
              </w:rPr>
              <w:t>:</w:t>
            </w:r>
          </w:p>
          <w:p w14:paraId="0670BB19" w14:textId="77777777" w:rsidR="00FA2611" w:rsidRPr="00D97F8C" w:rsidRDefault="00FA2611" w:rsidP="00543F18">
            <w:pPr>
              <w:rPr>
                <w:rFonts w:ascii="Arial" w:hAnsi="Arial" w:cs="Arial"/>
                <w:sz w:val="20"/>
                <w:szCs w:val="20"/>
              </w:rPr>
            </w:pPr>
          </w:p>
          <w:p w14:paraId="4164F9A2" w14:textId="3E392AC3" w:rsidR="004939CE" w:rsidRPr="00D97F8C" w:rsidRDefault="004939CE" w:rsidP="00543F18">
            <w:pPr>
              <w:rPr>
                <w:rFonts w:ascii="Arial" w:hAnsi="Arial" w:cs="Arial"/>
                <w:sz w:val="20"/>
                <w:szCs w:val="20"/>
                <w:lang w:eastAsia="en-GB"/>
              </w:rPr>
            </w:pPr>
            <w:r w:rsidRPr="00D97F8C">
              <w:rPr>
                <w:rFonts w:ascii="Arial" w:hAnsi="Arial" w:cs="Arial"/>
                <w:sz w:val="20"/>
                <w:szCs w:val="20"/>
              </w:rPr>
              <w:t>‘</w:t>
            </w:r>
            <w:r w:rsidRPr="00D97F8C">
              <w:rPr>
                <w:rFonts w:ascii="Arial" w:hAnsi="Arial" w:cs="Arial"/>
                <w:sz w:val="20"/>
                <w:szCs w:val="20"/>
                <w:lang w:eastAsia="en-GB"/>
              </w:rPr>
              <w:t>A score of 3 will reflect that the bidder has demonstrated a consistent and coherent approach to how their solution will meet and comply with almost all of the requirements covered by the evaluation question and the solution as described has a high probability of successful delivery. Any omission from the solution would not compromise the operational integrity of the service to be provided even though it does not meet the full requirement</w:t>
            </w:r>
            <w:r w:rsidR="00297E52" w:rsidRPr="00D97F8C">
              <w:rPr>
                <w:rFonts w:ascii="Arial" w:hAnsi="Arial" w:cs="Arial"/>
                <w:sz w:val="20"/>
                <w:szCs w:val="20"/>
                <w:lang w:eastAsia="en-GB"/>
              </w:rPr>
              <w:t xml:space="preserve"> </w:t>
            </w:r>
            <w:r w:rsidRPr="00D97F8C">
              <w:rPr>
                <w:rFonts w:ascii="Arial" w:hAnsi="Arial" w:cs="Arial"/>
                <w:sz w:val="20"/>
                <w:szCs w:val="20"/>
                <w:lang w:eastAsia="en-GB"/>
              </w:rPr>
              <w:t>of the specification.’</w:t>
            </w:r>
          </w:p>
          <w:p w14:paraId="7DC470BB" w14:textId="77777777" w:rsidR="004939CE" w:rsidRPr="00D97F8C" w:rsidRDefault="004939CE" w:rsidP="00543F18">
            <w:pPr>
              <w:autoSpaceDE w:val="0"/>
              <w:spacing w:before="300"/>
              <w:rPr>
                <w:rFonts w:ascii="Arial" w:hAnsi="Arial" w:cs="Arial"/>
                <w:sz w:val="20"/>
                <w:szCs w:val="20"/>
                <w:lang w:eastAsia="en-GB"/>
              </w:rPr>
            </w:pPr>
            <w:r w:rsidRPr="00D97F8C">
              <w:rPr>
                <w:rFonts w:ascii="Arial" w:hAnsi="Arial" w:cs="Arial"/>
                <w:sz w:val="20"/>
                <w:szCs w:val="20"/>
                <w:lang w:eastAsia="en-GB"/>
              </w:rPr>
              <w:t>This has now been corrected on the website.</w:t>
            </w:r>
          </w:p>
          <w:p w14:paraId="7425B11D" w14:textId="77777777" w:rsidR="004939CE" w:rsidRPr="00D97F8C" w:rsidRDefault="004939CE" w:rsidP="00543F18">
            <w:pPr>
              <w:autoSpaceDE w:val="0"/>
              <w:spacing w:before="300"/>
              <w:rPr>
                <w:rFonts w:ascii="Arial" w:hAnsi="Arial" w:cs="Arial"/>
                <w:sz w:val="20"/>
                <w:szCs w:val="20"/>
                <w:lang w:eastAsia="en-GB"/>
              </w:rPr>
            </w:pPr>
          </w:p>
          <w:p w14:paraId="2DC667DA" w14:textId="7CA3B763" w:rsidR="00FA2611" w:rsidRPr="00D97F8C" w:rsidRDefault="00FA2611" w:rsidP="00543F18">
            <w:pPr>
              <w:rPr>
                <w:rFonts w:ascii="Arial" w:hAnsi="Arial" w:cs="Arial"/>
                <w:sz w:val="20"/>
                <w:szCs w:val="20"/>
                <w:lang w:eastAsia="en-GB"/>
              </w:rPr>
            </w:pPr>
          </w:p>
          <w:p w14:paraId="2F8AF1C2" w14:textId="77777777" w:rsidR="00FA2611" w:rsidRPr="00D97F8C" w:rsidRDefault="00FA2611" w:rsidP="00543F18">
            <w:pPr>
              <w:rPr>
                <w:rFonts w:ascii="Arial" w:hAnsi="Arial" w:cs="Arial"/>
                <w:sz w:val="20"/>
                <w:szCs w:val="20"/>
              </w:rPr>
            </w:pPr>
          </w:p>
        </w:tc>
      </w:tr>
      <w:tr w:rsidR="00FA2611" w14:paraId="5BB8B35A" w14:textId="77777777" w:rsidTr="00D97F8C">
        <w:tc>
          <w:tcPr>
            <w:tcW w:w="1555" w:type="dxa"/>
          </w:tcPr>
          <w:p w14:paraId="692C2C6C" w14:textId="2733D87E" w:rsidR="00FA2611" w:rsidRDefault="00792DAF" w:rsidP="00FA2611">
            <w:r>
              <w:t>2</w:t>
            </w:r>
          </w:p>
        </w:tc>
        <w:tc>
          <w:tcPr>
            <w:tcW w:w="4455" w:type="dxa"/>
          </w:tcPr>
          <w:p w14:paraId="5EB12871" w14:textId="5FD09453" w:rsidR="00FA2611" w:rsidRPr="00D97F8C" w:rsidRDefault="00792DAF" w:rsidP="00FA2611">
            <w:pPr>
              <w:rPr>
                <w:rFonts w:ascii="Arial" w:hAnsi="Arial" w:cs="Arial"/>
                <w:sz w:val="20"/>
                <w:szCs w:val="20"/>
              </w:rPr>
            </w:pPr>
            <w:r w:rsidRPr="00D97F8C">
              <w:rPr>
                <w:rFonts w:ascii="Arial" w:hAnsi="Arial" w:cs="Arial"/>
                <w:sz w:val="20"/>
                <w:szCs w:val="20"/>
              </w:rPr>
              <w:t>It states that the value of the contract is £15m. Can you confirm what this covers?</w:t>
            </w:r>
          </w:p>
        </w:tc>
        <w:tc>
          <w:tcPr>
            <w:tcW w:w="3006" w:type="dxa"/>
          </w:tcPr>
          <w:p w14:paraId="4D694CEB" w14:textId="737D613F" w:rsidR="00FA2611" w:rsidRPr="00D97F8C" w:rsidRDefault="00792DAF" w:rsidP="00FA2611">
            <w:pPr>
              <w:rPr>
                <w:rFonts w:ascii="Arial" w:hAnsi="Arial" w:cs="Arial"/>
                <w:sz w:val="20"/>
                <w:szCs w:val="20"/>
              </w:rPr>
            </w:pPr>
            <w:r w:rsidRPr="00D97F8C">
              <w:rPr>
                <w:rFonts w:ascii="Arial" w:hAnsi="Arial" w:cs="Arial"/>
                <w:sz w:val="20"/>
                <w:szCs w:val="20"/>
              </w:rPr>
              <w:t>The total value of the contract, £15m is intended to cover the 3 year contract period and the possible 2 year extension period, therefore covering 5 years in total.</w:t>
            </w:r>
          </w:p>
        </w:tc>
      </w:tr>
      <w:tr w:rsidR="004C5D19" w14:paraId="12E5DEC3" w14:textId="77777777" w:rsidTr="00D97F8C">
        <w:tc>
          <w:tcPr>
            <w:tcW w:w="1555" w:type="dxa"/>
          </w:tcPr>
          <w:p w14:paraId="569CFBFF" w14:textId="0829AEE6" w:rsidR="004C5D19" w:rsidRDefault="004C5D19" w:rsidP="004C5D19">
            <w:pPr>
              <w:rPr>
                <w:color w:val="1F497D"/>
                <w:lang w:val="en-US"/>
              </w:rPr>
            </w:pPr>
            <w:r>
              <w:t xml:space="preserve">3. </w:t>
            </w:r>
          </w:p>
          <w:p w14:paraId="76861821" w14:textId="1F2F3531" w:rsidR="004C5D19" w:rsidRDefault="004C5D19" w:rsidP="00FA2611"/>
        </w:tc>
        <w:tc>
          <w:tcPr>
            <w:tcW w:w="4455" w:type="dxa"/>
          </w:tcPr>
          <w:p w14:paraId="1158A5A0" w14:textId="10B70C68" w:rsidR="004C5D19" w:rsidRPr="00D97F8C" w:rsidRDefault="004C5D19" w:rsidP="00FA2611">
            <w:pPr>
              <w:rPr>
                <w:rFonts w:ascii="Arial" w:hAnsi="Arial" w:cs="Arial"/>
                <w:sz w:val="20"/>
                <w:szCs w:val="20"/>
              </w:rPr>
            </w:pPr>
            <w:r w:rsidRPr="00D97F8C">
              <w:rPr>
                <w:rFonts w:ascii="Arial" w:hAnsi="Arial" w:cs="Arial"/>
                <w:sz w:val="20"/>
                <w:szCs w:val="20"/>
                <w:lang w:val="en-US"/>
              </w:rPr>
              <w:t>Can I just check if you could advise me what differences there are between</w:t>
            </w:r>
            <w:r w:rsidR="00DB3708" w:rsidRPr="00D97F8C">
              <w:rPr>
                <w:rFonts w:ascii="Arial" w:hAnsi="Arial" w:cs="Arial"/>
                <w:sz w:val="20"/>
                <w:szCs w:val="20"/>
                <w:lang w:val="en-US"/>
              </w:rPr>
              <w:t> this</w:t>
            </w:r>
            <w:r w:rsidRPr="00D97F8C">
              <w:rPr>
                <w:rFonts w:ascii="Arial" w:hAnsi="Arial" w:cs="Arial"/>
                <w:sz w:val="20"/>
                <w:szCs w:val="20"/>
                <w:lang w:val="en-US"/>
              </w:rPr>
              <w:t xml:space="preserve"> Tender issue and the previous one? I am not clear why it was re-issued and what material differences there are? Is this a full Tender or an Request for Information?</w:t>
            </w:r>
          </w:p>
        </w:tc>
        <w:tc>
          <w:tcPr>
            <w:tcW w:w="3006" w:type="dxa"/>
          </w:tcPr>
          <w:p w14:paraId="5DDE72FF" w14:textId="4E4A28DE" w:rsidR="004C5D19" w:rsidRPr="00D97F8C" w:rsidRDefault="004C5D19" w:rsidP="00FA2611">
            <w:pPr>
              <w:rPr>
                <w:rFonts w:ascii="Arial" w:hAnsi="Arial" w:cs="Arial"/>
                <w:sz w:val="20"/>
                <w:szCs w:val="20"/>
              </w:rPr>
            </w:pPr>
            <w:r w:rsidRPr="00D97F8C">
              <w:rPr>
                <w:rFonts w:ascii="Arial" w:hAnsi="Arial" w:cs="Arial"/>
                <w:sz w:val="20"/>
                <w:szCs w:val="20"/>
              </w:rPr>
              <w:t>The newly published tender includes the policy changes announced on 14 February regarding changes to the lock-out period.</w:t>
            </w:r>
            <w:r w:rsidR="00DB3708" w:rsidRPr="00D97F8C">
              <w:rPr>
                <w:rFonts w:ascii="Arial" w:hAnsi="Arial" w:cs="Arial"/>
                <w:sz w:val="20"/>
                <w:szCs w:val="20"/>
              </w:rPr>
              <w:t xml:space="preserve"> Please see link for more details.</w:t>
            </w:r>
            <w:r w:rsidRPr="00D97F8C">
              <w:rPr>
                <w:rFonts w:ascii="Arial" w:hAnsi="Arial" w:cs="Arial"/>
                <w:sz w:val="20"/>
                <w:szCs w:val="20"/>
              </w:rPr>
              <w:t xml:space="preserve"> </w:t>
            </w:r>
            <w:hyperlink r:id="rId4" w:history="1">
              <w:r w:rsidRPr="00D97F8C">
                <w:rPr>
                  <w:rStyle w:val="Hyperlink"/>
                  <w:rFonts w:ascii="Arial" w:hAnsi="Arial" w:cs="Arial"/>
                  <w:color w:val="auto"/>
                  <w:sz w:val="20"/>
                  <w:szCs w:val="20"/>
                </w:rPr>
                <w:t>http://sta.education.gov.uk/</w:t>
              </w:r>
            </w:hyperlink>
          </w:p>
          <w:p w14:paraId="10D69384" w14:textId="220E0541" w:rsidR="004C5D19" w:rsidRPr="00D97F8C" w:rsidRDefault="004C5D19" w:rsidP="00FA2611">
            <w:pPr>
              <w:rPr>
                <w:rFonts w:ascii="Arial" w:hAnsi="Arial" w:cs="Arial"/>
                <w:sz w:val="20"/>
                <w:szCs w:val="20"/>
              </w:rPr>
            </w:pPr>
            <w:r w:rsidRPr="00D97F8C">
              <w:rPr>
                <w:rFonts w:ascii="Arial" w:hAnsi="Arial" w:cs="Arial"/>
                <w:sz w:val="20"/>
                <w:szCs w:val="20"/>
              </w:rPr>
              <w:t>The newly published ITT also incorporates answers to clarification</w:t>
            </w:r>
            <w:r w:rsidR="00DB3708" w:rsidRPr="00D97F8C">
              <w:rPr>
                <w:rFonts w:ascii="Arial" w:hAnsi="Arial" w:cs="Arial"/>
                <w:sz w:val="20"/>
                <w:szCs w:val="20"/>
              </w:rPr>
              <w:t xml:space="preserve"> questions submitted by potential bidders when the ITT was initially published in January. It is the bidders responsibility to review the differences between the previously published and current ITT.</w:t>
            </w:r>
            <w:r w:rsidR="00865AC0" w:rsidRPr="00D97F8C">
              <w:rPr>
                <w:rFonts w:ascii="Arial" w:hAnsi="Arial" w:cs="Arial"/>
                <w:sz w:val="20"/>
                <w:szCs w:val="20"/>
              </w:rPr>
              <w:t xml:space="preserve"> This is a full tender</w:t>
            </w:r>
          </w:p>
        </w:tc>
      </w:tr>
      <w:tr w:rsidR="00D97F8C" w14:paraId="709BB8D1" w14:textId="77777777" w:rsidTr="005D4823">
        <w:tc>
          <w:tcPr>
            <w:tcW w:w="1555" w:type="dxa"/>
          </w:tcPr>
          <w:p w14:paraId="798432D0" w14:textId="09CEC2E4" w:rsidR="00D97F8C" w:rsidRDefault="00D97F8C" w:rsidP="00D97F8C">
            <w:r>
              <w:t>4</w:t>
            </w:r>
          </w:p>
        </w:tc>
        <w:tc>
          <w:tcPr>
            <w:tcW w:w="4455" w:type="dxa"/>
            <w:tcBorders>
              <w:top w:val="single" w:sz="4" w:space="0" w:color="auto"/>
              <w:left w:val="single" w:sz="4" w:space="0" w:color="auto"/>
              <w:bottom w:val="single" w:sz="4" w:space="0" w:color="auto"/>
              <w:right w:val="single" w:sz="4" w:space="0" w:color="auto"/>
            </w:tcBorders>
            <w:shd w:val="clear" w:color="auto" w:fill="auto"/>
          </w:tcPr>
          <w:p w14:paraId="5F9E4F78" w14:textId="22C11989" w:rsidR="00D97F8C" w:rsidRPr="00D97F8C" w:rsidRDefault="00D97F8C" w:rsidP="00D97F8C">
            <w:pPr>
              <w:rPr>
                <w:rFonts w:ascii="Arial" w:hAnsi="Arial" w:cs="Arial"/>
                <w:sz w:val="20"/>
                <w:szCs w:val="20"/>
                <w:lang w:val="en-US"/>
              </w:rPr>
            </w:pPr>
            <w:r w:rsidRPr="00D97F8C">
              <w:rPr>
                <w:rFonts w:ascii="Arial" w:hAnsi="Arial" w:cs="Arial"/>
                <w:color w:val="000000"/>
                <w:sz w:val="20"/>
                <w:szCs w:val="20"/>
              </w:rPr>
              <w:t>Please can the Authority provide the data, modelling and maps that provide the underlying detail to the stated average travel time of 39 minutes?</w:t>
            </w:r>
          </w:p>
        </w:tc>
        <w:tc>
          <w:tcPr>
            <w:tcW w:w="3006" w:type="dxa"/>
            <w:tcBorders>
              <w:top w:val="single" w:sz="4" w:space="0" w:color="auto"/>
              <w:left w:val="nil"/>
              <w:bottom w:val="single" w:sz="4" w:space="0" w:color="auto"/>
              <w:right w:val="single" w:sz="4" w:space="0" w:color="auto"/>
            </w:tcBorders>
            <w:shd w:val="clear" w:color="auto" w:fill="auto"/>
          </w:tcPr>
          <w:p w14:paraId="575B9CD0" w14:textId="1EAA6419" w:rsidR="00D97F8C" w:rsidRPr="00D97F8C" w:rsidRDefault="00D97F8C" w:rsidP="00D97F8C">
            <w:pPr>
              <w:rPr>
                <w:rFonts w:ascii="Arial" w:hAnsi="Arial" w:cs="Arial"/>
                <w:sz w:val="20"/>
                <w:szCs w:val="20"/>
              </w:rPr>
            </w:pPr>
            <w:r w:rsidRPr="00D97F8C">
              <w:rPr>
                <w:rFonts w:ascii="Arial" w:hAnsi="Arial" w:cs="Arial"/>
                <w:color w:val="000000"/>
                <w:sz w:val="20"/>
                <w:szCs w:val="20"/>
              </w:rPr>
              <w:t>The Authority are unable to provide this information. This will be for the supplier to formulate based on their test centre network and locations.</w:t>
            </w:r>
          </w:p>
        </w:tc>
      </w:tr>
      <w:tr w:rsidR="00D97F8C" w14:paraId="19154E96" w14:textId="77777777" w:rsidTr="005D4823">
        <w:tc>
          <w:tcPr>
            <w:tcW w:w="1555" w:type="dxa"/>
          </w:tcPr>
          <w:p w14:paraId="719F5571" w14:textId="4A14E538" w:rsidR="00D97F8C" w:rsidRDefault="00D97F8C" w:rsidP="00D97F8C">
            <w:r>
              <w:t>5</w:t>
            </w:r>
          </w:p>
        </w:tc>
        <w:tc>
          <w:tcPr>
            <w:tcW w:w="4455" w:type="dxa"/>
            <w:tcBorders>
              <w:top w:val="nil"/>
              <w:left w:val="single" w:sz="4" w:space="0" w:color="auto"/>
              <w:bottom w:val="single" w:sz="4" w:space="0" w:color="auto"/>
              <w:right w:val="single" w:sz="4" w:space="0" w:color="auto"/>
            </w:tcBorders>
            <w:shd w:val="clear" w:color="auto" w:fill="auto"/>
          </w:tcPr>
          <w:p w14:paraId="089DBE93" w14:textId="5402FB26" w:rsidR="00D97F8C" w:rsidRPr="00D97F8C" w:rsidRDefault="00D97F8C" w:rsidP="00D97F8C">
            <w:pPr>
              <w:rPr>
                <w:rFonts w:ascii="Arial" w:hAnsi="Arial" w:cs="Arial"/>
                <w:sz w:val="20"/>
                <w:szCs w:val="20"/>
                <w:lang w:val="en-US"/>
              </w:rPr>
            </w:pPr>
            <w:r w:rsidRPr="00D97F8C">
              <w:rPr>
                <w:rFonts w:ascii="Arial" w:hAnsi="Arial" w:cs="Arial"/>
                <w:color w:val="000000"/>
                <w:sz w:val="20"/>
                <w:szCs w:val="20"/>
              </w:rPr>
              <w:t xml:space="preserve">Please can the Authority advise if the costs of supplying ad-hoc high-level data and ad-hoc </w:t>
            </w:r>
            <w:r w:rsidRPr="00D97F8C">
              <w:rPr>
                <w:rFonts w:ascii="Arial" w:hAnsi="Arial" w:cs="Arial"/>
                <w:color w:val="000000"/>
                <w:sz w:val="20"/>
                <w:szCs w:val="20"/>
              </w:rPr>
              <w:lastRenderedPageBreak/>
              <w:t>reports need to be included within the costings, or billed separately?</w:t>
            </w:r>
          </w:p>
        </w:tc>
        <w:tc>
          <w:tcPr>
            <w:tcW w:w="3006" w:type="dxa"/>
            <w:tcBorders>
              <w:top w:val="nil"/>
              <w:left w:val="nil"/>
              <w:bottom w:val="single" w:sz="4" w:space="0" w:color="auto"/>
              <w:right w:val="single" w:sz="4" w:space="0" w:color="auto"/>
            </w:tcBorders>
            <w:shd w:val="clear" w:color="auto" w:fill="auto"/>
          </w:tcPr>
          <w:p w14:paraId="26A4BDE2" w14:textId="0C62EC6E" w:rsidR="00D97F8C" w:rsidRPr="00D97F8C" w:rsidRDefault="00D97F8C" w:rsidP="00D97F8C">
            <w:pPr>
              <w:rPr>
                <w:rFonts w:ascii="Arial" w:hAnsi="Arial" w:cs="Arial"/>
                <w:sz w:val="20"/>
                <w:szCs w:val="20"/>
              </w:rPr>
            </w:pPr>
            <w:r w:rsidRPr="00D97F8C">
              <w:rPr>
                <w:rFonts w:ascii="Arial" w:hAnsi="Arial" w:cs="Arial"/>
                <w:color w:val="000000"/>
                <w:sz w:val="20"/>
                <w:szCs w:val="20"/>
              </w:rPr>
              <w:lastRenderedPageBreak/>
              <w:t xml:space="preserve">These will need to be included in the costings. However, the </w:t>
            </w:r>
            <w:r w:rsidRPr="00D97F8C">
              <w:rPr>
                <w:rFonts w:ascii="Arial" w:hAnsi="Arial" w:cs="Arial"/>
                <w:color w:val="000000"/>
                <w:sz w:val="20"/>
                <w:szCs w:val="20"/>
              </w:rPr>
              <w:lastRenderedPageBreak/>
              <w:t>authority would not expect to be charged for small requests.</w:t>
            </w:r>
          </w:p>
        </w:tc>
      </w:tr>
      <w:tr w:rsidR="00D97F8C" w14:paraId="55DE11E0" w14:textId="77777777" w:rsidTr="005D4823">
        <w:tc>
          <w:tcPr>
            <w:tcW w:w="1555" w:type="dxa"/>
          </w:tcPr>
          <w:p w14:paraId="1C0669F1" w14:textId="4F83BFD3" w:rsidR="00D97F8C" w:rsidRDefault="00D97F8C" w:rsidP="00D97F8C">
            <w:r>
              <w:lastRenderedPageBreak/>
              <w:t>6</w:t>
            </w:r>
          </w:p>
        </w:tc>
        <w:tc>
          <w:tcPr>
            <w:tcW w:w="4455" w:type="dxa"/>
            <w:tcBorders>
              <w:top w:val="nil"/>
              <w:left w:val="single" w:sz="4" w:space="0" w:color="auto"/>
              <w:bottom w:val="single" w:sz="4" w:space="0" w:color="auto"/>
              <w:right w:val="single" w:sz="4" w:space="0" w:color="auto"/>
            </w:tcBorders>
            <w:shd w:val="clear" w:color="auto" w:fill="auto"/>
          </w:tcPr>
          <w:p w14:paraId="3D1B0204" w14:textId="08D8055D" w:rsidR="00D97F8C" w:rsidRPr="00D97F8C" w:rsidRDefault="00D97F8C" w:rsidP="00D97F8C">
            <w:pPr>
              <w:rPr>
                <w:rFonts w:ascii="Arial" w:hAnsi="Arial" w:cs="Arial"/>
                <w:sz w:val="20"/>
                <w:szCs w:val="20"/>
                <w:lang w:val="en-US"/>
              </w:rPr>
            </w:pPr>
            <w:r w:rsidRPr="00D97F8C">
              <w:rPr>
                <w:rFonts w:ascii="Arial" w:hAnsi="Arial" w:cs="Arial"/>
                <w:color w:val="000000"/>
                <w:sz w:val="20"/>
                <w:szCs w:val="20"/>
              </w:rPr>
              <w:t>Does the engagement of third-party test centres constitute "use of sub-contractors" within the scope of this question?</w:t>
            </w:r>
          </w:p>
        </w:tc>
        <w:tc>
          <w:tcPr>
            <w:tcW w:w="3006" w:type="dxa"/>
            <w:tcBorders>
              <w:top w:val="nil"/>
              <w:left w:val="nil"/>
              <w:bottom w:val="single" w:sz="4" w:space="0" w:color="auto"/>
              <w:right w:val="single" w:sz="4" w:space="0" w:color="auto"/>
            </w:tcBorders>
            <w:shd w:val="clear" w:color="auto" w:fill="auto"/>
          </w:tcPr>
          <w:p w14:paraId="50292786" w14:textId="34B2EEE6" w:rsidR="00D97F8C" w:rsidRPr="00D97F8C" w:rsidRDefault="00D97F8C" w:rsidP="00D97F8C">
            <w:pPr>
              <w:rPr>
                <w:rFonts w:ascii="Arial" w:hAnsi="Arial" w:cs="Arial"/>
                <w:sz w:val="20"/>
                <w:szCs w:val="20"/>
              </w:rPr>
            </w:pPr>
            <w:r w:rsidRPr="00D97F8C">
              <w:rPr>
                <w:rFonts w:ascii="Arial" w:hAnsi="Arial" w:cs="Arial"/>
                <w:color w:val="000000"/>
                <w:sz w:val="20"/>
                <w:szCs w:val="20"/>
              </w:rPr>
              <w:t>Yes</w:t>
            </w:r>
          </w:p>
        </w:tc>
      </w:tr>
      <w:tr w:rsidR="00D97F8C" w14:paraId="50581F40" w14:textId="77777777" w:rsidTr="005D4823">
        <w:tc>
          <w:tcPr>
            <w:tcW w:w="1555" w:type="dxa"/>
          </w:tcPr>
          <w:p w14:paraId="00F6FC83" w14:textId="649EA1D2" w:rsidR="00D97F8C" w:rsidRDefault="00D97F8C" w:rsidP="00D97F8C">
            <w:r>
              <w:t>7</w:t>
            </w:r>
          </w:p>
        </w:tc>
        <w:tc>
          <w:tcPr>
            <w:tcW w:w="4455" w:type="dxa"/>
            <w:tcBorders>
              <w:top w:val="nil"/>
              <w:left w:val="single" w:sz="4" w:space="0" w:color="auto"/>
              <w:bottom w:val="single" w:sz="4" w:space="0" w:color="auto"/>
              <w:right w:val="single" w:sz="4" w:space="0" w:color="auto"/>
            </w:tcBorders>
            <w:shd w:val="clear" w:color="000000" w:fill="FFFFFF"/>
          </w:tcPr>
          <w:p w14:paraId="1E41D66E" w14:textId="34138321" w:rsidR="00D97F8C" w:rsidRPr="00D97F8C" w:rsidRDefault="00D97F8C" w:rsidP="00D97F8C">
            <w:pPr>
              <w:rPr>
                <w:rFonts w:ascii="Arial" w:hAnsi="Arial" w:cs="Arial"/>
                <w:sz w:val="20"/>
                <w:szCs w:val="20"/>
                <w:lang w:val="en-US"/>
              </w:rPr>
            </w:pPr>
            <w:r w:rsidRPr="00D97F8C">
              <w:rPr>
                <w:rFonts w:ascii="Arial" w:hAnsi="Arial" w:cs="Arial"/>
                <w:color w:val="000000"/>
                <w:sz w:val="20"/>
                <w:szCs w:val="20"/>
              </w:rPr>
              <w:t>Please can the authority confirm where the processing will be taking place (in regards to GDPR processing) given that there is a requirement to have EU test centres?</w:t>
            </w:r>
          </w:p>
        </w:tc>
        <w:tc>
          <w:tcPr>
            <w:tcW w:w="3006" w:type="dxa"/>
            <w:tcBorders>
              <w:top w:val="nil"/>
              <w:left w:val="nil"/>
              <w:bottom w:val="single" w:sz="4" w:space="0" w:color="auto"/>
              <w:right w:val="single" w:sz="4" w:space="0" w:color="auto"/>
            </w:tcBorders>
            <w:shd w:val="clear" w:color="000000" w:fill="FFFFFF"/>
          </w:tcPr>
          <w:p w14:paraId="5ECBED36" w14:textId="79EBC2D7" w:rsidR="00D97F8C" w:rsidRPr="00D97F8C" w:rsidRDefault="00D97F8C" w:rsidP="00D97F8C">
            <w:pPr>
              <w:rPr>
                <w:rFonts w:ascii="Arial" w:hAnsi="Arial" w:cs="Arial"/>
                <w:sz w:val="20"/>
                <w:szCs w:val="20"/>
              </w:rPr>
            </w:pPr>
            <w:r w:rsidRPr="00D97F8C">
              <w:rPr>
                <w:rFonts w:ascii="Arial" w:hAnsi="Arial" w:cs="Arial"/>
                <w:color w:val="000000"/>
                <w:sz w:val="20"/>
                <w:szCs w:val="20"/>
              </w:rPr>
              <w:t xml:space="preserve">The Authority's preference is that processing takes place within the EU however this is not essential. If a potential supplier would choose process outside of the EU, then the Authority would need to be satisfied with the compliance mechanisms put in place by a Bidder to meet the requirements of the GDPR and that the Bidder was able to meet the conditions set out in clause 1.4(d) before it could conclude a contract with that Bidder. </w:t>
            </w:r>
          </w:p>
        </w:tc>
      </w:tr>
      <w:tr w:rsidR="00D97F8C" w14:paraId="16898838" w14:textId="77777777" w:rsidTr="005D4823">
        <w:tc>
          <w:tcPr>
            <w:tcW w:w="1555" w:type="dxa"/>
          </w:tcPr>
          <w:p w14:paraId="5FB3A853" w14:textId="182C6357" w:rsidR="00D97F8C" w:rsidRDefault="00D97F8C" w:rsidP="00D97F8C">
            <w:r>
              <w:t>8</w:t>
            </w:r>
          </w:p>
        </w:tc>
        <w:tc>
          <w:tcPr>
            <w:tcW w:w="4455" w:type="dxa"/>
            <w:tcBorders>
              <w:top w:val="nil"/>
              <w:left w:val="single" w:sz="4" w:space="0" w:color="auto"/>
              <w:bottom w:val="single" w:sz="4" w:space="0" w:color="auto"/>
              <w:right w:val="single" w:sz="4" w:space="0" w:color="auto"/>
            </w:tcBorders>
            <w:shd w:val="clear" w:color="auto" w:fill="auto"/>
          </w:tcPr>
          <w:p w14:paraId="0A4D5C56" w14:textId="08510D7A" w:rsidR="00D97F8C" w:rsidRPr="00D97F8C" w:rsidRDefault="00D97F8C" w:rsidP="00D97F8C">
            <w:pPr>
              <w:rPr>
                <w:rFonts w:ascii="Arial" w:hAnsi="Arial" w:cs="Arial"/>
                <w:sz w:val="20"/>
                <w:szCs w:val="20"/>
                <w:lang w:val="en-US"/>
              </w:rPr>
            </w:pPr>
            <w:r w:rsidRPr="00D97F8C">
              <w:rPr>
                <w:rFonts w:ascii="Arial" w:hAnsi="Arial" w:cs="Arial"/>
                <w:color w:val="000000"/>
                <w:sz w:val="20"/>
                <w:szCs w:val="20"/>
              </w:rPr>
              <w:t>Please can the authority please detail what it considers appropriate controls when dealing with removable or hardcopy of authorities data?</w:t>
            </w:r>
          </w:p>
        </w:tc>
        <w:tc>
          <w:tcPr>
            <w:tcW w:w="3006" w:type="dxa"/>
            <w:tcBorders>
              <w:top w:val="nil"/>
              <w:left w:val="nil"/>
              <w:bottom w:val="single" w:sz="4" w:space="0" w:color="auto"/>
              <w:right w:val="single" w:sz="4" w:space="0" w:color="auto"/>
            </w:tcBorders>
            <w:shd w:val="clear" w:color="auto" w:fill="auto"/>
          </w:tcPr>
          <w:p w14:paraId="54DBFD19" w14:textId="06A23733" w:rsidR="00D97F8C" w:rsidRPr="00D97F8C" w:rsidRDefault="00D97F8C" w:rsidP="00D97F8C">
            <w:pPr>
              <w:rPr>
                <w:rFonts w:ascii="Arial" w:hAnsi="Arial" w:cs="Arial"/>
                <w:sz w:val="20"/>
                <w:szCs w:val="20"/>
              </w:rPr>
            </w:pPr>
            <w:r w:rsidRPr="00D97F8C">
              <w:rPr>
                <w:rFonts w:ascii="Arial" w:hAnsi="Arial" w:cs="Arial"/>
                <w:color w:val="000000"/>
                <w:sz w:val="20"/>
                <w:szCs w:val="20"/>
              </w:rPr>
              <w:t>The authority consider controls that ensure the integrity and security of the data as 'appropriate controls'.</w:t>
            </w:r>
          </w:p>
        </w:tc>
      </w:tr>
      <w:tr w:rsidR="00D97F8C" w14:paraId="5A23FF5D" w14:textId="77777777" w:rsidTr="005D4823">
        <w:tc>
          <w:tcPr>
            <w:tcW w:w="1555" w:type="dxa"/>
          </w:tcPr>
          <w:p w14:paraId="353B818B" w14:textId="6017A859" w:rsidR="00D97F8C" w:rsidRDefault="00D97F8C" w:rsidP="00D97F8C">
            <w:r>
              <w:t>9</w:t>
            </w:r>
          </w:p>
        </w:tc>
        <w:tc>
          <w:tcPr>
            <w:tcW w:w="4455" w:type="dxa"/>
            <w:tcBorders>
              <w:top w:val="nil"/>
              <w:left w:val="single" w:sz="4" w:space="0" w:color="auto"/>
              <w:bottom w:val="single" w:sz="4" w:space="0" w:color="auto"/>
              <w:right w:val="single" w:sz="4" w:space="0" w:color="auto"/>
            </w:tcBorders>
            <w:shd w:val="clear" w:color="auto" w:fill="auto"/>
          </w:tcPr>
          <w:p w14:paraId="46E589FC" w14:textId="36844CC7" w:rsidR="00D97F8C" w:rsidRPr="00D97F8C" w:rsidRDefault="00D97F8C" w:rsidP="00D97F8C">
            <w:pPr>
              <w:rPr>
                <w:rFonts w:ascii="Arial" w:hAnsi="Arial" w:cs="Arial"/>
                <w:sz w:val="20"/>
                <w:szCs w:val="20"/>
                <w:lang w:val="en-US"/>
              </w:rPr>
            </w:pPr>
            <w:r w:rsidRPr="00D97F8C">
              <w:rPr>
                <w:rFonts w:ascii="Arial" w:hAnsi="Arial" w:cs="Arial"/>
                <w:color w:val="000000"/>
                <w:sz w:val="20"/>
                <w:szCs w:val="20"/>
              </w:rPr>
              <w:t>Are we able to see any further breakdown of calls handled by the call centre? e.g. Average handle time per transaction, call arrival patters broken down by month.?</w:t>
            </w:r>
          </w:p>
        </w:tc>
        <w:tc>
          <w:tcPr>
            <w:tcW w:w="3006" w:type="dxa"/>
            <w:tcBorders>
              <w:top w:val="nil"/>
              <w:left w:val="nil"/>
              <w:bottom w:val="single" w:sz="4" w:space="0" w:color="auto"/>
              <w:right w:val="single" w:sz="4" w:space="0" w:color="auto"/>
            </w:tcBorders>
            <w:shd w:val="clear" w:color="auto" w:fill="auto"/>
          </w:tcPr>
          <w:p w14:paraId="6EEB763D" w14:textId="3D9A3608" w:rsidR="00D97F8C" w:rsidRPr="00D97F8C" w:rsidRDefault="00D97F8C" w:rsidP="00D97F8C">
            <w:pPr>
              <w:rPr>
                <w:rFonts w:ascii="Arial" w:hAnsi="Arial" w:cs="Arial"/>
                <w:sz w:val="20"/>
                <w:szCs w:val="20"/>
              </w:rPr>
            </w:pPr>
            <w:r w:rsidRPr="00D97F8C">
              <w:rPr>
                <w:rFonts w:ascii="Arial" w:hAnsi="Arial" w:cs="Arial"/>
                <w:color w:val="000000"/>
                <w:sz w:val="20"/>
                <w:szCs w:val="20"/>
              </w:rPr>
              <w:t xml:space="preserve">The number of calls received in 2017 are as follows: January: 2,973; February:3,212; March: 3,407; April: 2,808; May: 3,509; Jun: 4,087; July: 4,662; August:4,837; September: 2,711; October: 1,967; November: 1,672; December: 1,313 . The year total is 37,158. 36,958 calls were answered by an IVR. For average handle time per transaction, we do not hold this information.                 </w:t>
            </w:r>
          </w:p>
        </w:tc>
      </w:tr>
      <w:tr w:rsidR="00D97F8C" w14:paraId="6E5736B4" w14:textId="77777777" w:rsidTr="005D4823">
        <w:tc>
          <w:tcPr>
            <w:tcW w:w="1555" w:type="dxa"/>
          </w:tcPr>
          <w:p w14:paraId="69B46E35" w14:textId="178DFFC7" w:rsidR="00D97F8C" w:rsidRDefault="00D97F8C" w:rsidP="00D97F8C">
            <w:r>
              <w:t>10</w:t>
            </w:r>
          </w:p>
        </w:tc>
        <w:tc>
          <w:tcPr>
            <w:tcW w:w="4455" w:type="dxa"/>
            <w:tcBorders>
              <w:top w:val="nil"/>
              <w:left w:val="single" w:sz="4" w:space="0" w:color="auto"/>
              <w:bottom w:val="single" w:sz="4" w:space="0" w:color="auto"/>
              <w:right w:val="single" w:sz="4" w:space="0" w:color="auto"/>
            </w:tcBorders>
            <w:shd w:val="clear" w:color="auto" w:fill="auto"/>
          </w:tcPr>
          <w:p w14:paraId="49F4E61B" w14:textId="6A89E330" w:rsidR="00D97F8C" w:rsidRPr="00D97F8C" w:rsidRDefault="00D97F8C" w:rsidP="00D97F8C">
            <w:pPr>
              <w:rPr>
                <w:rFonts w:ascii="Arial" w:hAnsi="Arial" w:cs="Arial"/>
                <w:sz w:val="20"/>
                <w:szCs w:val="20"/>
                <w:lang w:val="en-US"/>
              </w:rPr>
            </w:pPr>
            <w:r w:rsidRPr="00D97F8C">
              <w:rPr>
                <w:rFonts w:ascii="Arial" w:hAnsi="Arial" w:cs="Arial"/>
                <w:color w:val="000000"/>
                <w:sz w:val="20"/>
                <w:szCs w:val="20"/>
              </w:rPr>
              <w:t>Are there any specific enhancements on the call centre required to support  callers with special needs?</w:t>
            </w:r>
          </w:p>
        </w:tc>
        <w:tc>
          <w:tcPr>
            <w:tcW w:w="3006" w:type="dxa"/>
            <w:tcBorders>
              <w:top w:val="nil"/>
              <w:left w:val="nil"/>
              <w:bottom w:val="single" w:sz="4" w:space="0" w:color="auto"/>
              <w:right w:val="single" w:sz="4" w:space="0" w:color="auto"/>
            </w:tcBorders>
            <w:shd w:val="clear" w:color="auto" w:fill="auto"/>
          </w:tcPr>
          <w:p w14:paraId="532C8781" w14:textId="4242CBB7" w:rsidR="00D97F8C" w:rsidRPr="00D97F8C" w:rsidRDefault="00D97F8C" w:rsidP="00D97F8C">
            <w:pPr>
              <w:rPr>
                <w:rFonts w:ascii="Arial" w:hAnsi="Arial" w:cs="Arial"/>
                <w:sz w:val="20"/>
                <w:szCs w:val="20"/>
              </w:rPr>
            </w:pPr>
            <w:r w:rsidRPr="00D97F8C">
              <w:rPr>
                <w:rFonts w:ascii="Arial" w:hAnsi="Arial" w:cs="Arial"/>
                <w:color w:val="000000"/>
                <w:sz w:val="20"/>
                <w:szCs w:val="20"/>
              </w:rPr>
              <w:t xml:space="preserve">There are no specific requirements beyond the industry standard. </w:t>
            </w:r>
          </w:p>
        </w:tc>
      </w:tr>
      <w:tr w:rsidR="00D97F8C" w14:paraId="11AD03AD" w14:textId="77777777" w:rsidTr="005D4823">
        <w:tc>
          <w:tcPr>
            <w:tcW w:w="1555" w:type="dxa"/>
          </w:tcPr>
          <w:p w14:paraId="22DA853D" w14:textId="79E0DB1C" w:rsidR="00D97F8C" w:rsidRDefault="00D97F8C" w:rsidP="00D97F8C">
            <w:r>
              <w:t>11</w:t>
            </w:r>
          </w:p>
        </w:tc>
        <w:tc>
          <w:tcPr>
            <w:tcW w:w="4455" w:type="dxa"/>
            <w:tcBorders>
              <w:top w:val="nil"/>
              <w:left w:val="single" w:sz="4" w:space="0" w:color="auto"/>
              <w:bottom w:val="single" w:sz="4" w:space="0" w:color="auto"/>
              <w:right w:val="single" w:sz="4" w:space="0" w:color="auto"/>
            </w:tcBorders>
            <w:shd w:val="clear" w:color="auto" w:fill="auto"/>
          </w:tcPr>
          <w:p w14:paraId="343633BA" w14:textId="532D1E9B" w:rsidR="00D97F8C" w:rsidRPr="00D97F8C" w:rsidRDefault="00D97F8C" w:rsidP="00D97F8C">
            <w:pPr>
              <w:rPr>
                <w:rFonts w:ascii="Arial" w:hAnsi="Arial" w:cs="Arial"/>
                <w:sz w:val="20"/>
                <w:szCs w:val="20"/>
                <w:lang w:val="en-US"/>
              </w:rPr>
            </w:pPr>
            <w:r w:rsidRPr="00D97F8C">
              <w:rPr>
                <w:rFonts w:ascii="Arial" w:hAnsi="Arial" w:cs="Arial"/>
                <w:color w:val="000000"/>
                <w:sz w:val="20"/>
                <w:szCs w:val="20"/>
              </w:rPr>
              <w:t>Is English the only language needed by the call centre?</w:t>
            </w:r>
          </w:p>
        </w:tc>
        <w:tc>
          <w:tcPr>
            <w:tcW w:w="3006" w:type="dxa"/>
            <w:tcBorders>
              <w:top w:val="nil"/>
              <w:left w:val="nil"/>
              <w:bottom w:val="single" w:sz="4" w:space="0" w:color="auto"/>
              <w:right w:val="single" w:sz="4" w:space="0" w:color="auto"/>
            </w:tcBorders>
            <w:shd w:val="clear" w:color="auto" w:fill="auto"/>
          </w:tcPr>
          <w:p w14:paraId="1E6B33C0" w14:textId="03FC1C93" w:rsidR="00D97F8C" w:rsidRPr="00D97F8C" w:rsidRDefault="00D97F8C" w:rsidP="00D97F8C">
            <w:pPr>
              <w:rPr>
                <w:rFonts w:ascii="Arial" w:hAnsi="Arial" w:cs="Arial"/>
                <w:sz w:val="20"/>
                <w:szCs w:val="20"/>
              </w:rPr>
            </w:pPr>
            <w:r w:rsidRPr="00D97F8C">
              <w:rPr>
                <w:rFonts w:ascii="Arial" w:hAnsi="Arial" w:cs="Arial"/>
                <w:color w:val="000000"/>
                <w:sz w:val="20"/>
                <w:szCs w:val="20"/>
              </w:rPr>
              <w:t>Yes</w:t>
            </w:r>
          </w:p>
        </w:tc>
      </w:tr>
      <w:tr w:rsidR="00D97F8C" w14:paraId="6ECF8705" w14:textId="77777777" w:rsidTr="005D4823">
        <w:tc>
          <w:tcPr>
            <w:tcW w:w="1555" w:type="dxa"/>
          </w:tcPr>
          <w:p w14:paraId="3572BCCB" w14:textId="29141F28" w:rsidR="00D97F8C" w:rsidRDefault="00D97F8C" w:rsidP="00D97F8C">
            <w:r>
              <w:t>12</w:t>
            </w:r>
          </w:p>
        </w:tc>
        <w:tc>
          <w:tcPr>
            <w:tcW w:w="4455" w:type="dxa"/>
            <w:tcBorders>
              <w:top w:val="nil"/>
              <w:left w:val="single" w:sz="4" w:space="0" w:color="auto"/>
              <w:bottom w:val="single" w:sz="4" w:space="0" w:color="auto"/>
              <w:right w:val="single" w:sz="4" w:space="0" w:color="auto"/>
            </w:tcBorders>
            <w:shd w:val="clear" w:color="auto" w:fill="auto"/>
          </w:tcPr>
          <w:p w14:paraId="0DC19363" w14:textId="53201681" w:rsidR="00D97F8C" w:rsidRPr="00D97F8C" w:rsidRDefault="00D97F8C" w:rsidP="00D97F8C">
            <w:pPr>
              <w:rPr>
                <w:rFonts w:ascii="Arial" w:hAnsi="Arial" w:cs="Arial"/>
                <w:sz w:val="20"/>
                <w:szCs w:val="20"/>
                <w:lang w:val="en-US"/>
              </w:rPr>
            </w:pPr>
            <w:r w:rsidRPr="00D97F8C">
              <w:rPr>
                <w:rFonts w:ascii="Arial" w:hAnsi="Arial" w:cs="Arial"/>
                <w:color w:val="000000"/>
                <w:sz w:val="20"/>
                <w:szCs w:val="20"/>
              </w:rPr>
              <w:t>Please can the Authority share any further detail regarding most frequently asked questions coming into the telephone helpline?</w:t>
            </w:r>
          </w:p>
        </w:tc>
        <w:tc>
          <w:tcPr>
            <w:tcW w:w="3006" w:type="dxa"/>
            <w:tcBorders>
              <w:top w:val="nil"/>
              <w:left w:val="nil"/>
              <w:bottom w:val="single" w:sz="4" w:space="0" w:color="auto"/>
              <w:right w:val="single" w:sz="4" w:space="0" w:color="auto"/>
            </w:tcBorders>
            <w:shd w:val="clear" w:color="auto" w:fill="auto"/>
          </w:tcPr>
          <w:p w14:paraId="563FF60F" w14:textId="6B4DF746" w:rsidR="00D97F8C" w:rsidRPr="00D97F8C" w:rsidRDefault="00D97F8C" w:rsidP="00D97F8C">
            <w:pPr>
              <w:rPr>
                <w:rFonts w:ascii="Arial" w:hAnsi="Arial" w:cs="Arial"/>
                <w:sz w:val="20"/>
                <w:szCs w:val="20"/>
              </w:rPr>
            </w:pPr>
            <w:r w:rsidRPr="00D97F8C">
              <w:rPr>
                <w:rFonts w:ascii="Arial" w:hAnsi="Arial" w:cs="Arial"/>
                <w:color w:val="000000"/>
                <w:sz w:val="20"/>
                <w:szCs w:val="20"/>
              </w:rPr>
              <w:t>These include queries relating to booking &amp; payment system, test validity, special arrangements, complaints (e.g. test centres, staff, failing test attempts).</w:t>
            </w:r>
          </w:p>
        </w:tc>
      </w:tr>
      <w:tr w:rsidR="00D97F8C" w14:paraId="7EE42399" w14:textId="77777777" w:rsidTr="005D4823">
        <w:tc>
          <w:tcPr>
            <w:tcW w:w="1555" w:type="dxa"/>
          </w:tcPr>
          <w:p w14:paraId="2A7BC866" w14:textId="7952748B" w:rsidR="00D97F8C" w:rsidRDefault="00D97F8C" w:rsidP="00D97F8C">
            <w:r>
              <w:t>13</w:t>
            </w:r>
          </w:p>
        </w:tc>
        <w:tc>
          <w:tcPr>
            <w:tcW w:w="4455" w:type="dxa"/>
            <w:tcBorders>
              <w:top w:val="nil"/>
              <w:left w:val="single" w:sz="4" w:space="0" w:color="auto"/>
              <w:bottom w:val="single" w:sz="4" w:space="0" w:color="auto"/>
              <w:right w:val="single" w:sz="4" w:space="0" w:color="auto"/>
            </w:tcBorders>
            <w:shd w:val="clear" w:color="auto" w:fill="auto"/>
          </w:tcPr>
          <w:p w14:paraId="69C3B503" w14:textId="34FE9825" w:rsidR="00D97F8C" w:rsidRPr="00D97F8C" w:rsidRDefault="00D97F8C" w:rsidP="00D97F8C">
            <w:pPr>
              <w:rPr>
                <w:rFonts w:ascii="Arial" w:hAnsi="Arial" w:cs="Arial"/>
                <w:sz w:val="20"/>
                <w:szCs w:val="20"/>
                <w:lang w:val="en-US"/>
              </w:rPr>
            </w:pPr>
            <w:r w:rsidRPr="00D97F8C">
              <w:rPr>
                <w:rFonts w:ascii="Arial" w:hAnsi="Arial" w:cs="Arial"/>
                <w:color w:val="000000"/>
                <w:sz w:val="20"/>
                <w:szCs w:val="20"/>
              </w:rPr>
              <w:t>What are the criteria by which the Authority will judge the overall success of the programme over the proposed contract term?</w:t>
            </w:r>
          </w:p>
        </w:tc>
        <w:tc>
          <w:tcPr>
            <w:tcW w:w="3006" w:type="dxa"/>
            <w:tcBorders>
              <w:top w:val="nil"/>
              <w:left w:val="nil"/>
              <w:bottom w:val="single" w:sz="4" w:space="0" w:color="auto"/>
              <w:right w:val="single" w:sz="4" w:space="0" w:color="auto"/>
            </w:tcBorders>
            <w:shd w:val="clear" w:color="auto" w:fill="auto"/>
          </w:tcPr>
          <w:p w14:paraId="14042AA1" w14:textId="53FF043D" w:rsidR="00D97F8C" w:rsidRPr="00D97F8C" w:rsidRDefault="00D97F8C" w:rsidP="00D97F8C">
            <w:pPr>
              <w:rPr>
                <w:rFonts w:ascii="Arial" w:hAnsi="Arial" w:cs="Arial"/>
                <w:sz w:val="20"/>
                <w:szCs w:val="20"/>
              </w:rPr>
            </w:pPr>
            <w:r w:rsidRPr="00D97F8C">
              <w:rPr>
                <w:rFonts w:ascii="Arial" w:hAnsi="Arial" w:cs="Arial"/>
                <w:color w:val="000000"/>
                <w:sz w:val="20"/>
                <w:szCs w:val="20"/>
              </w:rPr>
              <w:t>The Authority will review the achieved Service Level Agreements/Key Performance Indicators on a monthly basis in order to evaluate the supplier's performance .</w:t>
            </w:r>
          </w:p>
        </w:tc>
      </w:tr>
      <w:tr w:rsidR="00D97F8C" w14:paraId="1619BBA9" w14:textId="77777777" w:rsidTr="005D4823">
        <w:tc>
          <w:tcPr>
            <w:tcW w:w="1555" w:type="dxa"/>
          </w:tcPr>
          <w:p w14:paraId="11369EDE" w14:textId="0870371D" w:rsidR="00D97F8C" w:rsidRDefault="00D97F8C" w:rsidP="00D97F8C">
            <w:r>
              <w:t>14</w:t>
            </w:r>
          </w:p>
        </w:tc>
        <w:tc>
          <w:tcPr>
            <w:tcW w:w="4455" w:type="dxa"/>
            <w:tcBorders>
              <w:top w:val="nil"/>
              <w:left w:val="single" w:sz="4" w:space="0" w:color="auto"/>
              <w:bottom w:val="single" w:sz="4" w:space="0" w:color="auto"/>
              <w:right w:val="single" w:sz="4" w:space="0" w:color="auto"/>
            </w:tcBorders>
            <w:shd w:val="clear" w:color="auto" w:fill="auto"/>
          </w:tcPr>
          <w:p w14:paraId="77796EE8" w14:textId="318D930A" w:rsidR="00D97F8C" w:rsidRPr="00D97F8C" w:rsidRDefault="00D97F8C" w:rsidP="00D97F8C">
            <w:pPr>
              <w:rPr>
                <w:rFonts w:ascii="Arial" w:hAnsi="Arial" w:cs="Arial"/>
                <w:sz w:val="20"/>
                <w:szCs w:val="20"/>
                <w:lang w:val="en-US"/>
              </w:rPr>
            </w:pPr>
            <w:r w:rsidRPr="00D97F8C">
              <w:rPr>
                <w:rFonts w:ascii="Arial" w:hAnsi="Arial" w:cs="Arial"/>
                <w:color w:val="000000"/>
                <w:sz w:val="20"/>
                <w:szCs w:val="20"/>
              </w:rPr>
              <w:t>Please can the Authority share any expectations they have regarding technological or other developments in the delivery of these tests over the next 5 years?</w:t>
            </w:r>
          </w:p>
        </w:tc>
        <w:tc>
          <w:tcPr>
            <w:tcW w:w="3006" w:type="dxa"/>
            <w:tcBorders>
              <w:top w:val="nil"/>
              <w:left w:val="nil"/>
              <w:bottom w:val="single" w:sz="4" w:space="0" w:color="auto"/>
              <w:right w:val="single" w:sz="4" w:space="0" w:color="auto"/>
            </w:tcBorders>
            <w:shd w:val="clear" w:color="auto" w:fill="auto"/>
          </w:tcPr>
          <w:p w14:paraId="08A0A655" w14:textId="340D9740" w:rsidR="00D97F8C" w:rsidRPr="00D97F8C" w:rsidRDefault="00D97F8C" w:rsidP="00D97F8C">
            <w:pPr>
              <w:rPr>
                <w:rFonts w:ascii="Arial" w:hAnsi="Arial" w:cs="Arial"/>
                <w:sz w:val="20"/>
                <w:szCs w:val="20"/>
              </w:rPr>
            </w:pPr>
            <w:r w:rsidRPr="00D97F8C">
              <w:rPr>
                <w:rFonts w:ascii="Arial" w:hAnsi="Arial" w:cs="Arial"/>
                <w:color w:val="000000"/>
                <w:sz w:val="20"/>
                <w:szCs w:val="20"/>
              </w:rPr>
              <w:t>There are no specific expectations that can be shared at this time.</w:t>
            </w:r>
          </w:p>
        </w:tc>
      </w:tr>
      <w:tr w:rsidR="00D97F8C" w14:paraId="1933EAA8" w14:textId="77777777" w:rsidTr="005D4823">
        <w:tc>
          <w:tcPr>
            <w:tcW w:w="1555" w:type="dxa"/>
          </w:tcPr>
          <w:p w14:paraId="7440FF62" w14:textId="755409EC" w:rsidR="00D97F8C" w:rsidRDefault="00D97F8C" w:rsidP="00D97F8C">
            <w:r>
              <w:t>15</w:t>
            </w:r>
          </w:p>
        </w:tc>
        <w:tc>
          <w:tcPr>
            <w:tcW w:w="4455" w:type="dxa"/>
            <w:tcBorders>
              <w:top w:val="nil"/>
              <w:left w:val="single" w:sz="4" w:space="0" w:color="auto"/>
              <w:bottom w:val="single" w:sz="4" w:space="0" w:color="auto"/>
              <w:right w:val="single" w:sz="4" w:space="0" w:color="auto"/>
            </w:tcBorders>
            <w:shd w:val="clear" w:color="auto" w:fill="auto"/>
          </w:tcPr>
          <w:p w14:paraId="7C924D41" w14:textId="04615708" w:rsidR="00D97F8C" w:rsidRPr="00D97F8C" w:rsidRDefault="00D97F8C" w:rsidP="00D97F8C">
            <w:pPr>
              <w:rPr>
                <w:rFonts w:ascii="Arial" w:hAnsi="Arial" w:cs="Arial"/>
                <w:sz w:val="20"/>
                <w:szCs w:val="20"/>
                <w:lang w:val="en-US"/>
              </w:rPr>
            </w:pPr>
            <w:r w:rsidRPr="00D97F8C">
              <w:rPr>
                <w:rFonts w:ascii="Arial" w:hAnsi="Arial" w:cs="Arial"/>
                <w:color w:val="000000"/>
                <w:sz w:val="20"/>
                <w:szCs w:val="20"/>
              </w:rPr>
              <w:t>Please can the Authority supply test pass rates for each test centre location?</w:t>
            </w:r>
          </w:p>
        </w:tc>
        <w:tc>
          <w:tcPr>
            <w:tcW w:w="3006" w:type="dxa"/>
            <w:tcBorders>
              <w:top w:val="nil"/>
              <w:left w:val="nil"/>
              <w:bottom w:val="single" w:sz="4" w:space="0" w:color="auto"/>
              <w:right w:val="single" w:sz="4" w:space="0" w:color="auto"/>
            </w:tcBorders>
            <w:shd w:val="clear" w:color="auto" w:fill="auto"/>
          </w:tcPr>
          <w:p w14:paraId="13AAC428" w14:textId="4B46C72E" w:rsidR="00D97F8C" w:rsidRPr="00D97F8C" w:rsidRDefault="00D97F8C" w:rsidP="00D97F8C">
            <w:pPr>
              <w:rPr>
                <w:rFonts w:ascii="Arial" w:hAnsi="Arial" w:cs="Arial"/>
                <w:sz w:val="20"/>
                <w:szCs w:val="20"/>
              </w:rPr>
            </w:pPr>
            <w:r w:rsidRPr="00D97F8C">
              <w:rPr>
                <w:rFonts w:ascii="Arial" w:hAnsi="Arial" w:cs="Arial"/>
                <w:color w:val="000000"/>
                <w:sz w:val="20"/>
                <w:szCs w:val="20"/>
              </w:rPr>
              <w:t>The authority does not hold this information.</w:t>
            </w:r>
          </w:p>
        </w:tc>
      </w:tr>
      <w:tr w:rsidR="00D97F8C" w14:paraId="7D6D37DA" w14:textId="77777777" w:rsidTr="005D4823">
        <w:tc>
          <w:tcPr>
            <w:tcW w:w="1555" w:type="dxa"/>
          </w:tcPr>
          <w:p w14:paraId="5C94F1C9" w14:textId="207889AF" w:rsidR="00D97F8C" w:rsidRDefault="00D97F8C" w:rsidP="00D97F8C">
            <w:r>
              <w:t>16</w:t>
            </w:r>
          </w:p>
        </w:tc>
        <w:tc>
          <w:tcPr>
            <w:tcW w:w="4455" w:type="dxa"/>
            <w:tcBorders>
              <w:top w:val="nil"/>
              <w:left w:val="single" w:sz="4" w:space="0" w:color="auto"/>
              <w:bottom w:val="single" w:sz="4" w:space="0" w:color="auto"/>
              <w:right w:val="single" w:sz="4" w:space="0" w:color="auto"/>
            </w:tcBorders>
            <w:shd w:val="clear" w:color="000000" w:fill="FFFFFF"/>
          </w:tcPr>
          <w:p w14:paraId="590C8243" w14:textId="478B9E8E" w:rsidR="00D97F8C" w:rsidRPr="00D97F8C" w:rsidRDefault="00D97F8C" w:rsidP="00D97F8C">
            <w:pPr>
              <w:rPr>
                <w:rFonts w:ascii="Arial" w:hAnsi="Arial" w:cs="Arial"/>
                <w:sz w:val="20"/>
                <w:szCs w:val="20"/>
                <w:lang w:val="en-US"/>
              </w:rPr>
            </w:pPr>
            <w:r w:rsidRPr="00D97F8C">
              <w:rPr>
                <w:rFonts w:ascii="Arial" w:hAnsi="Arial" w:cs="Arial"/>
                <w:color w:val="000000"/>
                <w:sz w:val="20"/>
                <w:szCs w:val="20"/>
              </w:rPr>
              <w:t>Please can the Authority clarify when the practice test facility needs to be provided before go-live, and if there is a termination date for practice tests under the current arrangement?</w:t>
            </w:r>
          </w:p>
        </w:tc>
        <w:tc>
          <w:tcPr>
            <w:tcW w:w="3006" w:type="dxa"/>
            <w:tcBorders>
              <w:top w:val="nil"/>
              <w:left w:val="nil"/>
              <w:bottom w:val="single" w:sz="4" w:space="0" w:color="auto"/>
              <w:right w:val="single" w:sz="4" w:space="0" w:color="auto"/>
            </w:tcBorders>
            <w:shd w:val="clear" w:color="000000" w:fill="FFFFFF"/>
          </w:tcPr>
          <w:p w14:paraId="4FEE20CD" w14:textId="79B7EFD4" w:rsidR="00D97F8C" w:rsidRPr="00D97F8C" w:rsidRDefault="00D97F8C" w:rsidP="00D97F8C">
            <w:pPr>
              <w:rPr>
                <w:rFonts w:ascii="Arial" w:hAnsi="Arial" w:cs="Arial"/>
                <w:sz w:val="20"/>
                <w:szCs w:val="20"/>
              </w:rPr>
            </w:pPr>
            <w:r w:rsidRPr="00D97F8C">
              <w:rPr>
                <w:rFonts w:ascii="Arial" w:hAnsi="Arial" w:cs="Arial"/>
                <w:color w:val="000000"/>
                <w:sz w:val="20"/>
                <w:szCs w:val="20"/>
              </w:rPr>
              <w:t xml:space="preserve">There should be a total of 2 practice tests for each subject available to candidates online at least one month before test delivery commences. Please refer to PT2 of the specification. </w:t>
            </w:r>
          </w:p>
        </w:tc>
      </w:tr>
      <w:tr w:rsidR="00D97F8C" w14:paraId="5236D351" w14:textId="77777777" w:rsidTr="005D4823">
        <w:tc>
          <w:tcPr>
            <w:tcW w:w="1555" w:type="dxa"/>
          </w:tcPr>
          <w:p w14:paraId="6204AF2A" w14:textId="4D0952BD" w:rsidR="00D97F8C" w:rsidRDefault="00D97F8C" w:rsidP="00D97F8C">
            <w:r>
              <w:t>17</w:t>
            </w:r>
          </w:p>
        </w:tc>
        <w:tc>
          <w:tcPr>
            <w:tcW w:w="4455" w:type="dxa"/>
            <w:tcBorders>
              <w:top w:val="nil"/>
              <w:left w:val="single" w:sz="4" w:space="0" w:color="auto"/>
              <w:bottom w:val="single" w:sz="4" w:space="0" w:color="auto"/>
              <w:right w:val="single" w:sz="4" w:space="0" w:color="auto"/>
            </w:tcBorders>
            <w:shd w:val="clear" w:color="auto" w:fill="auto"/>
          </w:tcPr>
          <w:p w14:paraId="68C0B998" w14:textId="55CBE615" w:rsidR="00D97F8C" w:rsidRPr="00D97F8C" w:rsidRDefault="00D97F8C" w:rsidP="00D97F8C">
            <w:pPr>
              <w:rPr>
                <w:rFonts w:ascii="Arial" w:hAnsi="Arial" w:cs="Arial"/>
                <w:sz w:val="20"/>
                <w:szCs w:val="20"/>
                <w:lang w:val="en-US"/>
              </w:rPr>
            </w:pPr>
            <w:r w:rsidRPr="00D97F8C">
              <w:rPr>
                <w:rFonts w:ascii="Arial" w:hAnsi="Arial" w:cs="Arial"/>
                <w:color w:val="000000"/>
                <w:sz w:val="20"/>
                <w:szCs w:val="20"/>
              </w:rPr>
              <w:t>Please can the Authority supply test volumes for the months of November 2017, December 2017 and January 2018?</w:t>
            </w:r>
          </w:p>
        </w:tc>
        <w:tc>
          <w:tcPr>
            <w:tcW w:w="3006" w:type="dxa"/>
            <w:tcBorders>
              <w:top w:val="nil"/>
              <w:left w:val="nil"/>
              <w:bottom w:val="single" w:sz="4" w:space="0" w:color="auto"/>
              <w:right w:val="single" w:sz="4" w:space="0" w:color="auto"/>
            </w:tcBorders>
            <w:shd w:val="clear" w:color="auto" w:fill="auto"/>
          </w:tcPr>
          <w:p w14:paraId="449CE62B" w14:textId="452F4E95" w:rsidR="00D97F8C" w:rsidRPr="00D97F8C" w:rsidRDefault="00D97F8C" w:rsidP="00D97F8C">
            <w:pPr>
              <w:rPr>
                <w:rFonts w:ascii="Arial" w:hAnsi="Arial" w:cs="Arial"/>
                <w:sz w:val="20"/>
                <w:szCs w:val="20"/>
              </w:rPr>
            </w:pPr>
            <w:r w:rsidRPr="00D97F8C">
              <w:rPr>
                <w:rFonts w:ascii="Arial" w:hAnsi="Arial" w:cs="Arial"/>
                <w:color w:val="000000"/>
                <w:sz w:val="20"/>
                <w:szCs w:val="20"/>
              </w:rPr>
              <w:t>This information is not available to be shared at this moment. Suppliers should plan based on the indicative figures for previ</w:t>
            </w:r>
            <w:r w:rsidR="008070A8">
              <w:rPr>
                <w:rFonts w:ascii="Arial" w:hAnsi="Arial" w:cs="Arial"/>
                <w:color w:val="000000"/>
                <w:sz w:val="20"/>
                <w:szCs w:val="20"/>
              </w:rPr>
              <w:t>ous years provided in annex 5 of the ITT.</w:t>
            </w:r>
          </w:p>
        </w:tc>
      </w:tr>
      <w:tr w:rsidR="00D97F8C" w14:paraId="2AD555C7" w14:textId="77777777" w:rsidTr="005D4823">
        <w:tc>
          <w:tcPr>
            <w:tcW w:w="1555" w:type="dxa"/>
          </w:tcPr>
          <w:p w14:paraId="1C55A025" w14:textId="2B75B9F1" w:rsidR="00D97F8C" w:rsidRDefault="00D97F8C" w:rsidP="00D97F8C">
            <w:r>
              <w:t>18</w:t>
            </w:r>
          </w:p>
        </w:tc>
        <w:tc>
          <w:tcPr>
            <w:tcW w:w="4455" w:type="dxa"/>
            <w:tcBorders>
              <w:top w:val="nil"/>
              <w:left w:val="single" w:sz="4" w:space="0" w:color="auto"/>
              <w:bottom w:val="single" w:sz="4" w:space="0" w:color="auto"/>
              <w:right w:val="single" w:sz="4" w:space="0" w:color="auto"/>
            </w:tcBorders>
            <w:shd w:val="clear" w:color="000000" w:fill="FFFFFF"/>
          </w:tcPr>
          <w:p w14:paraId="1BED7D7E" w14:textId="4493D52C" w:rsidR="00D97F8C" w:rsidRPr="003264EB" w:rsidRDefault="00D97F8C" w:rsidP="00D97F8C">
            <w:pPr>
              <w:rPr>
                <w:rFonts w:ascii="Arial" w:hAnsi="Arial" w:cs="Arial"/>
                <w:sz w:val="20"/>
                <w:szCs w:val="20"/>
                <w:lang w:val="en-US"/>
              </w:rPr>
            </w:pPr>
            <w:r w:rsidRPr="003264EB">
              <w:rPr>
                <w:rFonts w:ascii="Arial" w:hAnsi="Arial" w:cs="Arial"/>
                <w:sz w:val="20"/>
                <w:szCs w:val="20"/>
              </w:rPr>
              <w:t>Please can the Authority confirm that the telephone service provision for TUPE transfer consists of  6x Advisors @ 1 FTE, 1x Advisor@0.7FTE, 1x Advisor @0.6FTE and 1 Manager @1 FTE?</w:t>
            </w:r>
          </w:p>
        </w:tc>
        <w:tc>
          <w:tcPr>
            <w:tcW w:w="3006" w:type="dxa"/>
            <w:tcBorders>
              <w:top w:val="nil"/>
              <w:left w:val="nil"/>
              <w:bottom w:val="single" w:sz="4" w:space="0" w:color="auto"/>
              <w:right w:val="single" w:sz="4" w:space="0" w:color="auto"/>
            </w:tcBorders>
            <w:shd w:val="clear" w:color="000000" w:fill="FFFFFF"/>
          </w:tcPr>
          <w:p w14:paraId="00F3FA48" w14:textId="56EF0A94" w:rsidR="00D97F8C" w:rsidRPr="003264EB" w:rsidRDefault="00D97F8C" w:rsidP="00D97F8C">
            <w:pPr>
              <w:rPr>
                <w:rFonts w:ascii="Arial" w:hAnsi="Arial" w:cs="Arial"/>
                <w:sz w:val="20"/>
                <w:szCs w:val="20"/>
              </w:rPr>
            </w:pPr>
            <w:r w:rsidRPr="003264EB">
              <w:rPr>
                <w:rFonts w:ascii="Arial" w:hAnsi="Arial" w:cs="Arial"/>
                <w:sz w:val="20"/>
                <w:szCs w:val="20"/>
              </w:rPr>
              <w:t>Yes, that is correct.</w:t>
            </w:r>
          </w:p>
        </w:tc>
      </w:tr>
      <w:tr w:rsidR="00D97F8C" w14:paraId="1F836A5E" w14:textId="77777777" w:rsidTr="00D97F8C">
        <w:tc>
          <w:tcPr>
            <w:tcW w:w="1555" w:type="dxa"/>
          </w:tcPr>
          <w:p w14:paraId="554880EB" w14:textId="22FA5ED5" w:rsidR="00D97F8C" w:rsidRDefault="00D97F8C" w:rsidP="004C5D19">
            <w:r>
              <w:t>19</w:t>
            </w:r>
          </w:p>
        </w:tc>
        <w:tc>
          <w:tcPr>
            <w:tcW w:w="4455" w:type="dxa"/>
          </w:tcPr>
          <w:p w14:paraId="5986A39B" w14:textId="616A4725" w:rsidR="00D97F8C" w:rsidRPr="003264EB" w:rsidRDefault="00D97F8C" w:rsidP="00FA2611">
            <w:pPr>
              <w:rPr>
                <w:rFonts w:ascii="Arial" w:hAnsi="Arial" w:cs="Arial"/>
                <w:sz w:val="20"/>
                <w:szCs w:val="20"/>
                <w:lang w:val="en-US"/>
              </w:rPr>
            </w:pPr>
            <w:r w:rsidRPr="003264EB">
              <w:rPr>
                <w:rFonts w:ascii="Arial" w:hAnsi="Arial" w:cs="Arial"/>
                <w:sz w:val="20"/>
                <w:szCs w:val="20"/>
                <w:shd w:val="clear" w:color="auto" w:fill="FFFFFF"/>
                <w:lang w:eastAsia="en-GB"/>
              </w:rPr>
              <w:t>In the interest of receiving bids from parties that otherwise would not bid under the proposed Services Agreement terms, would the Authority consider reviewing bids that are submitted on the condition that the terms of the Services Agreement would be subject to negotiation</w:t>
            </w:r>
          </w:p>
        </w:tc>
        <w:tc>
          <w:tcPr>
            <w:tcW w:w="3006" w:type="dxa"/>
          </w:tcPr>
          <w:p w14:paraId="1D3F4694" w14:textId="3CBD92AC" w:rsidR="00D97F8C" w:rsidRPr="003264EB" w:rsidRDefault="00D97F8C" w:rsidP="00FA2611">
            <w:pPr>
              <w:rPr>
                <w:rFonts w:ascii="Arial" w:hAnsi="Arial" w:cs="Arial"/>
                <w:sz w:val="20"/>
                <w:szCs w:val="20"/>
              </w:rPr>
            </w:pPr>
            <w:r w:rsidRPr="003264EB">
              <w:rPr>
                <w:rFonts w:ascii="Arial" w:hAnsi="Arial" w:cs="Arial"/>
                <w:sz w:val="20"/>
                <w:szCs w:val="20"/>
                <w:lang w:eastAsia="en-GB"/>
              </w:rPr>
              <w:t>The Authority will not be considering negotiating the terms of the Service Agreement. </w:t>
            </w:r>
          </w:p>
        </w:tc>
      </w:tr>
      <w:tr w:rsidR="00D97F8C" w14:paraId="659A7DE4" w14:textId="77777777" w:rsidTr="00D97F8C">
        <w:tc>
          <w:tcPr>
            <w:tcW w:w="1555" w:type="dxa"/>
          </w:tcPr>
          <w:p w14:paraId="0F946062" w14:textId="0A15D421" w:rsidR="00D97F8C" w:rsidRDefault="00D97F8C" w:rsidP="004C5D19">
            <w:r>
              <w:t>20</w:t>
            </w:r>
          </w:p>
        </w:tc>
        <w:tc>
          <w:tcPr>
            <w:tcW w:w="4455" w:type="dxa"/>
          </w:tcPr>
          <w:p w14:paraId="4A4246F9" w14:textId="584BB744" w:rsidR="00D97F8C" w:rsidRPr="003264EB" w:rsidRDefault="00D97F8C" w:rsidP="00FA2611">
            <w:pPr>
              <w:rPr>
                <w:rFonts w:ascii="Arial" w:hAnsi="Arial" w:cs="Arial"/>
                <w:sz w:val="20"/>
                <w:szCs w:val="20"/>
                <w:lang w:val="en-US"/>
              </w:rPr>
            </w:pPr>
            <w:r w:rsidRPr="003264EB">
              <w:rPr>
                <w:rFonts w:ascii="Arial" w:hAnsi="Arial" w:cs="Arial"/>
                <w:sz w:val="20"/>
                <w:szCs w:val="20"/>
                <w:lang w:eastAsia="en-GB"/>
              </w:rPr>
              <w:t>Would the Authority consider a pricing approach closer to standard industry practice, which does not require open book accounting and profit margin analysis, if this could provide better value</w:t>
            </w:r>
          </w:p>
        </w:tc>
        <w:tc>
          <w:tcPr>
            <w:tcW w:w="3006" w:type="dxa"/>
          </w:tcPr>
          <w:p w14:paraId="02CE3AB0" w14:textId="77777777" w:rsidR="00D97F8C" w:rsidRPr="003264EB" w:rsidRDefault="00D97F8C" w:rsidP="00D97F8C">
            <w:pPr>
              <w:rPr>
                <w:rFonts w:ascii="Arial" w:hAnsi="Arial" w:cs="Arial"/>
                <w:sz w:val="20"/>
                <w:szCs w:val="20"/>
              </w:rPr>
            </w:pPr>
            <w:r w:rsidRPr="003264EB">
              <w:rPr>
                <w:rFonts w:ascii="Arial" w:hAnsi="Arial" w:cs="Arial"/>
                <w:sz w:val="20"/>
                <w:szCs w:val="20"/>
                <w:lang w:eastAsia="en-GB"/>
              </w:rPr>
              <w:t>The Authority will not consider an alternative pricing approach to the one stated in the ITT</w:t>
            </w:r>
          </w:p>
          <w:p w14:paraId="6BA9A136" w14:textId="77777777" w:rsidR="00D97F8C" w:rsidRPr="003264EB" w:rsidRDefault="00D97F8C" w:rsidP="00FA2611">
            <w:pPr>
              <w:rPr>
                <w:rFonts w:ascii="Arial" w:hAnsi="Arial" w:cs="Arial"/>
                <w:sz w:val="20"/>
                <w:szCs w:val="20"/>
              </w:rPr>
            </w:pPr>
          </w:p>
        </w:tc>
      </w:tr>
      <w:tr w:rsidR="00D97F8C" w14:paraId="0FB32D70" w14:textId="77777777" w:rsidTr="00D97F8C">
        <w:tc>
          <w:tcPr>
            <w:tcW w:w="1555" w:type="dxa"/>
          </w:tcPr>
          <w:p w14:paraId="72DC759B" w14:textId="460E707C" w:rsidR="00D97F8C" w:rsidRDefault="00D97F8C" w:rsidP="004C5D19">
            <w:r>
              <w:t>21</w:t>
            </w:r>
          </w:p>
        </w:tc>
        <w:tc>
          <w:tcPr>
            <w:tcW w:w="4455" w:type="dxa"/>
          </w:tcPr>
          <w:p w14:paraId="0E98BD16" w14:textId="5113701E" w:rsidR="00D97F8C" w:rsidRPr="003264EB" w:rsidRDefault="00D97F8C" w:rsidP="00FA2611">
            <w:pPr>
              <w:rPr>
                <w:rFonts w:ascii="Arial" w:hAnsi="Arial" w:cs="Arial"/>
                <w:sz w:val="20"/>
                <w:szCs w:val="20"/>
                <w:lang w:val="en-US"/>
              </w:rPr>
            </w:pPr>
            <w:r w:rsidRPr="003264EB">
              <w:rPr>
                <w:rFonts w:ascii="Arial" w:hAnsi="Arial" w:cs="Arial"/>
                <w:sz w:val="20"/>
                <w:szCs w:val="20"/>
                <w:lang w:eastAsia="en-GB"/>
              </w:rPr>
              <w:t>With respect to point 3.48 under Data Security Standards, could the Authority please confirm what is meant by the 'expectation' that data will be processed in the EU? Is data processing outside the EU acceptable if it complies with relevant data protection agreements such as the EU-US Privacy Shield Framework. </w:t>
            </w:r>
          </w:p>
        </w:tc>
        <w:tc>
          <w:tcPr>
            <w:tcW w:w="3006" w:type="dxa"/>
          </w:tcPr>
          <w:p w14:paraId="149ABF8C" w14:textId="1320D09C" w:rsidR="00D97F8C" w:rsidRPr="003264EB" w:rsidRDefault="00D97F8C" w:rsidP="00FA2611">
            <w:pPr>
              <w:rPr>
                <w:rFonts w:ascii="Arial" w:hAnsi="Arial" w:cs="Arial"/>
                <w:sz w:val="20"/>
                <w:szCs w:val="20"/>
              </w:rPr>
            </w:pPr>
            <w:r w:rsidRPr="003264EB">
              <w:rPr>
                <w:rFonts w:ascii="Arial" w:hAnsi="Arial" w:cs="Arial"/>
                <w:sz w:val="20"/>
                <w:szCs w:val="20"/>
              </w:rPr>
              <w:t>The Authority's preference is that processing takes place within the EU however this is not essential. If a potential supplier would choose process outside of the EU, then the Authority would need to be satisfied with the compliance mechanisms put in place by a Bidder to meet the requirements of the GDPR and that the Bidder was able to meet the conditions set out in clause 1.4(d) before it could conclude a contract with that Bidder.</w:t>
            </w:r>
          </w:p>
        </w:tc>
      </w:tr>
      <w:tr w:rsidR="00D97F8C" w14:paraId="18DA8B49" w14:textId="77777777" w:rsidTr="00D97F8C">
        <w:tc>
          <w:tcPr>
            <w:tcW w:w="1555" w:type="dxa"/>
          </w:tcPr>
          <w:p w14:paraId="67E2D16A" w14:textId="0B71E3EC" w:rsidR="00D97F8C" w:rsidRDefault="00D97F8C" w:rsidP="004C5D19">
            <w:r>
              <w:t xml:space="preserve">22. </w:t>
            </w:r>
          </w:p>
        </w:tc>
        <w:tc>
          <w:tcPr>
            <w:tcW w:w="4455" w:type="dxa"/>
          </w:tcPr>
          <w:p w14:paraId="0388C466" w14:textId="7C0A0E83" w:rsidR="00D97F8C" w:rsidRPr="00DB3708" w:rsidRDefault="003264EB" w:rsidP="00FA2611">
            <w:pPr>
              <w:rPr>
                <w:rFonts w:ascii="Arial" w:hAnsi="Arial" w:cs="Arial"/>
                <w:sz w:val="20"/>
                <w:szCs w:val="20"/>
                <w:lang w:val="en-US"/>
              </w:rPr>
            </w:pPr>
            <w:r>
              <w:rPr>
                <w:rFonts w:ascii="Arial" w:hAnsi="Arial" w:cs="Arial"/>
                <w:sz w:val="20"/>
                <w:szCs w:val="20"/>
                <w:lang w:val="en-US"/>
              </w:rPr>
              <w:t>Would the Authority consider an extension on the current deadline for receipt of bids</w:t>
            </w:r>
            <w:r w:rsidR="00294085">
              <w:rPr>
                <w:rFonts w:ascii="Arial" w:hAnsi="Arial" w:cs="Arial"/>
                <w:sz w:val="20"/>
                <w:szCs w:val="20"/>
                <w:lang w:val="en-US"/>
              </w:rPr>
              <w:t>?</w:t>
            </w:r>
            <w:bookmarkStart w:id="0" w:name="_GoBack"/>
            <w:bookmarkEnd w:id="0"/>
          </w:p>
        </w:tc>
        <w:tc>
          <w:tcPr>
            <w:tcW w:w="3006" w:type="dxa"/>
          </w:tcPr>
          <w:p w14:paraId="30E33E52" w14:textId="75C27E87" w:rsidR="00D97F8C" w:rsidRDefault="003264EB" w:rsidP="00FA2611">
            <w:pPr>
              <w:rPr>
                <w:rFonts w:ascii="Arial" w:hAnsi="Arial" w:cs="Arial"/>
                <w:sz w:val="20"/>
                <w:szCs w:val="20"/>
              </w:rPr>
            </w:pPr>
            <w:r>
              <w:rPr>
                <w:rFonts w:ascii="Arial" w:hAnsi="Arial" w:cs="Arial"/>
                <w:sz w:val="20"/>
                <w:szCs w:val="20"/>
              </w:rPr>
              <w:t>Yes, the Authority has now changed the deadline for submission of bids from 21 March 2018 to 19 April 2018.</w:t>
            </w:r>
          </w:p>
        </w:tc>
      </w:tr>
      <w:tr w:rsidR="00D97F8C" w14:paraId="0543D9B3" w14:textId="77777777" w:rsidTr="00D97F8C">
        <w:tc>
          <w:tcPr>
            <w:tcW w:w="1555" w:type="dxa"/>
          </w:tcPr>
          <w:p w14:paraId="131E2B8A" w14:textId="77777777" w:rsidR="00D97F8C" w:rsidRDefault="00D97F8C" w:rsidP="004C5D19"/>
        </w:tc>
        <w:tc>
          <w:tcPr>
            <w:tcW w:w="4455" w:type="dxa"/>
          </w:tcPr>
          <w:p w14:paraId="07791392" w14:textId="77777777" w:rsidR="00D97F8C" w:rsidRPr="00DB3708" w:rsidRDefault="00D97F8C" w:rsidP="00FA2611">
            <w:pPr>
              <w:rPr>
                <w:rFonts w:ascii="Arial" w:hAnsi="Arial" w:cs="Arial"/>
                <w:sz w:val="20"/>
                <w:szCs w:val="20"/>
                <w:lang w:val="en-US"/>
              </w:rPr>
            </w:pPr>
          </w:p>
        </w:tc>
        <w:tc>
          <w:tcPr>
            <w:tcW w:w="3006" w:type="dxa"/>
          </w:tcPr>
          <w:p w14:paraId="4AF071A0" w14:textId="77777777" w:rsidR="00D97F8C" w:rsidRDefault="00D97F8C" w:rsidP="00FA2611">
            <w:pPr>
              <w:rPr>
                <w:rFonts w:ascii="Arial" w:hAnsi="Arial" w:cs="Arial"/>
                <w:sz w:val="20"/>
                <w:szCs w:val="20"/>
              </w:rPr>
            </w:pPr>
          </w:p>
        </w:tc>
      </w:tr>
      <w:tr w:rsidR="00D97F8C" w14:paraId="7BB0BEA1" w14:textId="77777777" w:rsidTr="00D97F8C">
        <w:tc>
          <w:tcPr>
            <w:tcW w:w="1555" w:type="dxa"/>
          </w:tcPr>
          <w:p w14:paraId="170361F3" w14:textId="77777777" w:rsidR="00D97F8C" w:rsidRDefault="00D97F8C" w:rsidP="004C5D19"/>
        </w:tc>
        <w:tc>
          <w:tcPr>
            <w:tcW w:w="4455" w:type="dxa"/>
          </w:tcPr>
          <w:p w14:paraId="77D16A69" w14:textId="77777777" w:rsidR="00D97F8C" w:rsidRPr="00DB3708" w:rsidRDefault="00D97F8C" w:rsidP="00FA2611">
            <w:pPr>
              <w:rPr>
                <w:rFonts w:ascii="Arial" w:hAnsi="Arial" w:cs="Arial"/>
                <w:sz w:val="20"/>
                <w:szCs w:val="20"/>
                <w:lang w:val="en-US"/>
              </w:rPr>
            </w:pPr>
          </w:p>
        </w:tc>
        <w:tc>
          <w:tcPr>
            <w:tcW w:w="3006" w:type="dxa"/>
          </w:tcPr>
          <w:p w14:paraId="37EC34C2" w14:textId="77777777" w:rsidR="00D97F8C" w:rsidRDefault="00D97F8C" w:rsidP="00FA2611">
            <w:pPr>
              <w:rPr>
                <w:rFonts w:ascii="Arial" w:hAnsi="Arial" w:cs="Arial"/>
                <w:sz w:val="20"/>
                <w:szCs w:val="20"/>
              </w:rPr>
            </w:pPr>
          </w:p>
        </w:tc>
      </w:tr>
      <w:tr w:rsidR="00D97F8C" w14:paraId="4A654086" w14:textId="77777777" w:rsidTr="00D97F8C">
        <w:tc>
          <w:tcPr>
            <w:tcW w:w="1555" w:type="dxa"/>
          </w:tcPr>
          <w:p w14:paraId="468E239E" w14:textId="77777777" w:rsidR="00D97F8C" w:rsidRDefault="00D97F8C" w:rsidP="004C5D19"/>
        </w:tc>
        <w:tc>
          <w:tcPr>
            <w:tcW w:w="4455" w:type="dxa"/>
          </w:tcPr>
          <w:p w14:paraId="55F94B6C" w14:textId="77777777" w:rsidR="00D97F8C" w:rsidRPr="00DB3708" w:rsidRDefault="00D97F8C" w:rsidP="00FA2611">
            <w:pPr>
              <w:rPr>
                <w:rFonts w:ascii="Arial" w:hAnsi="Arial" w:cs="Arial"/>
                <w:sz w:val="20"/>
                <w:szCs w:val="20"/>
                <w:lang w:val="en-US"/>
              </w:rPr>
            </w:pPr>
          </w:p>
        </w:tc>
        <w:tc>
          <w:tcPr>
            <w:tcW w:w="3006" w:type="dxa"/>
          </w:tcPr>
          <w:p w14:paraId="57CF6512" w14:textId="77777777" w:rsidR="00D97F8C" w:rsidRDefault="00D97F8C" w:rsidP="00FA2611">
            <w:pPr>
              <w:rPr>
                <w:rFonts w:ascii="Arial" w:hAnsi="Arial" w:cs="Arial"/>
                <w:sz w:val="20"/>
                <w:szCs w:val="20"/>
              </w:rPr>
            </w:pPr>
          </w:p>
        </w:tc>
      </w:tr>
      <w:tr w:rsidR="00D97F8C" w14:paraId="23B0C764" w14:textId="77777777" w:rsidTr="00D97F8C">
        <w:tc>
          <w:tcPr>
            <w:tcW w:w="1555" w:type="dxa"/>
          </w:tcPr>
          <w:p w14:paraId="29693E7B" w14:textId="77777777" w:rsidR="00D97F8C" w:rsidRDefault="00D97F8C" w:rsidP="004C5D19"/>
        </w:tc>
        <w:tc>
          <w:tcPr>
            <w:tcW w:w="4455" w:type="dxa"/>
          </w:tcPr>
          <w:p w14:paraId="458EBA71" w14:textId="77777777" w:rsidR="00D97F8C" w:rsidRPr="00DB3708" w:rsidRDefault="00D97F8C" w:rsidP="00FA2611">
            <w:pPr>
              <w:rPr>
                <w:rFonts w:ascii="Arial" w:hAnsi="Arial" w:cs="Arial"/>
                <w:sz w:val="20"/>
                <w:szCs w:val="20"/>
                <w:lang w:val="en-US"/>
              </w:rPr>
            </w:pPr>
          </w:p>
        </w:tc>
        <w:tc>
          <w:tcPr>
            <w:tcW w:w="3006" w:type="dxa"/>
          </w:tcPr>
          <w:p w14:paraId="0F935F04" w14:textId="77777777" w:rsidR="00D97F8C" w:rsidRDefault="00D97F8C" w:rsidP="00FA2611">
            <w:pPr>
              <w:rPr>
                <w:rFonts w:ascii="Arial" w:hAnsi="Arial" w:cs="Arial"/>
                <w:sz w:val="20"/>
                <w:szCs w:val="20"/>
              </w:rPr>
            </w:pPr>
          </w:p>
        </w:tc>
      </w:tr>
      <w:tr w:rsidR="00D97F8C" w14:paraId="3876E9F0" w14:textId="77777777" w:rsidTr="00D97F8C">
        <w:tc>
          <w:tcPr>
            <w:tcW w:w="1555" w:type="dxa"/>
          </w:tcPr>
          <w:p w14:paraId="4FDDFDE0" w14:textId="77777777" w:rsidR="00D97F8C" w:rsidRDefault="00D97F8C" w:rsidP="004C5D19"/>
        </w:tc>
        <w:tc>
          <w:tcPr>
            <w:tcW w:w="4455" w:type="dxa"/>
          </w:tcPr>
          <w:p w14:paraId="12615D35" w14:textId="77777777" w:rsidR="00D97F8C" w:rsidRPr="00DB3708" w:rsidRDefault="00D97F8C" w:rsidP="00FA2611">
            <w:pPr>
              <w:rPr>
                <w:rFonts w:ascii="Arial" w:hAnsi="Arial" w:cs="Arial"/>
                <w:sz w:val="20"/>
                <w:szCs w:val="20"/>
                <w:lang w:val="en-US"/>
              </w:rPr>
            </w:pPr>
          </w:p>
        </w:tc>
        <w:tc>
          <w:tcPr>
            <w:tcW w:w="3006" w:type="dxa"/>
          </w:tcPr>
          <w:p w14:paraId="3C418422" w14:textId="77777777" w:rsidR="00D97F8C" w:rsidRDefault="00D97F8C" w:rsidP="00FA2611">
            <w:pPr>
              <w:rPr>
                <w:rFonts w:ascii="Arial" w:hAnsi="Arial" w:cs="Arial"/>
                <w:sz w:val="20"/>
                <w:szCs w:val="20"/>
              </w:rPr>
            </w:pPr>
          </w:p>
        </w:tc>
      </w:tr>
    </w:tbl>
    <w:p w14:paraId="77479B11" w14:textId="77777777" w:rsidR="00E05864" w:rsidRDefault="00294085"/>
    <w:sectPr w:rsidR="00E058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611"/>
    <w:rsid w:val="00070C35"/>
    <w:rsid w:val="00294085"/>
    <w:rsid w:val="00297E52"/>
    <w:rsid w:val="003264EB"/>
    <w:rsid w:val="004939CE"/>
    <w:rsid w:val="004C5D19"/>
    <w:rsid w:val="00543F18"/>
    <w:rsid w:val="0054484C"/>
    <w:rsid w:val="00792DAF"/>
    <w:rsid w:val="007E4B69"/>
    <w:rsid w:val="008070A8"/>
    <w:rsid w:val="00865AC0"/>
    <w:rsid w:val="00B84103"/>
    <w:rsid w:val="00D97F8C"/>
    <w:rsid w:val="00DB3708"/>
    <w:rsid w:val="00DC6CCD"/>
    <w:rsid w:val="00FA2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1A43F"/>
  <w15:chartTrackingRefBased/>
  <w15:docId w15:val="{93EA5B23-D169-4F9F-AB30-FA32E01ED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2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5D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47591">
      <w:bodyDiv w:val="1"/>
      <w:marLeft w:val="0"/>
      <w:marRight w:val="0"/>
      <w:marTop w:val="0"/>
      <w:marBottom w:val="0"/>
      <w:divBdr>
        <w:top w:val="none" w:sz="0" w:space="0" w:color="auto"/>
        <w:left w:val="none" w:sz="0" w:space="0" w:color="auto"/>
        <w:bottom w:val="none" w:sz="0" w:space="0" w:color="auto"/>
        <w:right w:val="none" w:sz="0" w:space="0" w:color="auto"/>
      </w:divBdr>
    </w:div>
    <w:div w:id="559480888">
      <w:bodyDiv w:val="1"/>
      <w:marLeft w:val="0"/>
      <w:marRight w:val="0"/>
      <w:marTop w:val="0"/>
      <w:marBottom w:val="0"/>
      <w:divBdr>
        <w:top w:val="none" w:sz="0" w:space="0" w:color="auto"/>
        <w:left w:val="none" w:sz="0" w:space="0" w:color="auto"/>
        <w:bottom w:val="none" w:sz="0" w:space="0" w:color="auto"/>
        <w:right w:val="none" w:sz="0" w:space="0" w:color="auto"/>
      </w:divBdr>
    </w:div>
    <w:div w:id="682561252">
      <w:bodyDiv w:val="1"/>
      <w:marLeft w:val="0"/>
      <w:marRight w:val="0"/>
      <w:marTop w:val="0"/>
      <w:marBottom w:val="0"/>
      <w:divBdr>
        <w:top w:val="none" w:sz="0" w:space="0" w:color="auto"/>
        <w:left w:val="none" w:sz="0" w:space="0" w:color="auto"/>
        <w:bottom w:val="none" w:sz="0" w:space="0" w:color="auto"/>
        <w:right w:val="none" w:sz="0" w:space="0" w:color="auto"/>
      </w:divBdr>
    </w:div>
    <w:div w:id="764693742">
      <w:bodyDiv w:val="1"/>
      <w:marLeft w:val="0"/>
      <w:marRight w:val="0"/>
      <w:marTop w:val="0"/>
      <w:marBottom w:val="0"/>
      <w:divBdr>
        <w:top w:val="none" w:sz="0" w:space="0" w:color="auto"/>
        <w:left w:val="none" w:sz="0" w:space="0" w:color="auto"/>
        <w:bottom w:val="none" w:sz="0" w:space="0" w:color="auto"/>
        <w:right w:val="none" w:sz="0" w:space="0" w:color="auto"/>
      </w:divBdr>
    </w:div>
    <w:div w:id="960460901">
      <w:bodyDiv w:val="1"/>
      <w:marLeft w:val="0"/>
      <w:marRight w:val="0"/>
      <w:marTop w:val="0"/>
      <w:marBottom w:val="0"/>
      <w:divBdr>
        <w:top w:val="none" w:sz="0" w:space="0" w:color="auto"/>
        <w:left w:val="none" w:sz="0" w:space="0" w:color="auto"/>
        <w:bottom w:val="none" w:sz="0" w:space="0" w:color="auto"/>
        <w:right w:val="none" w:sz="0" w:space="0" w:color="auto"/>
      </w:divBdr>
    </w:div>
    <w:div w:id="1523785443">
      <w:bodyDiv w:val="1"/>
      <w:marLeft w:val="0"/>
      <w:marRight w:val="0"/>
      <w:marTop w:val="0"/>
      <w:marBottom w:val="0"/>
      <w:divBdr>
        <w:top w:val="none" w:sz="0" w:space="0" w:color="auto"/>
        <w:left w:val="none" w:sz="0" w:space="0" w:color="auto"/>
        <w:bottom w:val="none" w:sz="0" w:space="0" w:color="auto"/>
        <w:right w:val="none" w:sz="0" w:space="0" w:color="auto"/>
      </w:divBdr>
    </w:div>
    <w:div w:id="191169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a.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1194</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Firdaws</dc:creator>
  <cp:keywords/>
  <dc:description/>
  <cp:lastModifiedBy>Rupa JOSHI</cp:lastModifiedBy>
  <cp:revision>5</cp:revision>
  <dcterms:created xsi:type="dcterms:W3CDTF">2018-03-06T09:16:00Z</dcterms:created>
  <dcterms:modified xsi:type="dcterms:W3CDTF">2018-03-06T10:16:00Z</dcterms:modified>
</cp:coreProperties>
</file>