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1189" w14:textId="77777777" w:rsidR="00717FD0" w:rsidRPr="001D5729" w:rsidRDefault="00717FD0" w:rsidP="00616D25">
      <w:pPr>
        <w:rPr>
          <w:rFonts w:ascii="Arial" w:hAnsi="Arial" w:cs="Arial"/>
          <w:b/>
          <w:sz w:val="36"/>
          <w:szCs w:val="36"/>
        </w:rPr>
      </w:pPr>
    </w:p>
    <w:p w14:paraId="0A7BB2F4" w14:textId="77777777" w:rsidR="0081513E" w:rsidRPr="001D5729" w:rsidRDefault="00826DDA" w:rsidP="00616D25">
      <w:pPr>
        <w:rPr>
          <w:rFonts w:ascii="Arial" w:hAnsi="Arial" w:cs="Arial"/>
          <w:sz w:val="36"/>
          <w:szCs w:val="36"/>
        </w:rPr>
      </w:pPr>
      <w:r w:rsidRPr="001D5729">
        <w:rPr>
          <w:rFonts w:ascii="Arial" w:hAnsi="Arial" w:cs="Arial"/>
          <w:b/>
          <w:sz w:val="36"/>
          <w:szCs w:val="36"/>
        </w:rPr>
        <w:t>Order</w:t>
      </w:r>
      <w:r w:rsidR="000574E9" w:rsidRPr="001D5729">
        <w:rPr>
          <w:rFonts w:ascii="Arial" w:hAnsi="Arial" w:cs="Arial"/>
          <w:b/>
          <w:sz w:val="36"/>
          <w:szCs w:val="36"/>
        </w:rPr>
        <w:t xml:space="preserve"> Schedule 20</w:t>
      </w:r>
      <w:r w:rsidR="00616D25" w:rsidRPr="001D5729">
        <w:rPr>
          <w:rFonts w:ascii="Arial" w:hAnsi="Arial" w:cs="Arial"/>
          <w:b/>
          <w:sz w:val="36"/>
          <w:szCs w:val="36"/>
        </w:rPr>
        <w:t xml:space="preserve"> (</w:t>
      </w:r>
      <w:r w:rsidRPr="001D5729">
        <w:rPr>
          <w:rFonts w:ascii="Arial" w:hAnsi="Arial" w:cs="Arial"/>
          <w:b/>
          <w:sz w:val="36"/>
          <w:szCs w:val="36"/>
        </w:rPr>
        <w:t>Order</w:t>
      </w:r>
      <w:r w:rsidR="000574E9" w:rsidRPr="001D5729">
        <w:rPr>
          <w:rFonts w:ascii="Arial" w:hAnsi="Arial" w:cs="Arial"/>
          <w:b/>
          <w:sz w:val="36"/>
          <w:szCs w:val="36"/>
        </w:rPr>
        <w:t xml:space="preserve"> </w:t>
      </w:r>
      <w:r w:rsidR="00562676" w:rsidRPr="001D5729">
        <w:rPr>
          <w:rFonts w:ascii="Arial" w:hAnsi="Arial" w:cs="Arial"/>
          <w:b/>
          <w:sz w:val="36"/>
          <w:szCs w:val="36"/>
        </w:rPr>
        <w:t>S</w:t>
      </w:r>
      <w:r w:rsidR="000574E9" w:rsidRPr="001D5729">
        <w:rPr>
          <w:rFonts w:ascii="Arial" w:hAnsi="Arial" w:cs="Arial"/>
          <w:b/>
          <w:sz w:val="36"/>
          <w:szCs w:val="36"/>
        </w:rPr>
        <w:t>pecification</w:t>
      </w:r>
      <w:r w:rsidR="00616D25" w:rsidRPr="001D5729">
        <w:rPr>
          <w:rFonts w:ascii="Arial" w:hAnsi="Arial" w:cs="Arial"/>
          <w:b/>
          <w:sz w:val="36"/>
          <w:szCs w:val="36"/>
        </w:rPr>
        <w:t>)</w:t>
      </w:r>
      <w:r w:rsidR="00FA26ED" w:rsidRPr="001D5729">
        <w:rPr>
          <w:rFonts w:ascii="Arial" w:hAnsi="Arial" w:cs="Arial"/>
          <w:sz w:val="36"/>
          <w:szCs w:val="36"/>
        </w:rPr>
        <w:t xml:space="preserve"> </w:t>
      </w:r>
    </w:p>
    <w:p w14:paraId="27DA825E"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D5729">
        <w:rPr>
          <w:rFonts w:ascii="Arial" w:hAnsi="Arial" w:cs="Arial"/>
        </w:rPr>
        <w:t>PURPOSE AND OVERVIEW OF THE REQUIREMENT</w:t>
      </w:r>
    </w:p>
    <w:p w14:paraId="04C827E5" w14:textId="77777777" w:rsidR="001D5729" w:rsidRPr="001D5729" w:rsidRDefault="001D5729" w:rsidP="00D94D6F">
      <w:pPr>
        <w:rPr>
          <w:rFonts w:ascii="Arial" w:hAnsi="Arial" w:cs="Arial"/>
        </w:rPr>
      </w:pPr>
    </w:p>
    <w:p w14:paraId="0DAF243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Authority invites quotes for the provision of case studies illustrating the barriers and impacts people face in life as a result of a combination of protected and non-protected characteristics. The case studies will be used as illustrative examples within a government-wide tool for policy makers, allowing them to consider equalities when developing policy.</w:t>
      </w:r>
    </w:p>
    <w:p w14:paraId="130CB89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is expected to demonstrate value for money in their approach to this work, employing innovative techniques as appropriate to create efficiencies and deliver added value.</w:t>
      </w:r>
    </w:p>
    <w:p w14:paraId="6A11EFDD"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key objectives of this commission are to:</w:t>
      </w:r>
    </w:p>
    <w:p w14:paraId="4D2BD2EB"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Provide compelling case studies for use across government</w:t>
      </w:r>
    </w:p>
    <w:p w14:paraId="25474ED9"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Clearly illustrate the interactions of multiple protected and non-protected characteristics</w:t>
      </w:r>
    </w:p>
    <w:p w14:paraId="3BA8ADA1"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Clearly illustrate the barriers and impacts faced by people with multiple protected and non-protected characteristics</w:t>
      </w:r>
    </w:p>
    <w:p w14:paraId="5119C850"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Cabinet Office shall be known as the Buyer/Authority throughout.</w:t>
      </w:r>
    </w:p>
    <w:p w14:paraId="65268232"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73" w:name="_uc2rgpewtjs7" w:colFirst="0" w:colLast="0"/>
      <w:bookmarkEnd w:id="73"/>
      <w:r w:rsidRPr="001D5729">
        <w:rPr>
          <w:rFonts w:ascii="Arial" w:hAnsi="Arial" w:cs="Arial"/>
        </w:rPr>
        <w:t>BACKGROUND TO THE BUYER</w:t>
      </w:r>
    </w:p>
    <w:p w14:paraId="115DAFE7" w14:textId="77777777" w:rsidR="001D5729" w:rsidRPr="001D5729" w:rsidRDefault="001D5729" w:rsidP="00D94D6F">
      <w:pPr>
        <w:rPr>
          <w:rFonts w:ascii="Arial" w:hAnsi="Arial" w:cs="Arial"/>
        </w:rPr>
      </w:pPr>
    </w:p>
    <w:p w14:paraId="5231EE6F"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Contracting Authority supports the Prime Minister, and ensures the effective running of government. The Contracting Authority is also the corporate headquarters for the government, in partnership with HM Treasury, and takes the lead in certain critical policy areas. More information about the Contracting Authority can be found on its website at:</w:t>
      </w:r>
    </w:p>
    <w:p w14:paraId="6094F708" w14:textId="0DAE35E4" w:rsidR="001D5729" w:rsidRPr="001D5729" w:rsidRDefault="000A4CB6" w:rsidP="001D5729">
      <w:pPr>
        <w:pStyle w:val="Heading2"/>
        <w:ind w:left="720"/>
        <w:rPr>
          <w:rFonts w:ascii="Arial" w:hAnsi="Arial" w:cs="Arial"/>
        </w:rPr>
      </w:pPr>
      <w:hyperlink r:id="rId8" w:history="1">
        <w:r w:rsidR="001D5729" w:rsidRPr="001D5729">
          <w:rPr>
            <w:rStyle w:val="Hyperlink"/>
            <w:rFonts w:ascii="Arial" w:hAnsi="Arial" w:cs="Arial"/>
          </w:rPr>
          <w:t>https://www.gov.uk/government/organisations/cabinet-office</w:t>
        </w:r>
      </w:hyperlink>
    </w:p>
    <w:p w14:paraId="4DD5DE86"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Office for Equality and Opportunity (OEO) sits within the Contracting Authority. The OEO focuses on disability policy, ethnic disparities, gender equality, LGBT+ rights and the overall framework of equality legislation for the UK including the Equality Act 2010 and sponsorship of the Equality &amp; Human Rights Commission.</w:t>
      </w:r>
    </w:p>
    <w:p w14:paraId="20C694BF"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74" w:name="_mm0mx8dkzlvq" w:colFirst="0" w:colLast="0"/>
      <w:bookmarkEnd w:id="74"/>
      <w:r w:rsidRPr="001D5729">
        <w:rPr>
          <w:rFonts w:ascii="Arial" w:hAnsi="Arial" w:cs="Arial"/>
        </w:rPr>
        <w:t>BACKGROUND TO THE REQUIREMENT</w:t>
      </w:r>
    </w:p>
    <w:p w14:paraId="7D452399" w14:textId="77777777" w:rsidR="001D5729" w:rsidRPr="001D5729" w:rsidRDefault="001D5729" w:rsidP="00D94D6F">
      <w:pPr>
        <w:rPr>
          <w:rFonts w:ascii="Arial" w:hAnsi="Arial" w:cs="Arial"/>
        </w:rPr>
      </w:pPr>
    </w:p>
    <w:p w14:paraId="607397F8"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The Office for Equality and Opportunity (OEO) is working on delivering the government’s Plan for Change, which sets out milestones to be achieved by the end of this Parliament. The plan is split into five missions: growing the economy, an NHS </w:t>
      </w:r>
      <w:r w:rsidRPr="001D5729">
        <w:rPr>
          <w:rFonts w:ascii="Arial" w:hAnsi="Arial" w:cs="Arial"/>
          <w:color w:val="000000"/>
        </w:rPr>
        <w:lastRenderedPageBreak/>
        <w:t>fit for the future, safer streets, opportunity for all, and making Britain a clean energy superpower.</w:t>
      </w:r>
    </w:p>
    <w:p w14:paraId="4D99FACE"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OEO has been commissioned to overlay an equalities lens on the five missions, with a primary focus on socio-economic disadvantage. We have work strands in place for all the five missions, with this project aligned to the </w:t>
      </w:r>
      <w:r w:rsidRPr="001D5729">
        <w:rPr>
          <w:rFonts w:ascii="Arial" w:hAnsi="Arial" w:cs="Arial"/>
          <w:b/>
          <w:color w:val="000000"/>
        </w:rPr>
        <w:t>Opportunity Mission</w:t>
      </w:r>
      <w:r w:rsidRPr="001D5729">
        <w:rPr>
          <w:rFonts w:ascii="Arial" w:hAnsi="Arial" w:cs="Arial"/>
          <w:color w:val="000000"/>
        </w:rPr>
        <w:t>.</w:t>
      </w:r>
    </w:p>
    <w:p w14:paraId="27379864"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This project seeks to provide policy makers in other government departments (primarily the Department for Education, the Department for Work and Pensions and the Department of Health and Social Care) with an understanding of how people’s lives are impacted by their equalities characteristics. The case studies this project will produce will be added to a “Policymaker’s Toolkit” which encourages active consideration of Protected Characteristics when creating new policy aligned with the Opportunity Mission.</w:t>
      </w:r>
    </w:p>
    <w:p w14:paraId="1ADDE8DB"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This will support government departments in fulfilling the Public Sector Equality Duty (PSED). PSED is a legal requirement for public authorities and organisations carrying out public functions, ensuring we all think about how we can improve society and promote equality in every aspect of our day-to-day business. Government departments will be used to considering PSED in policy making. This involves carrying out </w:t>
      </w:r>
      <w:r w:rsidRPr="001D5729">
        <w:rPr>
          <w:rFonts w:ascii="Arial" w:hAnsi="Arial" w:cs="Arial"/>
          <w:b/>
          <w:color w:val="000000"/>
        </w:rPr>
        <w:t>equality impact assessments</w:t>
      </w:r>
      <w:r w:rsidRPr="001D5729">
        <w:rPr>
          <w:rFonts w:ascii="Arial" w:hAnsi="Arial" w:cs="Arial"/>
          <w:color w:val="000000"/>
        </w:rPr>
        <w:t xml:space="preserve"> (EIAs) which help us understand how policy options interact with important equality issues. Currently, these are carried out on a superficial basis, often not considering the compound impact of intersecting characteristics, e.g., race and disability and gender. We have previously found that the quality of EIAs increases when lived experience data and insight is provided to policy makers.</w:t>
      </w:r>
    </w:p>
    <w:p w14:paraId="4E3AD9B2"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Additionally, as OEO’s remit includes socio-economic disadvantage, although this is not a protected characteristic, we are aware that socio-economic status and place/geography will have an impact on people’s experiences of opportunity and challenge. Therefore, we are keen to ensure a variety of socio-economic statuses and geographies are present within this project.</w:t>
      </w:r>
    </w:p>
    <w:p w14:paraId="42BE6E16"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75" w:name="_q60ia1cnpk9c" w:colFirst="0" w:colLast="0"/>
      <w:bookmarkEnd w:id="75"/>
      <w:r w:rsidRPr="001D5729">
        <w:rPr>
          <w:rFonts w:ascii="Arial" w:hAnsi="Arial" w:cs="Arial"/>
        </w:rPr>
        <w:t>DEFINITIONS</w:t>
      </w:r>
    </w:p>
    <w:p w14:paraId="1E921577" w14:textId="77777777" w:rsidR="001D5729" w:rsidRPr="001D5729" w:rsidRDefault="001D5729" w:rsidP="00D94D6F">
      <w:pPr>
        <w:rPr>
          <w:rFonts w:ascii="Arial" w:hAnsi="Arial" w:cs="Arial"/>
        </w:rPr>
      </w:pPr>
    </w:p>
    <w:tbl>
      <w:tblPr>
        <w:tblW w:w="8794" w:type="dxa"/>
        <w:tblInd w:w="255" w:type="dxa"/>
        <w:tblLayout w:type="fixed"/>
        <w:tblLook w:val="0400" w:firstRow="0" w:lastRow="0" w:firstColumn="0" w:lastColumn="0" w:noHBand="0" w:noVBand="1"/>
      </w:tblPr>
      <w:tblGrid>
        <w:gridCol w:w="1824"/>
        <w:gridCol w:w="6970"/>
      </w:tblGrid>
      <w:tr w:rsidR="001D5729" w:rsidRPr="001D5729" w14:paraId="68FE8D86" w14:textId="77777777" w:rsidTr="00A029EB">
        <w:trPr>
          <w:trHeight w:val="300"/>
        </w:trPr>
        <w:tc>
          <w:tcPr>
            <w:tcW w:w="1824" w:type="dxa"/>
            <w:tcBorders>
              <w:top w:val="single" w:sz="24" w:space="0" w:color="000000"/>
              <w:left w:val="single" w:sz="24" w:space="0" w:color="000000"/>
              <w:bottom w:val="single" w:sz="8" w:space="0" w:color="000000"/>
              <w:right w:val="single" w:sz="8" w:space="0" w:color="000000"/>
            </w:tcBorders>
            <w:shd w:val="clear" w:color="auto" w:fill="B8CCE4"/>
            <w:tcMar>
              <w:left w:w="108" w:type="dxa"/>
              <w:right w:w="108" w:type="dxa"/>
            </w:tcMar>
            <w:vAlign w:val="center"/>
          </w:tcPr>
          <w:p w14:paraId="654E370B" w14:textId="77777777" w:rsidR="001D5729" w:rsidRPr="001D5729" w:rsidRDefault="001D5729" w:rsidP="00A029EB">
            <w:pPr>
              <w:rPr>
                <w:rFonts w:ascii="Arial" w:hAnsi="Arial" w:cs="Arial"/>
                <w:b/>
                <w:color w:val="000000"/>
              </w:rPr>
            </w:pPr>
            <w:r w:rsidRPr="001D5729">
              <w:rPr>
                <w:rFonts w:ascii="Arial" w:hAnsi="Arial" w:cs="Arial"/>
                <w:b/>
                <w:color w:val="000000"/>
              </w:rPr>
              <w:t>Expression or Acronym</w:t>
            </w:r>
          </w:p>
        </w:tc>
        <w:tc>
          <w:tcPr>
            <w:tcW w:w="6970" w:type="dxa"/>
            <w:tcBorders>
              <w:top w:val="single" w:sz="24" w:space="0" w:color="000000"/>
              <w:left w:val="single" w:sz="8" w:space="0" w:color="000000"/>
              <w:bottom w:val="single" w:sz="8" w:space="0" w:color="000000"/>
              <w:right w:val="single" w:sz="24" w:space="0" w:color="000000"/>
            </w:tcBorders>
            <w:shd w:val="clear" w:color="auto" w:fill="B8CCE4"/>
            <w:tcMar>
              <w:left w:w="108" w:type="dxa"/>
              <w:right w:w="108" w:type="dxa"/>
            </w:tcMar>
            <w:vAlign w:val="center"/>
          </w:tcPr>
          <w:p w14:paraId="04A27F69" w14:textId="77777777" w:rsidR="001D5729" w:rsidRPr="001D5729" w:rsidRDefault="001D5729" w:rsidP="00A029EB">
            <w:pPr>
              <w:rPr>
                <w:rFonts w:ascii="Arial" w:hAnsi="Arial" w:cs="Arial"/>
                <w:b/>
                <w:color w:val="000000"/>
              </w:rPr>
            </w:pPr>
            <w:r w:rsidRPr="001D5729">
              <w:rPr>
                <w:rFonts w:ascii="Arial" w:hAnsi="Arial" w:cs="Arial"/>
                <w:b/>
                <w:color w:val="000000"/>
              </w:rPr>
              <w:t>Definition</w:t>
            </w:r>
          </w:p>
        </w:tc>
      </w:tr>
      <w:tr w:rsidR="001D5729" w:rsidRPr="001D5729" w14:paraId="327A02EB" w14:textId="77777777" w:rsidTr="00A029EB">
        <w:trPr>
          <w:trHeight w:val="421"/>
        </w:trPr>
        <w:tc>
          <w:tcPr>
            <w:tcW w:w="1824" w:type="dxa"/>
            <w:tcBorders>
              <w:top w:val="single" w:sz="8" w:space="0" w:color="000000"/>
              <w:left w:val="single" w:sz="24" w:space="0" w:color="000000"/>
              <w:bottom w:val="single" w:sz="8" w:space="0" w:color="000000"/>
              <w:right w:val="single" w:sz="8" w:space="0" w:color="000000"/>
            </w:tcBorders>
            <w:tcMar>
              <w:left w:w="108" w:type="dxa"/>
              <w:right w:w="108" w:type="dxa"/>
            </w:tcMar>
          </w:tcPr>
          <w:p w14:paraId="0888383B" w14:textId="77777777" w:rsidR="001D5729" w:rsidRPr="001D5729" w:rsidRDefault="001D5729" w:rsidP="00A029EB">
            <w:pPr>
              <w:rPr>
                <w:rFonts w:ascii="Arial" w:hAnsi="Arial" w:cs="Arial"/>
              </w:rPr>
            </w:pPr>
            <w:r w:rsidRPr="001D5729">
              <w:rPr>
                <w:rFonts w:ascii="Arial" w:hAnsi="Arial" w:cs="Arial"/>
              </w:rPr>
              <w:t>OEO</w:t>
            </w:r>
          </w:p>
        </w:tc>
        <w:tc>
          <w:tcPr>
            <w:tcW w:w="6970" w:type="dxa"/>
            <w:tcBorders>
              <w:top w:val="single" w:sz="8" w:space="0" w:color="000000"/>
              <w:left w:val="single" w:sz="8" w:space="0" w:color="000000"/>
              <w:bottom w:val="single" w:sz="8" w:space="0" w:color="000000"/>
              <w:right w:val="single" w:sz="24" w:space="0" w:color="000000"/>
            </w:tcBorders>
            <w:tcMar>
              <w:left w:w="108" w:type="dxa"/>
              <w:right w:w="108" w:type="dxa"/>
            </w:tcMar>
          </w:tcPr>
          <w:p w14:paraId="6CE1EE25" w14:textId="77777777" w:rsidR="001D5729" w:rsidRPr="001D5729" w:rsidRDefault="001D5729" w:rsidP="00A029EB">
            <w:pPr>
              <w:rPr>
                <w:rFonts w:ascii="Arial" w:hAnsi="Arial" w:cs="Arial"/>
              </w:rPr>
            </w:pPr>
            <w:r w:rsidRPr="001D5729">
              <w:rPr>
                <w:rFonts w:ascii="Arial" w:hAnsi="Arial" w:cs="Arial"/>
              </w:rPr>
              <w:t>Means; Office for Equality and Opportunity</w:t>
            </w:r>
          </w:p>
        </w:tc>
      </w:tr>
      <w:tr w:rsidR="001D5729" w:rsidRPr="001D5729" w14:paraId="72E87F44" w14:textId="77777777" w:rsidTr="00A029EB">
        <w:trPr>
          <w:trHeight w:val="421"/>
        </w:trPr>
        <w:tc>
          <w:tcPr>
            <w:tcW w:w="1824" w:type="dxa"/>
            <w:tcBorders>
              <w:top w:val="single" w:sz="8" w:space="0" w:color="000000"/>
              <w:left w:val="single" w:sz="24" w:space="0" w:color="000000"/>
              <w:bottom w:val="single" w:sz="8" w:space="0" w:color="000000"/>
              <w:right w:val="single" w:sz="8" w:space="0" w:color="000000"/>
            </w:tcBorders>
            <w:tcMar>
              <w:left w:w="108" w:type="dxa"/>
              <w:right w:w="108" w:type="dxa"/>
            </w:tcMar>
          </w:tcPr>
          <w:p w14:paraId="0DCEC66B" w14:textId="77777777" w:rsidR="001D5729" w:rsidRPr="001D5729" w:rsidRDefault="001D5729" w:rsidP="00A029EB">
            <w:pPr>
              <w:rPr>
                <w:rFonts w:ascii="Arial" w:hAnsi="Arial" w:cs="Arial"/>
              </w:rPr>
            </w:pPr>
            <w:r w:rsidRPr="001D5729">
              <w:rPr>
                <w:rFonts w:ascii="Arial" w:hAnsi="Arial" w:cs="Arial"/>
              </w:rPr>
              <w:t>PSED</w:t>
            </w:r>
          </w:p>
        </w:tc>
        <w:tc>
          <w:tcPr>
            <w:tcW w:w="6970" w:type="dxa"/>
            <w:tcBorders>
              <w:top w:val="single" w:sz="8" w:space="0" w:color="000000"/>
              <w:left w:val="single" w:sz="8" w:space="0" w:color="000000"/>
              <w:bottom w:val="single" w:sz="8" w:space="0" w:color="000000"/>
              <w:right w:val="single" w:sz="24" w:space="0" w:color="000000"/>
            </w:tcBorders>
            <w:tcMar>
              <w:left w:w="108" w:type="dxa"/>
              <w:right w:w="108" w:type="dxa"/>
            </w:tcMar>
          </w:tcPr>
          <w:p w14:paraId="509EB091" w14:textId="77777777" w:rsidR="001D5729" w:rsidRPr="001D5729" w:rsidRDefault="001D5729" w:rsidP="00A029EB">
            <w:pPr>
              <w:rPr>
                <w:rFonts w:ascii="Arial" w:hAnsi="Arial" w:cs="Arial"/>
              </w:rPr>
            </w:pPr>
            <w:r w:rsidRPr="001D5729">
              <w:rPr>
                <w:rFonts w:ascii="Arial" w:hAnsi="Arial" w:cs="Arial"/>
              </w:rPr>
              <w:t>Means; Public Sector Equality Duty</w:t>
            </w:r>
          </w:p>
        </w:tc>
      </w:tr>
      <w:tr w:rsidR="001D5729" w:rsidRPr="001D5729" w14:paraId="3E2D03FC" w14:textId="77777777" w:rsidTr="00A029EB">
        <w:trPr>
          <w:trHeight w:val="421"/>
        </w:trPr>
        <w:tc>
          <w:tcPr>
            <w:tcW w:w="1824" w:type="dxa"/>
            <w:tcBorders>
              <w:top w:val="single" w:sz="8" w:space="0" w:color="000000"/>
              <w:left w:val="single" w:sz="24" w:space="0" w:color="000000"/>
              <w:bottom w:val="single" w:sz="8" w:space="0" w:color="000000"/>
              <w:right w:val="single" w:sz="8" w:space="0" w:color="000000"/>
            </w:tcBorders>
            <w:tcMar>
              <w:left w:w="108" w:type="dxa"/>
              <w:right w:w="108" w:type="dxa"/>
            </w:tcMar>
          </w:tcPr>
          <w:p w14:paraId="5C6756AD" w14:textId="77777777" w:rsidR="001D5729" w:rsidRPr="001D5729" w:rsidRDefault="001D5729" w:rsidP="00A029EB">
            <w:pPr>
              <w:rPr>
                <w:rFonts w:ascii="Arial" w:hAnsi="Arial" w:cs="Arial"/>
              </w:rPr>
            </w:pPr>
            <w:r w:rsidRPr="001D5729">
              <w:rPr>
                <w:rFonts w:ascii="Arial" w:hAnsi="Arial" w:cs="Arial"/>
              </w:rPr>
              <w:t>EIA</w:t>
            </w:r>
          </w:p>
        </w:tc>
        <w:tc>
          <w:tcPr>
            <w:tcW w:w="6970" w:type="dxa"/>
            <w:tcBorders>
              <w:top w:val="single" w:sz="8" w:space="0" w:color="000000"/>
              <w:left w:val="single" w:sz="8" w:space="0" w:color="000000"/>
              <w:bottom w:val="single" w:sz="8" w:space="0" w:color="000000"/>
              <w:right w:val="single" w:sz="24" w:space="0" w:color="000000"/>
            </w:tcBorders>
            <w:tcMar>
              <w:left w:w="108" w:type="dxa"/>
              <w:right w:w="108" w:type="dxa"/>
            </w:tcMar>
          </w:tcPr>
          <w:p w14:paraId="0375182C" w14:textId="77777777" w:rsidR="001D5729" w:rsidRPr="001D5729" w:rsidRDefault="001D5729" w:rsidP="00A029EB">
            <w:pPr>
              <w:rPr>
                <w:rFonts w:ascii="Arial" w:hAnsi="Arial" w:cs="Arial"/>
              </w:rPr>
            </w:pPr>
            <w:r w:rsidRPr="001D5729">
              <w:rPr>
                <w:rFonts w:ascii="Arial" w:hAnsi="Arial" w:cs="Arial"/>
              </w:rPr>
              <w:t>Means; Equality Impact Assessment</w:t>
            </w:r>
          </w:p>
        </w:tc>
      </w:tr>
      <w:tr w:rsidR="001D5729" w:rsidRPr="001D5729" w14:paraId="311AAE53" w14:textId="77777777" w:rsidTr="00A029EB">
        <w:trPr>
          <w:trHeight w:val="421"/>
        </w:trPr>
        <w:tc>
          <w:tcPr>
            <w:tcW w:w="1824" w:type="dxa"/>
            <w:tcBorders>
              <w:top w:val="single" w:sz="8" w:space="0" w:color="000000"/>
              <w:left w:val="single" w:sz="24" w:space="0" w:color="000000"/>
              <w:bottom w:val="single" w:sz="8" w:space="0" w:color="000000"/>
              <w:right w:val="single" w:sz="8" w:space="0" w:color="000000"/>
            </w:tcBorders>
            <w:tcMar>
              <w:left w:w="108" w:type="dxa"/>
              <w:right w:w="108" w:type="dxa"/>
            </w:tcMar>
          </w:tcPr>
          <w:p w14:paraId="5FFEB6A2" w14:textId="77777777" w:rsidR="001D5729" w:rsidRPr="001D5729" w:rsidRDefault="001D5729" w:rsidP="00A029EB">
            <w:pPr>
              <w:rPr>
                <w:rFonts w:ascii="Arial" w:hAnsi="Arial" w:cs="Arial"/>
              </w:rPr>
            </w:pPr>
            <w:r w:rsidRPr="001D5729">
              <w:rPr>
                <w:rFonts w:ascii="Arial" w:hAnsi="Arial" w:cs="Arial"/>
              </w:rPr>
              <w:t>NEET</w:t>
            </w:r>
          </w:p>
        </w:tc>
        <w:tc>
          <w:tcPr>
            <w:tcW w:w="6970" w:type="dxa"/>
            <w:tcBorders>
              <w:top w:val="single" w:sz="8" w:space="0" w:color="000000"/>
              <w:left w:val="single" w:sz="8" w:space="0" w:color="000000"/>
              <w:bottom w:val="single" w:sz="8" w:space="0" w:color="000000"/>
              <w:right w:val="single" w:sz="24" w:space="0" w:color="000000"/>
            </w:tcBorders>
            <w:tcMar>
              <w:left w:w="108" w:type="dxa"/>
              <w:right w:w="108" w:type="dxa"/>
            </w:tcMar>
          </w:tcPr>
          <w:p w14:paraId="49B147C2" w14:textId="77777777" w:rsidR="001D5729" w:rsidRPr="001D5729" w:rsidRDefault="001D5729" w:rsidP="00A029EB">
            <w:pPr>
              <w:rPr>
                <w:rFonts w:ascii="Arial" w:hAnsi="Arial" w:cs="Arial"/>
              </w:rPr>
            </w:pPr>
            <w:r w:rsidRPr="001D5729">
              <w:rPr>
                <w:rFonts w:ascii="Arial" w:hAnsi="Arial" w:cs="Arial"/>
              </w:rPr>
              <w:t>Means; Not in Education, Employment or Training</w:t>
            </w:r>
          </w:p>
        </w:tc>
      </w:tr>
    </w:tbl>
    <w:p w14:paraId="679E7F9D" w14:textId="300664C1" w:rsidR="001D5729" w:rsidRDefault="001D5729" w:rsidP="00D94D6F">
      <w:pPr>
        <w:rPr>
          <w:rFonts w:ascii="Arial" w:hAnsi="Arial" w:cs="Arial"/>
        </w:rPr>
      </w:pPr>
    </w:p>
    <w:p w14:paraId="0054074D" w14:textId="32A8B784" w:rsidR="001D5729" w:rsidRDefault="001D5729" w:rsidP="00D94D6F">
      <w:pPr>
        <w:rPr>
          <w:rFonts w:ascii="Arial" w:hAnsi="Arial" w:cs="Arial"/>
        </w:rPr>
      </w:pPr>
    </w:p>
    <w:p w14:paraId="0D9512AF" w14:textId="77777777" w:rsidR="001D5729" w:rsidRPr="001D5729" w:rsidRDefault="001D5729" w:rsidP="00D94D6F">
      <w:pPr>
        <w:rPr>
          <w:rFonts w:ascii="Arial" w:hAnsi="Arial" w:cs="Arial"/>
        </w:rPr>
      </w:pPr>
    </w:p>
    <w:p w14:paraId="4692A598"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76" w:name="_mlpp36k66wxk" w:colFirst="0" w:colLast="0"/>
      <w:bookmarkEnd w:id="76"/>
      <w:r w:rsidRPr="001D5729">
        <w:rPr>
          <w:rFonts w:ascii="Arial" w:hAnsi="Arial" w:cs="Arial"/>
        </w:rPr>
        <w:lastRenderedPageBreak/>
        <w:t>SCOPE OF THE REQUIREMENT</w:t>
      </w:r>
    </w:p>
    <w:p w14:paraId="02E77FDB" w14:textId="77777777" w:rsidR="001D5729" w:rsidRPr="001D5729" w:rsidRDefault="001D5729" w:rsidP="00D94D6F">
      <w:pPr>
        <w:rPr>
          <w:rFonts w:ascii="Arial" w:hAnsi="Arial" w:cs="Arial"/>
        </w:rPr>
      </w:pPr>
    </w:p>
    <w:p w14:paraId="06209A8D"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Interested Potential Providers should carefully read the requirements set out below and respond to the questions set out in the response guidance.</w:t>
      </w:r>
    </w:p>
    <w:p w14:paraId="2BD5CA39"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Please note: The Supplier is to assume that all requirements are core requirements and should therefore be included in the core contract price unless otherwise specified.</w:t>
      </w:r>
    </w:p>
    <w:p w14:paraId="43BBC39D"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is to implement all objectives and processes listed in their approaches once agreed and signed, if requested by the Authority.</w:t>
      </w:r>
    </w:p>
    <w:p w14:paraId="154C439A"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overall requirements of this work are listed below:</w:t>
      </w:r>
    </w:p>
    <w:p w14:paraId="29CA39C6" w14:textId="77777777" w:rsidR="001D5729" w:rsidRPr="001D5729" w:rsidRDefault="001D5729" w:rsidP="001D5729">
      <w:pPr>
        <w:pStyle w:val="Heading3"/>
        <w:numPr>
          <w:ilvl w:val="2"/>
          <w:numId w:val="85"/>
        </w:numPr>
        <w:tabs>
          <w:tab w:val="num" w:pos="360"/>
        </w:tabs>
        <w:spacing w:after="0"/>
        <w:ind w:left="2160"/>
      </w:pPr>
      <w:bookmarkStart w:id="77" w:name="_n9fnyag4z676" w:colFirst="0" w:colLast="0"/>
      <w:bookmarkEnd w:id="77"/>
      <w:r w:rsidRPr="001D5729">
        <w:t>Develop topic guides and questions;</w:t>
      </w:r>
    </w:p>
    <w:p w14:paraId="4E1717B4" w14:textId="77777777" w:rsidR="001D5729" w:rsidRPr="001D5729" w:rsidRDefault="001D5729" w:rsidP="001D5729">
      <w:pPr>
        <w:pStyle w:val="Heading3"/>
        <w:numPr>
          <w:ilvl w:val="2"/>
          <w:numId w:val="85"/>
        </w:numPr>
        <w:tabs>
          <w:tab w:val="num" w:pos="360"/>
        </w:tabs>
        <w:spacing w:after="0"/>
        <w:ind w:left="2160"/>
      </w:pPr>
      <w:bookmarkStart w:id="78" w:name="_a9vipo8pnb4q" w:colFirst="0" w:colLast="0"/>
      <w:bookmarkEnd w:id="78"/>
      <w:r w:rsidRPr="001D5729">
        <w:t>Agree sampling approaches;</w:t>
      </w:r>
    </w:p>
    <w:p w14:paraId="66F525C3" w14:textId="77777777" w:rsidR="001D5729" w:rsidRPr="001D5729" w:rsidRDefault="001D5729" w:rsidP="001D5729">
      <w:pPr>
        <w:pStyle w:val="Heading3"/>
        <w:numPr>
          <w:ilvl w:val="2"/>
          <w:numId w:val="85"/>
        </w:numPr>
        <w:tabs>
          <w:tab w:val="num" w:pos="360"/>
        </w:tabs>
        <w:spacing w:after="0"/>
        <w:ind w:left="2160"/>
      </w:pPr>
      <w:bookmarkStart w:id="79" w:name="_2czsgid1pkqg" w:colFirst="0" w:colLast="0"/>
      <w:bookmarkEnd w:id="79"/>
      <w:r w:rsidRPr="001D5729">
        <w:t>Conduct the fieldwork;</w:t>
      </w:r>
    </w:p>
    <w:p w14:paraId="65B68DB8" w14:textId="77777777" w:rsidR="001D5729" w:rsidRPr="001D5729" w:rsidRDefault="001D5729" w:rsidP="001D5729">
      <w:pPr>
        <w:pStyle w:val="Heading3"/>
        <w:numPr>
          <w:ilvl w:val="2"/>
          <w:numId w:val="85"/>
        </w:numPr>
        <w:tabs>
          <w:tab w:val="num" w:pos="360"/>
        </w:tabs>
        <w:spacing w:after="0"/>
        <w:ind w:left="2160"/>
      </w:pPr>
      <w:r w:rsidRPr="001D5729">
        <w:t>Analyse results; and</w:t>
      </w:r>
    </w:p>
    <w:p w14:paraId="2767AA8E" w14:textId="77777777" w:rsidR="001D5729" w:rsidRPr="001D5729" w:rsidRDefault="001D5729" w:rsidP="001D5729">
      <w:pPr>
        <w:pStyle w:val="Heading3"/>
        <w:numPr>
          <w:ilvl w:val="2"/>
          <w:numId w:val="85"/>
        </w:numPr>
        <w:tabs>
          <w:tab w:val="num" w:pos="360"/>
        </w:tabs>
        <w:spacing w:after="0" w:line="600" w:lineRule="auto"/>
        <w:ind w:left="2160"/>
      </w:pPr>
      <w:bookmarkStart w:id="80" w:name="_2y4oq79o66ts" w:colFirst="0" w:colLast="0"/>
      <w:bookmarkEnd w:id="80"/>
      <w:r w:rsidRPr="001D5729">
        <w:t>Reporting.</w:t>
      </w:r>
    </w:p>
    <w:p w14:paraId="4F06D3D7"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In meeting these requirements, the project must comply with the data ethics framework laid out by the UK Statistics Authority. Further information can be found on the UK Statistics Authority’s data ethics webpages</w:t>
      </w:r>
      <w:r w:rsidRPr="001D5729">
        <w:rPr>
          <w:rFonts w:ascii="Arial" w:hAnsi="Arial" w:cs="Arial"/>
          <w:color w:val="000000"/>
          <w:sz w:val="16"/>
          <w:szCs w:val="16"/>
          <w:vertAlign w:val="superscript"/>
        </w:rPr>
        <w:footnoteReference w:id="1"/>
      </w:r>
      <w:r w:rsidRPr="001D5729">
        <w:rPr>
          <w:rFonts w:ascii="Arial" w:hAnsi="Arial" w:cs="Arial"/>
          <w:color w:val="000000"/>
        </w:rPr>
        <w:t>.</w:t>
      </w:r>
    </w:p>
    <w:p w14:paraId="53F9B92B"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1" w:name="_18nog4hqz43s" w:colFirst="0" w:colLast="0"/>
      <w:bookmarkEnd w:id="81"/>
      <w:r w:rsidRPr="001D5729">
        <w:rPr>
          <w:rFonts w:ascii="Arial" w:hAnsi="Arial" w:cs="Arial"/>
        </w:rPr>
        <w:t>MANDATORY DELIVERABLES (SUPPLIER RESPONSIBILITIES)</w:t>
      </w:r>
    </w:p>
    <w:p w14:paraId="2E418D33" w14:textId="77777777" w:rsidR="001D5729" w:rsidRPr="001D5729" w:rsidRDefault="001D5729" w:rsidP="00D94D6F">
      <w:pPr>
        <w:rPr>
          <w:rFonts w:ascii="Arial" w:hAnsi="Arial" w:cs="Arial"/>
        </w:rPr>
      </w:pPr>
    </w:p>
    <w:p w14:paraId="23D2AA8E"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Develop topic guides and questions:</w:t>
      </w:r>
      <w:r w:rsidRPr="001D5729">
        <w:rPr>
          <w:rFonts w:ascii="Arial" w:hAnsi="Arial" w:cs="Arial"/>
          <w:color w:val="000000"/>
        </w:rPr>
        <w:t xml:space="preserve"> The Authority’s requirement is for the development of a short set of questions or prompts (3 to 5) that will elicit from participants their experiences of different aspects of life; for example, access to healthcare, education, benefits and the labour market, and transport and housing. The questions or prompts will be developed in collaboration with the Authority.</w:t>
      </w:r>
    </w:p>
    <w:p w14:paraId="63E5D8EF"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Agree sampling approaches:</w:t>
      </w:r>
      <w:r w:rsidRPr="001D5729">
        <w:rPr>
          <w:rFonts w:ascii="Arial" w:hAnsi="Arial" w:cs="Arial"/>
          <w:color w:val="000000"/>
        </w:rPr>
        <w:t xml:space="preserve"> The Supplier will purposively sample and recruit 8 to 10 participants, each with at least 3 of the following characteristics:</w:t>
      </w:r>
    </w:p>
    <w:p w14:paraId="03C03061" w14:textId="77777777" w:rsidR="001D5729" w:rsidRPr="001D5729" w:rsidRDefault="001D5729" w:rsidP="001D5729">
      <w:pPr>
        <w:pStyle w:val="Heading3"/>
        <w:numPr>
          <w:ilvl w:val="2"/>
          <w:numId w:val="85"/>
        </w:numPr>
        <w:tabs>
          <w:tab w:val="num" w:pos="360"/>
        </w:tabs>
        <w:spacing w:after="0"/>
        <w:ind w:left="2160"/>
      </w:pPr>
      <w:r w:rsidRPr="001D5729">
        <w:t>Male</w:t>
      </w:r>
    </w:p>
    <w:p w14:paraId="7F0CADC2" w14:textId="77777777" w:rsidR="001D5729" w:rsidRPr="001D5729" w:rsidRDefault="001D5729" w:rsidP="001D5729">
      <w:pPr>
        <w:pStyle w:val="Heading3"/>
        <w:numPr>
          <w:ilvl w:val="2"/>
          <w:numId w:val="85"/>
        </w:numPr>
        <w:tabs>
          <w:tab w:val="num" w:pos="360"/>
        </w:tabs>
        <w:spacing w:after="0"/>
        <w:ind w:left="2160"/>
      </w:pPr>
      <w:r w:rsidRPr="001D5729">
        <w:t>Female</w:t>
      </w:r>
    </w:p>
    <w:p w14:paraId="2472F858" w14:textId="77777777" w:rsidR="001D5729" w:rsidRPr="001D5729" w:rsidRDefault="001D5729" w:rsidP="001D5729">
      <w:pPr>
        <w:pStyle w:val="Heading3"/>
        <w:numPr>
          <w:ilvl w:val="2"/>
          <w:numId w:val="85"/>
        </w:numPr>
        <w:tabs>
          <w:tab w:val="num" w:pos="360"/>
        </w:tabs>
        <w:spacing w:after="0"/>
        <w:ind w:left="2160"/>
      </w:pPr>
      <w:r w:rsidRPr="001D5729">
        <w:t>Physical disability</w:t>
      </w:r>
    </w:p>
    <w:p w14:paraId="69AE0E06" w14:textId="77777777" w:rsidR="001D5729" w:rsidRPr="001D5729" w:rsidRDefault="001D5729" w:rsidP="001D5729">
      <w:pPr>
        <w:pStyle w:val="Heading3"/>
        <w:numPr>
          <w:ilvl w:val="2"/>
          <w:numId w:val="85"/>
        </w:numPr>
        <w:tabs>
          <w:tab w:val="num" w:pos="360"/>
        </w:tabs>
        <w:spacing w:after="0"/>
        <w:ind w:left="2160"/>
      </w:pPr>
      <w:r w:rsidRPr="001D5729">
        <w:t>Neurodiversity</w:t>
      </w:r>
    </w:p>
    <w:p w14:paraId="555CF603" w14:textId="77777777" w:rsidR="001D5729" w:rsidRPr="001D5729" w:rsidRDefault="001D5729" w:rsidP="001D5729">
      <w:pPr>
        <w:pStyle w:val="Heading3"/>
        <w:numPr>
          <w:ilvl w:val="2"/>
          <w:numId w:val="85"/>
        </w:numPr>
        <w:tabs>
          <w:tab w:val="num" w:pos="360"/>
        </w:tabs>
        <w:spacing w:after="0"/>
        <w:ind w:left="2160"/>
      </w:pPr>
      <w:r w:rsidRPr="001D5729">
        <w:t>Bangladeshi or Pakistani</w:t>
      </w:r>
    </w:p>
    <w:p w14:paraId="6A56B844" w14:textId="77777777" w:rsidR="001D5729" w:rsidRPr="001D5729" w:rsidRDefault="001D5729" w:rsidP="001D5729">
      <w:pPr>
        <w:pStyle w:val="Heading3"/>
        <w:numPr>
          <w:ilvl w:val="2"/>
          <w:numId w:val="85"/>
        </w:numPr>
        <w:tabs>
          <w:tab w:val="num" w:pos="360"/>
        </w:tabs>
        <w:spacing w:after="0"/>
        <w:ind w:left="2160"/>
      </w:pPr>
      <w:r w:rsidRPr="001D5729">
        <w:t>Gypsy, Roma or Traveller</w:t>
      </w:r>
    </w:p>
    <w:p w14:paraId="1BE7E71E" w14:textId="77777777" w:rsidR="001D5729" w:rsidRPr="001D5729" w:rsidRDefault="001D5729" w:rsidP="001D5729">
      <w:pPr>
        <w:pStyle w:val="Heading3"/>
        <w:numPr>
          <w:ilvl w:val="2"/>
          <w:numId w:val="85"/>
        </w:numPr>
        <w:tabs>
          <w:tab w:val="num" w:pos="360"/>
        </w:tabs>
        <w:spacing w:after="0"/>
        <w:ind w:left="2160"/>
      </w:pPr>
      <w:r w:rsidRPr="001D5729">
        <w:t>Black Caribbean</w:t>
      </w:r>
    </w:p>
    <w:p w14:paraId="2A9A1848" w14:textId="77777777" w:rsidR="001D5729" w:rsidRPr="001D5729" w:rsidRDefault="001D5729" w:rsidP="001D5729">
      <w:pPr>
        <w:pStyle w:val="Heading3"/>
        <w:numPr>
          <w:ilvl w:val="2"/>
          <w:numId w:val="85"/>
        </w:numPr>
        <w:tabs>
          <w:tab w:val="num" w:pos="360"/>
        </w:tabs>
        <w:spacing w:after="0"/>
        <w:ind w:left="2160"/>
      </w:pPr>
      <w:r w:rsidRPr="001D5729">
        <w:t>Any other ethnic minority group</w:t>
      </w:r>
    </w:p>
    <w:p w14:paraId="74A24657" w14:textId="77777777" w:rsidR="001D5729" w:rsidRPr="001D5729" w:rsidRDefault="001D5729" w:rsidP="001D5729">
      <w:pPr>
        <w:pStyle w:val="Heading3"/>
        <w:numPr>
          <w:ilvl w:val="2"/>
          <w:numId w:val="85"/>
        </w:numPr>
        <w:tabs>
          <w:tab w:val="num" w:pos="360"/>
        </w:tabs>
        <w:spacing w:after="0"/>
        <w:ind w:left="2160"/>
      </w:pPr>
      <w:r w:rsidRPr="001D5729">
        <w:t>Low SES</w:t>
      </w:r>
    </w:p>
    <w:p w14:paraId="10715CB0" w14:textId="77777777" w:rsidR="001D5729" w:rsidRPr="001D5729" w:rsidRDefault="001D5729" w:rsidP="001D5729">
      <w:pPr>
        <w:pStyle w:val="Heading3"/>
        <w:numPr>
          <w:ilvl w:val="2"/>
          <w:numId w:val="85"/>
        </w:numPr>
        <w:tabs>
          <w:tab w:val="num" w:pos="360"/>
        </w:tabs>
        <w:spacing w:after="0"/>
        <w:ind w:left="2160"/>
      </w:pPr>
      <w:r w:rsidRPr="001D5729">
        <w:t>Young people who are NEET</w:t>
      </w:r>
    </w:p>
    <w:p w14:paraId="67FD80C3" w14:textId="77777777" w:rsidR="001D5729" w:rsidRPr="001D5729" w:rsidRDefault="001D5729" w:rsidP="001D5729">
      <w:pPr>
        <w:pStyle w:val="Heading3"/>
        <w:numPr>
          <w:ilvl w:val="2"/>
          <w:numId w:val="85"/>
        </w:numPr>
        <w:tabs>
          <w:tab w:val="num" w:pos="360"/>
        </w:tabs>
        <w:spacing w:after="0"/>
        <w:ind w:left="2160"/>
      </w:pPr>
      <w:r w:rsidRPr="001D5729">
        <w:t>Older people</w:t>
      </w:r>
    </w:p>
    <w:p w14:paraId="034194DB" w14:textId="77777777" w:rsidR="001D5729" w:rsidRPr="001D5729" w:rsidRDefault="001D5729" w:rsidP="001D5729">
      <w:pPr>
        <w:pStyle w:val="Heading3"/>
        <w:numPr>
          <w:ilvl w:val="2"/>
          <w:numId w:val="85"/>
        </w:numPr>
        <w:tabs>
          <w:tab w:val="num" w:pos="360"/>
        </w:tabs>
        <w:spacing w:after="0"/>
        <w:ind w:left="2160"/>
      </w:pPr>
      <w:r w:rsidRPr="001D5729">
        <w:lastRenderedPageBreak/>
        <w:t>Coastal town</w:t>
      </w:r>
    </w:p>
    <w:p w14:paraId="05F84B23" w14:textId="77777777" w:rsidR="001D5729" w:rsidRPr="001D5729" w:rsidRDefault="001D5729" w:rsidP="001D5729">
      <w:pPr>
        <w:pStyle w:val="Heading3"/>
        <w:numPr>
          <w:ilvl w:val="2"/>
          <w:numId w:val="85"/>
        </w:numPr>
        <w:tabs>
          <w:tab w:val="num" w:pos="360"/>
        </w:tabs>
        <w:spacing w:after="0"/>
        <w:ind w:left="2160"/>
      </w:pPr>
      <w:r w:rsidRPr="001D5729">
        <w:t>Ex-coalfield town</w:t>
      </w:r>
    </w:p>
    <w:p w14:paraId="21672C53" w14:textId="77777777" w:rsidR="001D5729" w:rsidRPr="001D5729" w:rsidRDefault="001D5729" w:rsidP="001D5729">
      <w:pPr>
        <w:pStyle w:val="Heading3"/>
        <w:numPr>
          <w:ilvl w:val="2"/>
          <w:numId w:val="85"/>
        </w:numPr>
        <w:tabs>
          <w:tab w:val="num" w:pos="360"/>
        </w:tabs>
        <w:spacing w:after="0"/>
        <w:ind w:left="2160"/>
      </w:pPr>
      <w:r w:rsidRPr="001D5729">
        <w:t>Inner city</w:t>
      </w:r>
    </w:p>
    <w:p w14:paraId="0E1C35E0" w14:textId="77777777" w:rsidR="001D5729" w:rsidRPr="001D5729" w:rsidRDefault="001D5729" w:rsidP="001D5729">
      <w:pPr>
        <w:pStyle w:val="Heading3"/>
        <w:numPr>
          <w:ilvl w:val="2"/>
          <w:numId w:val="85"/>
        </w:numPr>
        <w:tabs>
          <w:tab w:val="num" w:pos="360"/>
        </w:tabs>
        <w:spacing w:after="0"/>
        <w:ind w:left="2160"/>
      </w:pPr>
      <w:r w:rsidRPr="001D5729">
        <w:t>Rural geographies</w:t>
      </w:r>
    </w:p>
    <w:p w14:paraId="6B4B92C6" w14:textId="77777777" w:rsidR="001D5729" w:rsidRPr="001D5729" w:rsidRDefault="001D5729" w:rsidP="001D5729">
      <w:pPr>
        <w:pStyle w:val="Heading3"/>
        <w:numPr>
          <w:ilvl w:val="2"/>
          <w:numId w:val="85"/>
        </w:numPr>
        <w:tabs>
          <w:tab w:val="num" w:pos="360"/>
        </w:tabs>
        <w:spacing w:after="0"/>
        <w:ind w:left="2160"/>
      </w:pPr>
      <w:r w:rsidRPr="001D5729">
        <w:t>LGBT+</w:t>
      </w:r>
    </w:p>
    <w:p w14:paraId="4D4AA78F" w14:textId="77777777" w:rsidR="001D5729" w:rsidRPr="001D5729" w:rsidRDefault="001D5729" w:rsidP="001D5729">
      <w:pPr>
        <w:pStyle w:val="Heading3"/>
        <w:numPr>
          <w:ilvl w:val="2"/>
          <w:numId w:val="85"/>
        </w:numPr>
        <w:tabs>
          <w:tab w:val="num" w:pos="360"/>
        </w:tabs>
        <w:spacing w:after="0" w:line="600" w:lineRule="auto"/>
        <w:ind w:left="2160"/>
      </w:pPr>
      <w:r w:rsidRPr="001D5729">
        <w:t>Low English proficiency</w:t>
      </w:r>
    </w:p>
    <w:p w14:paraId="440AF14A"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Conduct the fieldwork:</w:t>
      </w:r>
      <w:r w:rsidRPr="001D5729">
        <w:rPr>
          <w:rFonts w:ascii="Arial" w:hAnsi="Arial" w:cs="Arial"/>
          <w:color w:val="000000"/>
        </w:rPr>
        <w:t xml:space="preserve"> Participants will be offered a variety of modes for providing their responses to ensure accessibility and confidentiality. Modes might include written responses, audio recordings or video recordings. The Authority is open to innovative proposals to ensure accessibility for all participants.</w:t>
      </w:r>
    </w:p>
    <w:p w14:paraId="72D783A3"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Careful consideration should be given to the participants who will be talking about their lived experience of discrimination. The Supplier should outline how the ethical implications will be addressed and potential need for additional support will be provided.</w:t>
      </w:r>
    </w:p>
    <w:p w14:paraId="50E209A9"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For research on the lived experience of disability, it is important that research is inclusive and reflective of different impairments and barriers faced. Reasonable adjustments and accessible formats should be offered to all participants but it is anticipated that participants with neurodiversity, an impairment or health condition are most likely to require adjustments to be part of the research. The Supplier must offer these participants a range of options and alternative ways of participating at the earliest stage possible, and ask participants if they have any specific accessibility requirements. The Supplier should cost for these in the final budget.</w:t>
      </w:r>
    </w:p>
    <w:p w14:paraId="0A998592"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should provide remuneration to all participants and this should be included in the final cost of the proposed bid.</w:t>
      </w:r>
    </w:p>
    <w:p w14:paraId="3EA5D81A"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Analyse results:</w:t>
      </w:r>
      <w:r w:rsidRPr="001D5729">
        <w:rPr>
          <w:rFonts w:ascii="Arial" w:hAnsi="Arial" w:cs="Arial"/>
          <w:color w:val="000000"/>
        </w:rPr>
        <w:t xml:space="preserve"> The Authority anticipates that the analysis will be a qualitative descriptive analysis, focussing on identifying the main barriers and opportunities each person encounters in their daily lives. Qualitative descriptive studies describe phenomena rather than explain them and aim to provide a comprehensive summary of events. The approach to this study design is journalistic, with the aim being to answer the questions who, what, where and how</w:t>
      </w:r>
      <w:r w:rsidRPr="001D5729">
        <w:rPr>
          <w:rFonts w:ascii="Arial" w:hAnsi="Arial" w:cs="Arial"/>
          <w:color w:val="000000"/>
          <w:vertAlign w:val="superscript"/>
        </w:rPr>
        <w:footnoteReference w:id="2"/>
      </w:r>
      <w:r w:rsidRPr="001D5729">
        <w:rPr>
          <w:rFonts w:ascii="Arial" w:hAnsi="Arial" w:cs="Arial"/>
          <w:color w:val="000000"/>
        </w:rPr>
        <w:t>.</w:t>
      </w:r>
    </w:p>
    <w:p w14:paraId="7B6041C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case studies should endeavour to illustrate the interactions of multiple protected and non-protected characteristics as well as the barriers and impacts faced by people with multiple protected and non-protected characteristics.</w:t>
      </w:r>
    </w:p>
    <w:p w14:paraId="36C82B16"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Reporting:</w:t>
      </w:r>
      <w:r w:rsidRPr="001D5729">
        <w:rPr>
          <w:rFonts w:ascii="Arial" w:hAnsi="Arial" w:cs="Arial"/>
          <w:color w:val="000000"/>
        </w:rPr>
        <w:t xml:space="preserve"> The Supplier should produce a series of succinct, informative and engaging case studies. Each case should be around 300-500 words long. The Authority is open to the potential Supplier suggesting alternative ways of presenting the case studies. The final outputs should be accessible to a range of audiences. This should include using plain language and avoiding technical jargon where possible. They will also need to incorporate some aspects of the Contracting Authority’s style guides. This includes, but is not limited to: accessibility guidance and our Writing about Ethnicity guide</w:t>
      </w:r>
      <w:r w:rsidRPr="001D5729">
        <w:rPr>
          <w:rFonts w:ascii="Arial" w:hAnsi="Arial" w:cs="Arial"/>
          <w:color w:val="000000"/>
          <w:vertAlign w:val="superscript"/>
        </w:rPr>
        <w:footnoteReference w:id="3"/>
      </w:r>
      <w:r w:rsidRPr="001D5729">
        <w:rPr>
          <w:rFonts w:ascii="Arial" w:hAnsi="Arial" w:cs="Arial"/>
          <w:color w:val="000000"/>
        </w:rPr>
        <w:t>.</w:t>
      </w:r>
    </w:p>
    <w:p w14:paraId="3829C309"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lastRenderedPageBreak/>
        <w:t>The final outputs, interview materials and data will remain the intellectual property of the Contracting Authority. Decisions regarding the timings and format of reports will be taken by the Contracting Authority.</w:t>
      </w:r>
    </w:p>
    <w:p w14:paraId="352BF428"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should provide full anonymised coded transcripts to the Contracting Authority within four (4) weeks of the end of fieldwork for use for internal analysis. This includes sample sizes and attendee characteristics. Supporting documentation should also be provided.</w:t>
      </w:r>
    </w:p>
    <w:p w14:paraId="72426BBC"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2" w:name="_vjhzi9o7wisr" w:colFirst="0" w:colLast="0"/>
      <w:bookmarkEnd w:id="82"/>
      <w:r w:rsidRPr="001D5729">
        <w:rPr>
          <w:rFonts w:ascii="Arial" w:hAnsi="Arial" w:cs="Arial"/>
        </w:rPr>
        <w:t>KEY MILESTONES AND DELIVERABLES</w:t>
      </w:r>
      <w:r w:rsidRPr="001D5729">
        <w:rPr>
          <w:rFonts w:ascii="Arial" w:hAnsi="Arial" w:cs="Arial"/>
        </w:rPr>
        <w:br/>
      </w:r>
    </w:p>
    <w:p w14:paraId="792BF6E4"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Contracting Authority will measure the quality of the Supplier’s delivery by delivering against the following timetable and milestones. It is expected that the Supplier shall be available to start work immediately on award of contract.</w:t>
      </w:r>
    </w:p>
    <w:p w14:paraId="26AB82BD"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Potential Providers should confirm in their response that these timetables are acceptable, or outline clearly any alternative timings that will be put in place to ensure that fieldwork can commence in November 2025, and that all deliverables and final outputs can be delivered to the deadlines below.</w:t>
      </w:r>
    </w:p>
    <w:p w14:paraId="1CC3548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following Contract milestones/deliverables shall apply:</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3544"/>
        <w:gridCol w:w="2928"/>
      </w:tblGrid>
      <w:tr w:rsidR="001D5729" w:rsidRPr="001D5729" w14:paraId="134E94A4" w14:textId="77777777" w:rsidTr="00A029EB">
        <w:trPr>
          <w:trHeight w:val="828"/>
        </w:trPr>
        <w:tc>
          <w:tcPr>
            <w:tcW w:w="2546" w:type="dxa"/>
            <w:shd w:val="clear" w:color="auto" w:fill="B8CCE4"/>
            <w:vAlign w:val="center"/>
          </w:tcPr>
          <w:p w14:paraId="0C8E2D37" w14:textId="77777777" w:rsidR="001D5729" w:rsidRPr="001D5729" w:rsidRDefault="001D5729" w:rsidP="00A029EB">
            <w:pPr>
              <w:pBdr>
                <w:top w:val="nil"/>
                <w:left w:val="nil"/>
                <w:bottom w:val="nil"/>
                <w:right w:val="nil"/>
                <w:between w:val="nil"/>
              </w:pBdr>
              <w:jc w:val="center"/>
              <w:rPr>
                <w:rFonts w:ascii="Arial" w:hAnsi="Arial" w:cs="Arial"/>
                <w:b/>
              </w:rPr>
            </w:pPr>
            <w:r w:rsidRPr="001D5729">
              <w:rPr>
                <w:rFonts w:ascii="Arial" w:hAnsi="Arial" w:cs="Arial"/>
                <w:b/>
              </w:rPr>
              <w:t>Milestone/Deliverable</w:t>
            </w:r>
          </w:p>
        </w:tc>
        <w:tc>
          <w:tcPr>
            <w:tcW w:w="3544" w:type="dxa"/>
            <w:shd w:val="clear" w:color="auto" w:fill="B8CCE4"/>
            <w:vAlign w:val="center"/>
          </w:tcPr>
          <w:p w14:paraId="4569419D" w14:textId="77777777" w:rsidR="001D5729" w:rsidRPr="001D5729" w:rsidRDefault="001D5729" w:rsidP="00A029EB">
            <w:pPr>
              <w:pBdr>
                <w:top w:val="nil"/>
                <w:left w:val="nil"/>
                <w:bottom w:val="nil"/>
                <w:right w:val="nil"/>
                <w:between w:val="nil"/>
              </w:pBdr>
              <w:jc w:val="center"/>
              <w:rPr>
                <w:rFonts w:ascii="Arial" w:hAnsi="Arial" w:cs="Arial"/>
                <w:b/>
              </w:rPr>
            </w:pPr>
            <w:r w:rsidRPr="001D5729">
              <w:rPr>
                <w:rFonts w:ascii="Arial" w:hAnsi="Arial" w:cs="Arial"/>
                <w:b/>
              </w:rPr>
              <w:t>Description</w:t>
            </w:r>
          </w:p>
        </w:tc>
        <w:tc>
          <w:tcPr>
            <w:tcW w:w="2928" w:type="dxa"/>
            <w:shd w:val="clear" w:color="auto" w:fill="B8CCE4"/>
            <w:vAlign w:val="center"/>
          </w:tcPr>
          <w:p w14:paraId="72070B6F" w14:textId="77777777" w:rsidR="001D5729" w:rsidRPr="001D5729" w:rsidRDefault="001D5729" w:rsidP="00A029EB">
            <w:pPr>
              <w:pBdr>
                <w:top w:val="nil"/>
                <w:left w:val="nil"/>
                <w:bottom w:val="nil"/>
                <w:right w:val="nil"/>
                <w:between w:val="nil"/>
              </w:pBdr>
              <w:jc w:val="center"/>
              <w:rPr>
                <w:rFonts w:ascii="Arial" w:hAnsi="Arial" w:cs="Arial"/>
                <w:b/>
              </w:rPr>
            </w:pPr>
            <w:r w:rsidRPr="001D5729">
              <w:rPr>
                <w:rFonts w:ascii="Arial" w:hAnsi="Arial" w:cs="Arial"/>
                <w:b/>
              </w:rPr>
              <w:t>Timeframe or Delivery Date</w:t>
            </w:r>
          </w:p>
        </w:tc>
      </w:tr>
      <w:tr w:rsidR="001D5729" w:rsidRPr="001D5729" w14:paraId="321F1BA6" w14:textId="77777777" w:rsidTr="00A029EB">
        <w:trPr>
          <w:trHeight w:val="1129"/>
        </w:trPr>
        <w:tc>
          <w:tcPr>
            <w:tcW w:w="2546" w:type="dxa"/>
            <w:shd w:val="clear" w:color="auto" w:fill="auto"/>
            <w:vAlign w:val="center"/>
          </w:tcPr>
          <w:p w14:paraId="48A92009"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1</w:t>
            </w:r>
          </w:p>
        </w:tc>
        <w:tc>
          <w:tcPr>
            <w:tcW w:w="3544" w:type="dxa"/>
            <w:shd w:val="clear" w:color="auto" w:fill="auto"/>
            <w:vAlign w:val="center"/>
          </w:tcPr>
          <w:p w14:paraId="1B3EC58D" w14:textId="77777777" w:rsidR="001D5729" w:rsidRPr="001D5729" w:rsidRDefault="001D5729" w:rsidP="00A029EB">
            <w:pPr>
              <w:pBdr>
                <w:top w:val="nil"/>
                <w:left w:val="nil"/>
                <w:bottom w:val="nil"/>
                <w:right w:val="nil"/>
                <w:between w:val="nil"/>
              </w:pBdr>
              <w:rPr>
                <w:rFonts w:ascii="Arial" w:hAnsi="Arial" w:cs="Arial"/>
              </w:rPr>
            </w:pPr>
            <w:r w:rsidRPr="001D5729">
              <w:rPr>
                <w:rFonts w:ascii="Arial" w:hAnsi="Arial" w:cs="Arial"/>
              </w:rPr>
              <w:t>Kick off meeting</w:t>
            </w:r>
          </w:p>
        </w:tc>
        <w:tc>
          <w:tcPr>
            <w:tcW w:w="2928" w:type="dxa"/>
            <w:shd w:val="clear" w:color="auto" w:fill="auto"/>
            <w:vAlign w:val="center"/>
          </w:tcPr>
          <w:p w14:paraId="522D6240"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Within week 1 of Contract Award or no later than 29/10/2025</w:t>
            </w:r>
          </w:p>
        </w:tc>
      </w:tr>
      <w:tr w:rsidR="001D5729" w:rsidRPr="001D5729" w14:paraId="586249C3" w14:textId="77777777" w:rsidTr="00A029EB">
        <w:trPr>
          <w:trHeight w:val="1129"/>
        </w:trPr>
        <w:tc>
          <w:tcPr>
            <w:tcW w:w="2546" w:type="dxa"/>
            <w:shd w:val="clear" w:color="auto" w:fill="auto"/>
            <w:vAlign w:val="center"/>
          </w:tcPr>
          <w:p w14:paraId="6E748672"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2</w:t>
            </w:r>
          </w:p>
        </w:tc>
        <w:tc>
          <w:tcPr>
            <w:tcW w:w="3544" w:type="dxa"/>
            <w:shd w:val="clear" w:color="auto" w:fill="auto"/>
            <w:vAlign w:val="center"/>
          </w:tcPr>
          <w:p w14:paraId="0756A6C6" w14:textId="77777777" w:rsidR="001D5729" w:rsidRPr="001D5729" w:rsidRDefault="001D5729" w:rsidP="00A029EB">
            <w:pPr>
              <w:pBdr>
                <w:top w:val="nil"/>
                <w:left w:val="nil"/>
                <w:bottom w:val="nil"/>
                <w:right w:val="nil"/>
                <w:between w:val="nil"/>
              </w:pBdr>
              <w:rPr>
                <w:rFonts w:ascii="Arial" w:hAnsi="Arial" w:cs="Arial"/>
              </w:rPr>
            </w:pPr>
            <w:r w:rsidRPr="001D5729">
              <w:rPr>
                <w:rFonts w:ascii="Arial" w:hAnsi="Arial" w:cs="Arial"/>
              </w:rPr>
              <w:t>Agreed sample design and questions or prompts</w:t>
            </w:r>
          </w:p>
        </w:tc>
        <w:tc>
          <w:tcPr>
            <w:tcW w:w="2928" w:type="dxa"/>
            <w:shd w:val="clear" w:color="auto" w:fill="auto"/>
            <w:vAlign w:val="center"/>
          </w:tcPr>
          <w:p w14:paraId="2248A803"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No later than 05/11/2025</w:t>
            </w:r>
          </w:p>
        </w:tc>
      </w:tr>
      <w:tr w:rsidR="001D5729" w:rsidRPr="001D5729" w14:paraId="61EA0D05" w14:textId="77777777" w:rsidTr="00A029EB">
        <w:trPr>
          <w:trHeight w:val="1129"/>
        </w:trPr>
        <w:tc>
          <w:tcPr>
            <w:tcW w:w="2546" w:type="dxa"/>
            <w:shd w:val="clear" w:color="auto" w:fill="auto"/>
            <w:vAlign w:val="center"/>
          </w:tcPr>
          <w:p w14:paraId="4DB4B367"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3</w:t>
            </w:r>
          </w:p>
        </w:tc>
        <w:tc>
          <w:tcPr>
            <w:tcW w:w="3544" w:type="dxa"/>
            <w:shd w:val="clear" w:color="auto" w:fill="auto"/>
            <w:vAlign w:val="center"/>
          </w:tcPr>
          <w:p w14:paraId="28535009" w14:textId="77777777" w:rsidR="001D5729" w:rsidRPr="001D5729" w:rsidRDefault="001D5729" w:rsidP="00A029EB">
            <w:pPr>
              <w:pBdr>
                <w:top w:val="nil"/>
                <w:left w:val="nil"/>
                <w:bottom w:val="nil"/>
                <w:right w:val="nil"/>
                <w:between w:val="nil"/>
              </w:pBdr>
              <w:rPr>
                <w:rFonts w:ascii="Arial" w:hAnsi="Arial" w:cs="Arial"/>
              </w:rPr>
            </w:pPr>
            <w:r w:rsidRPr="001D5729">
              <w:rPr>
                <w:rFonts w:ascii="Arial" w:hAnsi="Arial" w:cs="Arial"/>
              </w:rPr>
              <w:t xml:space="preserve">Begin recruitment </w:t>
            </w:r>
          </w:p>
        </w:tc>
        <w:tc>
          <w:tcPr>
            <w:tcW w:w="2928" w:type="dxa"/>
            <w:shd w:val="clear" w:color="auto" w:fill="auto"/>
            <w:vAlign w:val="center"/>
          </w:tcPr>
          <w:p w14:paraId="1F32260A"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Week commencing 10/11/2025</w:t>
            </w:r>
          </w:p>
        </w:tc>
      </w:tr>
      <w:tr w:rsidR="001D5729" w:rsidRPr="001D5729" w14:paraId="26373E3B" w14:textId="77777777" w:rsidTr="00A029EB">
        <w:trPr>
          <w:trHeight w:val="1129"/>
        </w:trPr>
        <w:tc>
          <w:tcPr>
            <w:tcW w:w="2546" w:type="dxa"/>
            <w:shd w:val="clear" w:color="auto" w:fill="auto"/>
            <w:vAlign w:val="center"/>
          </w:tcPr>
          <w:p w14:paraId="6B026C47"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4</w:t>
            </w:r>
          </w:p>
        </w:tc>
        <w:tc>
          <w:tcPr>
            <w:tcW w:w="3544" w:type="dxa"/>
            <w:shd w:val="clear" w:color="auto" w:fill="auto"/>
            <w:vAlign w:val="center"/>
          </w:tcPr>
          <w:p w14:paraId="5700DC79" w14:textId="77777777" w:rsidR="001D5729" w:rsidRPr="001D5729" w:rsidRDefault="001D5729" w:rsidP="00A029EB">
            <w:pPr>
              <w:pBdr>
                <w:top w:val="nil"/>
                <w:left w:val="nil"/>
                <w:bottom w:val="nil"/>
                <w:right w:val="nil"/>
                <w:between w:val="nil"/>
              </w:pBdr>
              <w:rPr>
                <w:rFonts w:ascii="Arial" w:hAnsi="Arial" w:cs="Arial"/>
              </w:rPr>
            </w:pPr>
            <w:r w:rsidRPr="001D5729">
              <w:rPr>
                <w:rFonts w:ascii="Arial" w:hAnsi="Arial" w:cs="Arial"/>
              </w:rPr>
              <w:t>Begin fieldwork</w:t>
            </w:r>
          </w:p>
        </w:tc>
        <w:tc>
          <w:tcPr>
            <w:tcW w:w="2928" w:type="dxa"/>
            <w:shd w:val="clear" w:color="auto" w:fill="auto"/>
            <w:vAlign w:val="center"/>
          </w:tcPr>
          <w:p w14:paraId="5716F163"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Within week 1 of recruitment commencing</w:t>
            </w:r>
          </w:p>
        </w:tc>
      </w:tr>
      <w:tr w:rsidR="001D5729" w:rsidRPr="001D5729" w14:paraId="5B93D0E3" w14:textId="77777777" w:rsidTr="00A029EB">
        <w:trPr>
          <w:trHeight w:val="1129"/>
        </w:trPr>
        <w:tc>
          <w:tcPr>
            <w:tcW w:w="2546" w:type="dxa"/>
            <w:shd w:val="clear" w:color="auto" w:fill="auto"/>
            <w:vAlign w:val="center"/>
          </w:tcPr>
          <w:p w14:paraId="305B1A0D"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5</w:t>
            </w:r>
          </w:p>
        </w:tc>
        <w:tc>
          <w:tcPr>
            <w:tcW w:w="3544" w:type="dxa"/>
            <w:shd w:val="clear" w:color="auto" w:fill="auto"/>
            <w:vAlign w:val="center"/>
          </w:tcPr>
          <w:p w14:paraId="32033C8A" w14:textId="77777777" w:rsidR="001D5729" w:rsidRPr="001D5729" w:rsidRDefault="001D5729" w:rsidP="00A029EB">
            <w:pPr>
              <w:pBdr>
                <w:top w:val="nil"/>
                <w:left w:val="nil"/>
                <w:bottom w:val="nil"/>
                <w:right w:val="nil"/>
                <w:between w:val="nil"/>
              </w:pBdr>
              <w:rPr>
                <w:rFonts w:ascii="Arial" w:hAnsi="Arial" w:cs="Arial"/>
              </w:rPr>
            </w:pPr>
            <w:r w:rsidRPr="001D5729">
              <w:rPr>
                <w:rFonts w:ascii="Arial" w:hAnsi="Arial" w:cs="Arial"/>
              </w:rPr>
              <w:t>Complete fieldwork</w:t>
            </w:r>
          </w:p>
        </w:tc>
        <w:tc>
          <w:tcPr>
            <w:tcW w:w="2928" w:type="dxa"/>
            <w:shd w:val="clear" w:color="auto" w:fill="auto"/>
            <w:vAlign w:val="center"/>
          </w:tcPr>
          <w:p w14:paraId="41364F7A" w14:textId="77777777" w:rsidR="001D5729" w:rsidRPr="001D5729" w:rsidRDefault="001D5729" w:rsidP="00A029EB">
            <w:pPr>
              <w:pBdr>
                <w:top w:val="nil"/>
                <w:left w:val="nil"/>
                <w:bottom w:val="nil"/>
                <w:right w:val="nil"/>
                <w:between w:val="nil"/>
              </w:pBdr>
              <w:jc w:val="center"/>
              <w:rPr>
                <w:rFonts w:ascii="Arial" w:hAnsi="Arial" w:cs="Arial"/>
              </w:rPr>
            </w:pPr>
            <w:r w:rsidRPr="001D5729">
              <w:rPr>
                <w:rFonts w:ascii="Arial" w:hAnsi="Arial" w:cs="Arial"/>
              </w:rPr>
              <w:t>By 12/12/2025</w:t>
            </w:r>
          </w:p>
        </w:tc>
      </w:tr>
    </w:tbl>
    <w:p w14:paraId="50C17EF0" w14:textId="77777777" w:rsidR="001D5729" w:rsidRPr="001D5729" w:rsidRDefault="001D5729" w:rsidP="00D94D6F">
      <w:pPr>
        <w:pBdr>
          <w:top w:val="nil"/>
          <w:left w:val="nil"/>
          <w:bottom w:val="nil"/>
          <w:right w:val="nil"/>
          <w:between w:val="nil"/>
        </w:pBdr>
        <w:spacing w:after="240"/>
        <w:ind w:left="720" w:hanging="720"/>
        <w:jc w:val="both"/>
        <w:rPr>
          <w:rFonts w:ascii="Arial" w:hAnsi="Arial" w:cs="Arial"/>
          <w:color w:val="000000"/>
        </w:rPr>
      </w:pPr>
    </w:p>
    <w:p w14:paraId="2A2F9B4D"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3" w:name="_tzg94yw4w5fz" w:colFirst="0" w:colLast="0"/>
      <w:bookmarkEnd w:id="83"/>
      <w:r w:rsidRPr="001D5729">
        <w:rPr>
          <w:rFonts w:ascii="Arial" w:hAnsi="Arial" w:cs="Arial"/>
        </w:rPr>
        <w:lastRenderedPageBreak/>
        <w:t>MANAGEMENT INFORMATION/REPORTING</w:t>
      </w:r>
      <w:r w:rsidRPr="001D5729">
        <w:rPr>
          <w:rFonts w:ascii="Arial" w:hAnsi="Arial" w:cs="Arial"/>
        </w:rPr>
        <w:br/>
      </w:r>
    </w:p>
    <w:p w14:paraId="7F6591D7"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The Supplier must have one lead project manager responsible for all components of the research.  </w:t>
      </w:r>
    </w:p>
    <w:p w14:paraId="7698E022"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Contracting Authority’s research project manager and/or team will provide advice and guidance on any issues during the course of the project.  Where comments or input are required from the Contracting Authority, the Supplier should allow sufficient time for turnaround and give advance notice where possible.  As a general guide the Contracting Authority will aim to turnaround minor requests within one week and major requests (e.g., commenting on drafts of reports, or checking data outputs) within two weeks.  Key documents and decisions will require feedback from wider stakeholders.  The Supplier should factor these clearance periods into project timings and indicate clearly in any project timetable when such outputs will be submitted for clearance.</w:t>
      </w:r>
    </w:p>
    <w:p w14:paraId="61DB8271"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It is expected that project leads for the Contracting Authority and Supplier, plus additional team members as required, will hold weekly teleconferences and meet at key points (to be agreed between the Contracting Authority and Supplier) to discuss the progress of the research.  Expenses for such meetings if held in person must be included in the core contract price.</w:t>
      </w:r>
    </w:p>
    <w:p w14:paraId="3D282043"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As part of the management of the research the Supplier will be required to produce and submit the following management information to the Contracting Authority:</w:t>
      </w:r>
    </w:p>
    <w:p w14:paraId="476A83CE" w14:textId="77777777" w:rsidR="001D5729" w:rsidRPr="001D5729" w:rsidRDefault="001D5729" w:rsidP="001D5729">
      <w:pPr>
        <w:pStyle w:val="Heading3"/>
        <w:numPr>
          <w:ilvl w:val="2"/>
          <w:numId w:val="85"/>
        </w:numPr>
        <w:tabs>
          <w:tab w:val="num" w:pos="360"/>
        </w:tabs>
        <w:spacing w:after="0"/>
        <w:ind w:left="2160"/>
        <w:jc w:val="left"/>
      </w:pPr>
      <w:r w:rsidRPr="001D5729">
        <w:t>Brief weekly progress updates – to update on progress towards milestones and management of risks arising.  The format of these reports should be agreed with the Contracting Authority and submitted in advance of the teleconference.</w:t>
      </w:r>
      <w:r w:rsidRPr="001D5729">
        <w:br/>
      </w:r>
    </w:p>
    <w:p w14:paraId="5C4F4B07" w14:textId="77777777" w:rsidR="001D5729" w:rsidRPr="001D5729" w:rsidRDefault="001D5729" w:rsidP="001D5729">
      <w:pPr>
        <w:pStyle w:val="Heading3"/>
        <w:numPr>
          <w:ilvl w:val="2"/>
          <w:numId w:val="85"/>
        </w:numPr>
        <w:tabs>
          <w:tab w:val="num" w:pos="360"/>
        </w:tabs>
        <w:spacing w:after="0"/>
        <w:ind w:left="2160"/>
        <w:jc w:val="left"/>
      </w:pPr>
      <w:r w:rsidRPr="001D5729">
        <w:t>Fieldwork updates (frequency to be agreed) – to outline response rates and progress towards targets.</w:t>
      </w:r>
      <w:r w:rsidRPr="001D5729">
        <w:br/>
      </w:r>
    </w:p>
    <w:p w14:paraId="68FE3989" w14:textId="77777777" w:rsidR="001D5729" w:rsidRPr="001D5729" w:rsidRDefault="001D5729" w:rsidP="001D5729">
      <w:pPr>
        <w:pStyle w:val="Heading3"/>
        <w:numPr>
          <w:ilvl w:val="2"/>
          <w:numId w:val="85"/>
        </w:numPr>
        <w:tabs>
          <w:tab w:val="num" w:pos="360"/>
        </w:tabs>
        <w:spacing w:after="0"/>
        <w:ind w:left="2160"/>
        <w:jc w:val="left"/>
      </w:pPr>
      <w:r w:rsidRPr="001D5729">
        <w:t>Monthly contract review updates - to review adherence to objectives and milestones, and consider any course correction required.</w:t>
      </w:r>
      <w:r w:rsidRPr="001D5729">
        <w:br/>
      </w:r>
    </w:p>
    <w:p w14:paraId="7BF22F7B"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4" w:name="_brzcrvddalnx" w:colFirst="0" w:colLast="0"/>
      <w:bookmarkEnd w:id="84"/>
      <w:r w:rsidRPr="001D5729">
        <w:rPr>
          <w:rFonts w:ascii="Arial" w:hAnsi="Arial" w:cs="Arial"/>
        </w:rPr>
        <w:t>POTENTIAL, ACTUAL OR EXPECTED DELIVERY VOLUMES</w:t>
      </w:r>
    </w:p>
    <w:p w14:paraId="15148569" w14:textId="77777777" w:rsidR="001D5729" w:rsidRPr="001D5729" w:rsidRDefault="001D5729" w:rsidP="00D94D6F">
      <w:pPr>
        <w:rPr>
          <w:rFonts w:ascii="Arial" w:hAnsi="Arial" w:cs="Arial"/>
        </w:rPr>
      </w:pPr>
    </w:p>
    <w:p w14:paraId="4F4ECD3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is expected to produce 8 to 10 case studies of around 300-500 words.</w:t>
      </w:r>
    </w:p>
    <w:p w14:paraId="1D234FB6"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5" w:name="_zbq2sehc36j5" w:colFirst="0" w:colLast="0"/>
      <w:bookmarkEnd w:id="85"/>
      <w:r w:rsidRPr="001D5729">
        <w:rPr>
          <w:rFonts w:ascii="Arial" w:hAnsi="Arial" w:cs="Arial"/>
        </w:rPr>
        <w:t xml:space="preserve">LOCATION </w:t>
      </w:r>
    </w:p>
    <w:p w14:paraId="6EB5AA58" w14:textId="77777777" w:rsidR="001D5729" w:rsidRPr="001D5729" w:rsidRDefault="001D5729" w:rsidP="00D94D6F">
      <w:pPr>
        <w:rPr>
          <w:rFonts w:ascii="Arial" w:hAnsi="Arial" w:cs="Arial"/>
        </w:rPr>
      </w:pPr>
    </w:p>
    <w:p w14:paraId="4A54D8C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services shall be delivered from the Supplier’s chosen address.</w:t>
      </w:r>
    </w:p>
    <w:p w14:paraId="340CDF80"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6" w:name="_4ty0b1swcip3" w:colFirst="0" w:colLast="0"/>
      <w:bookmarkEnd w:id="86"/>
      <w:r w:rsidRPr="001D5729">
        <w:rPr>
          <w:rFonts w:ascii="Arial" w:hAnsi="Arial" w:cs="Arial"/>
        </w:rPr>
        <w:t>SUSTAINABILITY AND CARBON NET ZERO</w:t>
      </w:r>
    </w:p>
    <w:p w14:paraId="6CE6F47C" w14:textId="77777777" w:rsidR="001D5729" w:rsidRPr="001D5729" w:rsidRDefault="001D5729" w:rsidP="00D94D6F">
      <w:pPr>
        <w:rPr>
          <w:rFonts w:ascii="Arial" w:hAnsi="Arial" w:cs="Arial"/>
        </w:rPr>
      </w:pPr>
    </w:p>
    <w:p w14:paraId="733E21B8"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All meetings to be held virtually, unless specifically requested by the Contracting Authority.</w:t>
      </w:r>
    </w:p>
    <w:p w14:paraId="31A0869B"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lastRenderedPageBreak/>
        <w:t>All suppliers have committed to comply with Procurement Policy Note 006, </w:t>
      </w:r>
      <w:hyperlink r:id="rId9">
        <w:r w:rsidRPr="001D5729">
          <w:rPr>
            <w:rFonts w:ascii="Arial" w:hAnsi="Arial" w:cs="Arial"/>
            <w:color w:val="0000FF"/>
            <w:u w:val="single"/>
          </w:rPr>
          <w:t>'Taking account of Carbon Reduction Plans in the procurement of major government contracts'</w:t>
        </w:r>
      </w:hyperlink>
      <w:r w:rsidRPr="001D5729">
        <w:rPr>
          <w:rFonts w:ascii="Arial" w:hAnsi="Arial" w:cs="Arial"/>
          <w:color w:val="000000"/>
        </w:rPr>
        <w:t> as required as per the Crown Commercial Service Commercial Agreement.</w:t>
      </w:r>
    </w:p>
    <w:p w14:paraId="7658BE66"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shall minimise, where possible, the carbon footprint of all services delivered under this Contract.</w:t>
      </w:r>
    </w:p>
    <w:p w14:paraId="458D43F1"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7" w:name="_j0zeafpdsihz" w:colFirst="0" w:colLast="0"/>
      <w:bookmarkEnd w:id="87"/>
      <w:r w:rsidRPr="001D5729">
        <w:rPr>
          <w:rFonts w:ascii="Arial" w:hAnsi="Arial" w:cs="Arial"/>
        </w:rPr>
        <w:t>SOCIAL VALUE</w:t>
      </w:r>
    </w:p>
    <w:p w14:paraId="57745C2D" w14:textId="77777777" w:rsidR="001D5729" w:rsidRPr="001D5729" w:rsidRDefault="001D5729" w:rsidP="00D94D6F">
      <w:pPr>
        <w:pBdr>
          <w:top w:val="nil"/>
          <w:left w:val="nil"/>
          <w:bottom w:val="nil"/>
          <w:right w:val="nil"/>
          <w:between w:val="nil"/>
        </w:pBdr>
        <w:ind w:left="709" w:hanging="709"/>
        <w:rPr>
          <w:rFonts w:ascii="Arial" w:hAnsi="Arial" w:cs="Arial"/>
          <w:color w:val="000000"/>
          <w:sz w:val="20"/>
          <w:szCs w:val="20"/>
        </w:rPr>
      </w:pPr>
    </w:p>
    <w:p w14:paraId="26010C3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should meet the social value commitment by ensuring that effective measures to deliver any of the following benefits through the contract are made:</w:t>
      </w:r>
    </w:p>
    <w:p w14:paraId="113E0946"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Demonstrate action to increase the representation of disabled people in the supplier workforce.</w:t>
      </w:r>
    </w:p>
    <w:p w14:paraId="13F688DE"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Support disabled people in developing new skills relevant to the supplier, including through training schemes that result in recognised qualifications.</w:t>
      </w:r>
    </w:p>
    <w:p w14:paraId="73ED563B"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Demonstrate action to identify and tackle inequality in employment, skills and pay in the supplier workforce.</w:t>
      </w:r>
    </w:p>
    <w:p w14:paraId="73120E5D"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Support in-work progression to help people, including those from disadvantaged or minority groups, to move into higher paid work by developing new skills relevant to the supplier</w:t>
      </w:r>
    </w:p>
    <w:p w14:paraId="16BE0C96"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Bidders should demonstrate how through this contract they will incorporate the Social Value Criteria </w:t>
      </w:r>
      <w:r w:rsidRPr="001D5729">
        <w:rPr>
          <w:rFonts w:ascii="Arial" w:hAnsi="Arial" w:cs="Arial"/>
          <w:b/>
          <w:color w:val="000000"/>
        </w:rPr>
        <w:t>‘Equal Opportunity – Reducing the disability employment gap / Tackle workforce inequality’</w:t>
      </w:r>
      <w:r w:rsidRPr="001D5729">
        <w:rPr>
          <w:rFonts w:ascii="Arial" w:hAnsi="Arial" w:cs="Arial"/>
          <w:color w:val="000000"/>
        </w:rPr>
        <w:t xml:space="preserve"> as set out in technical evaluation criteria.</w:t>
      </w:r>
    </w:p>
    <w:p w14:paraId="13F58147"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should demonstrate action taken in line with the Social Value theme identified above throughout the duration of the contract. The Buyer may request reporting on action(s) taken to tackle workforce inequality.</w:t>
      </w:r>
    </w:p>
    <w:p w14:paraId="4C6D4FC4"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Suppliers can find more information on the Social Value themes at </w:t>
      </w:r>
      <w:hyperlink r:id="rId10">
        <w:r w:rsidRPr="001D5729">
          <w:rPr>
            <w:rFonts w:ascii="Arial" w:hAnsi="Arial" w:cs="Arial"/>
            <w:color w:val="0000FF"/>
            <w:u w:val="single"/>
          </w:rPr>
          <w:t>PPN 06/20 Taking Account of Social Value in the Award of Central Government Contracts</w:t>
        </w:r>
      </w:hyperlink>
      <w:r w:rsidRPr="001D5729">
        <w:rPr>
          <w:rFonts w:ascii="Arial" w:hAnsi="Arial" w:cs="Arial"/>
          <w:color w:val="000000"/>
        </w:rPr>
        <w:t>.</w:t>
      </w:r>
    </w:p>
    <w:p w14:paraId="1899FD47"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8" w:name="_qvxskncwfj7c" w:colFirst="0" w:colLast="0"/>
      <w:bookmarkEnd w:id="88"/>
      <w:r w:rsidRPr="001D5729">
        <w:rPr>
          <w:rFonts w:ascii="Arial" w:hAnsi="Arial" w:cs="Arial"/>
        </w:rPr>
        <w:t>QUALITY</w:t>
      </w:r>
      <w:r w:rsidRPr="001D5729">
        <w:rPr>
          <w:rFonts w:ascii="Arial" w:hAnsi="Arial" w:cs="Arial"/>
        </w:rPr>
        <w:br/>
      </w:r>
    </w:p>
    <w:p w14:paraId="669655EC"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Contracting Authority will measure the quality of the Supplier’s delivery by:</w:t>
      </w:r>
    </w:p>
    <w:p w14:paraId="306B235D"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Supplier experience and capability:</w:t>
      </w:r>
      <w:r w:rsidRPr="001D5729">
        <w:rPr>
          <w:rFonts w:ascii="Arial" w:hAnsi="Arial" w:cs="Arial"/>
          <w:color w:val="000000"/>
        </w:rPr>
        <w:t xml:space="preserve"> the supplier will demonstrate excellent project management of delivering projects of similar size and scope, with awareness of risk and proposals for mitigation. Suppliers will also demonstrate experience of delivering research on sensitive topics with diverse field staff and using culturally sensitive practices.</w:t>
      </w:r>
    </w:p>
    <w:p w14:paraId="19387E74"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t>Research design:</w:t>
      </w:r>
      <w:r w:rsidRPr="001D5729">
        <w:rPr>
          <w:rFonts w:ascii="Arial" w:hAnsi="Arial" w:cs="Arial"/>
          <w:color w:val="000000"/>
        </w:rPr>
        <w:t xml:space="preserve"> the supplier will demonstrate an excellent approach to methodological rigour in qualitative research, ensuring appropriate representation in the sample, quality assurance processes and clear reporting plans.</w:t>
      </w:r>
    </w:p>
    <w:p w14:paraId="2757EF8D" w14:textId="77777777" w:rsidR="001D5729" w:rsidRPr="001D5729" w:rsidRDefault="001D5729" w:rsidP="001D5729">
      <w:pPr>
        <w:numPr>
          <w:ilvl w:val="2"/>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b/>
          <w:color w:val="000000"/>
        </w:rPr>
        <w:lastRenderedPageBreak/>
        <w:t>Project management, data security and ethics:</w:t>
      </w:r>
      <w:r w:rsidRPr="001D5729">
        <w:rPr>
          <w:rFonts w:ascii="Arial" w:hAnsi="Arial" w:cs="Arial"/>
          <w:color w:val="000000"/>
        </w:rPr>
        <w:t xml:space="preserve"> the supplier will be able to meet key milestones and have excellent awareness of ethical issues and means of mitigation. They will also comply with all data security requirements.</w:t>
      </w:r>
    </w:p>
    <w:p w14:paraId="738DABAB"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89" w:name="_um8kdu4mtyy2" w:colFirst="0" w:colLast="0"/>
      <w:bookmarkEnd w:id="89"/>
      <w:r w:rsidRPr="001D5729">
        <w:rPr>
          <w:rFonts w:ascii="Arial" w:hAnsi="Arial" w:cs="Arial"/>
        </w:rPr>
        <w:t>STAFF AND CUSTOMER SERVICE</w:t>
      </w:r>
    </w:p>
    <w:p w14:paraId="1CFFA8D9" w14:textId="77777777" w:rsidR="001D5729" w:rsidRPr="001D5729" w:rsidRDefault="001D5729" w:rsidP="00D94D6F">
      <w:pPr>
        <w:rPr>
          <w:rFonts w:ascii="Arial" w:hAnsi="Arial" w:cs="Arial"/>
        </w:rPr>
      </w:pPr>
    </w:p>
    <w:p w14:paraId="16FD4BB3"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shall provide a sufficient level of resource throughout the duration of the Contract in order to consistently deliver a quality service.</w:t>
      </w:r>
    </w:p>
    <w:p w14:paraId="0E4DD4B8"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The Supplier’s staff assigned to the Contract shall have the relevant qualifications and experience (as detailed in the Mandatory Requirements Section) to deliver the Contract to the required standard. </w:t>
      </w:r>
    </w:p>
    <w:p w14:paraId="5AE63D48"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shall ensure that staff understand the Buyer’s vision and objectives and will provide excellent customer service to the Buyer throughout the duration of the Contract.</w:t>
      </w:r>
    </w:p>
    <w:p w14:paraId="4DC9D3F7"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The Supplier shall communicate all changes to the Key Personnel as defined in the Call-Off Contract throughout the Term.  </w:t>
      </w:r>
    </w:p>
    <w:p w14:paraId="52D57848"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90" w:name="_9r5lvlhw6w38" w:colFirst="0" w:colLast="0"/>
      <w:bookmarkEnd w:id="90"/>
      <w:r w:rsidRPr="001D5729">
        <w:rPr>
          <w:rFonts w:ascii="Arial" w:hAnsi="Arial" w:cs="Arial"/>
        </w:rPr>
        <w:t>CONTINUOUS IMPROVEMENT</w:t>
      </w:r>
    </w:p>
    <w:p w14:paraId="62743BEB" w14:textId="77777777" w:rsidR="001D5729" w:rsidRPr="001D5729" w:rsidRDefault="001D5729" w:rsidP="00D94D6F">
      <w:pPr>
        <w:rPr>
          <w:rFonts w:ascii="Arial" w:hAnsi="Arial" w:cs="Arial"/>
        </w:rPr>
      </w:pPr>
    </w:p>
    <w:p w14:paraId="202B9771"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will be expected to continually improve the way in which the required services are to be delivered throughout the Contract duration.</w:t>
      </w:r>
    </w:p>
    <w:p w14:paraId="435D8133"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The Supplier should present new ways of working to the Buyer during monthly/quarterly Contract review meetings. </w:t>
      </w:r>
    </w:p>
    <w:p w14:paraId="75324F60"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Changes to the way in which the Services are to be delivered must be brought to the Buyer’s attention and agreed prior to any changes being implemented.</w:t>
      </w:r>
    </w:p>
    <w:p w14:paraId="261C0B84"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91" w:name="_exgyf2rqht9p" w:colFirst="0" w:colLast="0"/>
      <w:bookmarkEnd w:id="91"/>
      <w:r w:rsidRPr="001D5729">
        <w:rPr>
          <w:rFonts w:ascii="Arial" w:hAnsi="Arial" w:cs="Arial"/>
        </w:rPr>
        <w:t>SECURITY AND CONFIDENTIALITY REQUIREMENTS</w:t>
      </w:r>
    </w:p>
    <w:p w14:paraId="1CF28153" w14:textId="77777777" w:rsidR="001D5729" w:rsidRPr="001D5729" w:rsidRDefault="001D5729" w:rsidP="00D94D6F">
      <w:pPr>
        <w:rPr>
          <w:rFonts w:ascii="Arial" w:hAnsi="Arial" w:cs="Arial"/>
        </w:rPr>
      </w:pPr>
    </w:p>
    <w:p w14:paraId="1E5813BD"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The Supplier is required to implement appropriate arrangements for data security at all times, particularly relating to the transmission and storage of personal data.  Such procedures must meet the standards outlined in the framework terms and conditions, UK GDPR and the Data Protection Act 2018. </w:t>
      </w:r>
    </w:p>
    <w:p w14:paraId="33F9F12F"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Suppliers should confirm they hold either Cyber Essentials Plus or ISO27001 certification. This is a minimum requirement due to the sensitive nature of the data being collected and processed. If Suppliers do not meet this minimum, they will be deemed non-compliant and therefore excluded from the Procurement.</w:t>
      </w:r>
    </w:p>
    <w:p w14:paraId="16A66268"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Ideally, data processing will be UK-based; otherwise, Suppliers should confirm the legal gateway for exporting the data out of the UK.</w:t>
      </w:r>
    </w:p>
    <w:p w14:paraId="0819EA74"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Processes should be in place for securing data being returned by participants and safeguarding against data loss, including appropriate risk management procedures. Potential Suppliers should confirm within their response that such procedures will be </w:t>
      </w:r>
      <w:r w:rsidRPr="001D5729">
        <w:rPr>
          <w:rFonts w:ascii="Arial" w:hAnsi="Arial" w:cs="Arial"/>
          <w:color w:val="000000"/>
        </w:rPr>
        <w:lastRenderedPageBreak/>
        <w:t>implemented and outline the technical measures to be put in place to meet such requirements.</w:t>
      </w:r>
    </w:p>
    <w:p w14:paraId="6544203B"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Participants should be made aware that participation is completely voluntary and that they can withdraw consent at any point. In addition, participation is confidential and anonymous; although the case studies will be shared across government, they will not identify any individual. A privacy notice must be made available</w:t>
      </w:r>
    </w:p>
    <w:p w14:paraId="01956B34"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92" w:name="_resu3aypc5bh" w:colFirst="0" w:colLast="0"/>
      <w:bookmarkEnd w:id="92"/>
      <w:r w:rsidRPr="001D5729">
        <w:rPr>
          <w:rFonts w:ascii="Arial" w:hAnsi="Arial" w:cs="Arial"/>
        </w:rPr>
        <w:t>PRICING MECHANISM</w:t>
      </w:r>
    </w:p>
    <w:p w14:paraId="5C3E4F5A" w14:textId="77777777" w:rsidR="001D5729" w:rsidRPr="001D5729" w:rsidRDefault="001D5729" w:rsidP="00D94D6F">
      <w:pPr>
        <w:rPr>
          <w:rFonts w:ascii="Arial" w:hAnsi="Arial" w:cs="Arial"/>
        </w:rPr>
      </w:pPr>
    </w:p>
    <w:p w14:paraId="5D772901" w14:textId="64FC24A1"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We do not expect this project to cost more than </w:t>
      </w:r>
      <w:r w:rsidR="00901D45" w:rsidRPr="00901D45">
        <w:rPr>
          <w:rFonts w:ascii="Arial" w:hAnsi="Arial" w:cs="Arial"/>
          <w:b/>
        </w:rPr>
        <w:t>Redacted under FOIA section 43, Commercial Interests</w:t>
      </w:r>
      <w:r w:rsidRPr="00901D45">
        <w:rPr>
          <w:rFonts w:ascii="Arial" w:hAnsi="Arial" w:cs="Arial"/>
          <w:color w:val="000000"/>
        </w:rPr>
        <w:t xml:space="preserve">. </w:t>
      </w:r>
      <w:r w:rsidRPr="001D5729">
        <w:rPr>
          <w:rFonts w:ascii="Arial" w:hAnsi="Arial" w:cs="Arial"/>
          <w:color w:val="000000"/>
        </w:rPr>
        <w:t>Please note, if a Potential Supplier’s tendered price exceeds this budget, they will be deemed non-compliant and therefore excluded from the Procurement.</w:t>
      </w:r>
    </w:p>
    <w:p w14:paraId="3F6CF397"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Contracting Authority is looking for the most competitive bid that can deliver maximum value for money.  This will be assessed in accordance with Attachment 2.</w:t>
      </w:r>
    </w:p>
    <w:p w14:paraId="51C9B4BB"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Usage of, and charges from, third party suppliers should be clearly identified and explained.  The Contracting Authority expects the Supplier to ensure that third party suppliers are commissioned on a clear value for money basis, and that such activities are passed on at cost.</w:t>
      </w:r>
    </w:p>
    <w:p w14:paraId="422751B6"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Prices are to be submitted via the e-Sourcing Suite Attachment 4 – Price Schedule excluding VAT and including all other expenses relating to Contract delivery</w:t>
      </w:r>
    </w:p>
    <w:p w14:paraId="79767C8B"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All prices are inclusive of expenses, such as travel and subsistence.</w:t>
      </w:r>
    </w:p>
    <w:p w14:paraId="5194E0FF"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93" w:name="_986ucg6sds2n" w:colFirst="0" w:colLast="0"/>
      <w:bookmarkEnd w:id="93"/>
      <w:r w:rsidRPr="001D5729">
        <w:rPr>
          <w:rFonts w:ascii="Arial" w:hAnsi="Arial" w:cs="Arial"/>
        </w:rPr>
        <w:t xml:space="preserve">PAYMENT AND INVOICING </w:t>
      </w:r>
    </w:p>
    <w:p w14:paraId="57888441" w14:textId="77777777" w:rsidR="001D5729" w:rsidRPr="001D5729" w:rsidRDefault="001D5729" w:rsidP="00D94D6F">
      <w:pPr>
        <w:rPr>
          <w:rFonts w:ascii="Arial" w:hAnsi="Arial" w:cs="Arial"/>
        </w:rPr>
      </w:pPr>
    </w:p>
    <w:p w14:paraId="2B46A7DA" w14:textId="2AFA6944"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will be invoiced to the following schedule:</w:t>
      </w:r>
    </w:p>
    <w:p w14:paraId="63A51730" w14:textId="4F778333"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36F1118C" w14:textId="593AEF6A"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44FFA141" w14:textId="1DDA1C19"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5374AA9F" w14:textId="3DC270CD"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676E368C" w14:textId="0A2F7D0B"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5ADCBCDA" w14:textId="6145D754"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4F628D14" w14:textId="12CB10C2"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134EA9D0" w14:textId="4BD5410A"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4F2D0A7A" w14:textId="0DF7CF1A"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76D0D7AF" w14:textId="44EF3A1A" w:rsidR="001D5729" w:rsidRDefault="001D5729" w:rsidP="001D5729">
      <w:pPr>
        <w:pBdr>
          <w:top w:val="nil"/>
          <w:left w:val="nil"/>
          <w:bottom w:val="nil"/>
          <w:right w:val="nil"/>
          <w:between w:val="nil"/>
        </w:pBdr>
        <w:spacing w:after="240" w:line="240" w:lineRule="auto"/>
        <w:ind w:left="720"/>
        <w:jc w:val="both"/>
        <w:rPr>
          <w:rFonts w:ascii="Arial" w:hAnsi="Arial" w:cs="Arial"/>
          <w:color w:val="000000"/>
        </w:rPr>
      </w:pPr>
    </w:p>
    <w:p w14:paraId="2894D615" w14:textId="77777777" w:rsidR="001D5729" w:rsidRPr="001D5729" w:rsidRDefault="001D5729" w:rsidP="001D5729">
      <w:pPr>
        <w:pBdr>
          <w:top w:val="nil"/>
          <w:left w:val="nil"/>
          <w:bottom w:val="nil"/>
          <w:right w:val="nil"/>
          <w:between w:val="nil"/>
        </w:pBdr>
        <w:spacing w:after="240" w:line="240" w:lineRule="auto"/>
        <w:ind w:left="720"/>
        <w:jc w:val="both"/>
        <w:rPr>
          <w:rFonts w:ascii="Arial" w:hAnsi="Arial" w:cs="Arial"/>
        </w:rPr>
      </w:pPr>
    </w:p>
    <w:tbl>
      <w:tblPr>
        <w:tblW w:w="85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3"/>
        <w:gridCol w:w="2095"/>
        <w:gridCol w:w="2126"/>
        <w:gridCol w:w="2024"/>
      </w:tblGrid>
      <w:tr w:rsidR="001D5729" w:rsidRPr="001D5729" w14:paraId="28542CCF" w14:textId="77777777" w:rsidTr="00A029EB">
        <w:tc>
          <w:tcPr>
            <w:tcW w:w="2353" w:type="dxa"/>
            <w:shd w:val="clear" w:color="auto" w:fill="B8CCE4"/>
          </w:tcPr>
          <w:p w14:paraId="50A221CC" w14:textId="77777777" w:rsidR="001D5729" w:rsidRPr="001D5729" w:rsidRDefault="001D5729" w:rsidP="00A029EB">
            <w:pPr>
              <w:pStyle w:val="Heading3"/>
              <w:spacing w:after="0"/>
              <w:ind w:left="0" w:firstLine="0"/>
              <w:jc w:val="left"/>
              <w:rPr>
                <w:b/>
              </w:rPr>
            </w:pPr>
            <w:r w:rsidRPr="001D5729">
              <w:rPr>
                <w:b/>
              </w:rPr>
              <w:t>Invoice</w:t>
            </w:r>
          </w:p>
        </w:tc>
        <w:tc>
          <w:tcPr>
            <w:tcW w:w="2095" w:type="dxa"/>
            <w:shd w:val="clear" w:color="auto" w:fill="B8CCE4"/>
          </w:tcPr>
          <w:p w14:paraId="76F77383" w14:textId="77777777" w:rsidR="001D5729" w:rsidRPr="001D5729" w:rsidRDefault="001D5729" w:rsidP="00A029EB">
            <w:pPr>
              <w:pStyle w:val="Heading3"/>
              <w:spacing w:after="0"/>
              <w:ind w:left="0" w:firstLine="0"/>
              <w:jc w:val="left"/>
              <w:rPr>
                <w:b/>
              </w:rPr>
            </w:pPr>
            <w:r w:rsidRPr="001D5729">
              <w:rPr>
                <w:b/>
              </w:rPr>
              <w:t>Milestone</w:t>
            </w:r>
          </w:p>
        </w:tc>
        <w:tc>
          <w:tcPr>
            <w:tcW w:w="2126" w:type="dxa"/>
            <w:shd w:val="clear" w:color="auto" w:fill="B8CCE4"/>
          </w:tcPr>
          <w:p w14:paraId="0E1751B8" w14:textId="77777777" w:rsidR="001D5729" w:rsidRPr="001D5729" w:rsidRDefault="001D5729" w:rsidP="00A029EB">
            <w:pPr>
              <w:pStyle w:val="Heading3"/>
              <w:spacing w:after="0"/>
              <w:ind w:left="0" w:firstLine="0"/>
              <w:jc w:val="left"/>
              <w:rPr>
                <w:b/>
              </w:rPr>
            </w:pPr>
            <w:r w:rsidRPr="001D5729">
              <w:rPr>
                <w:b/>
              </w:rPr>
              <w:t>Description</w:t>
            </w:r>
          </w:p>
        </w:tc>
        <w:tc>
          <w:tcPr>
            <w:tcW w:w="2024" w:type="dxa"/>
            <w:shd w:val="clear" w:color="auto" w:fill="B8CCE4"/>
          </w:tcPr>
          <w:p w14:paraId="2FA6AD54" w14:textId="77777777" w:rsidR="001D5729" w:rsidRPr="001D5729" w:rsidRDefault="001D5729" w:rsidP="00A029EB">
            <w:pPr>
              <w:pStyle w:val="Heading3"/>
              <w:spacing w:after="0"/>
              <w:ind w:left="0" w:firstLine="0"/>
              <w:jc w:val="left"/>
              <w:rPr>
                <w:b/>
              </w:rPr>
            </w:pPr>
            <w:r w:rsidRPr="001D5729">
              <w:rPr>
                <w:b/>
              </w:rPr>
              <w:t xml:space="preserve">% </w:t>
            </w:r>
            <w:proofErr w:type="gramStart"/>
            <w:r w:rsidRPr="001D5729">
              <w:rPr>
                <w:b/>
              </w:rPr>
              <w:t>of</w:t>
            </w:r>
            <w:proofErr w:type="gramEnd"/>
            <w:r w:rsidRPr="001D5729">
              <w:rPr>
                <w:b/>
              </w:rPr>
              <w:t xml:space="preserve"> value</w:t>
            </w:r>
          </w:p>
        </w:tc>
      </w:tr>
      <w:tr w:rsidR="001D5729" w:rsidRPr="001D5729" w14:paraId="4FEB1EE5" w14:textId="77777777" w:rsidTr="00A029EB">
        <w:tc>
          <w:tcPr>
            <w:tcW w:w="2353" w:type="dxa"/>
          </w:tcPr>
          <w:p w14:paraId="4047CB01" w14:textId="77777777" w:rsidR="001D5729" w:rsidRPr="001D5729" w:rsidRDefault="001D5729" w:rsidP="00A029EB">
            <w:pPr>
              <w:pStyle w:val="Heading2"/>
              <w:rPr>
                <w:rFonts w:ascii="Arial" w:hAnsi="Arial" w:cs="Arial"/>
              </w:rPr>
            </w:pPr>
            <w:r w:rsidRPr="001D5729">
              <w:rPr>
                <w:rFonts w:ascii="Arial" w:hAnsi="Arial" w:cs="Arial"/>
              </w:rPr>
              <w:t>1</w:t>
            </w:r>
          </w:p>
        </w:tc>
        <w:tc>
          <w:tcPr>
            <w:tcW w:w="2095" w:type="dxa"/>
          </w:tcPr>
          <w:p w14:paraId="1D43BBFC" w14:textId="77777777" w:rsidR="001D5729" w:rsidRPr="001D5729" w:rsidRDefault="001D5729" w:rsidP="00A029EB">
            <w:pPr>
              <w:pStyle w:val="Heading2"/>
              <w:rPr>
                <w:rFonts w:ascii="Arial" w:hAnsi="Arial" w:cs="Arial"/>
              </w:rPr>
            </w:pPr>
            <w:r w:rsidRPr="001D5729">
              <w:rPr>
                <w:rFonts w:ascii="Arial" w:hAnsi="Arial" w:cs="Arial"/>
              </w:rPr>
              <w:t>2</w:t>
            </w:r>
          </w:p>
        </w:tc>
        <w:tc>
          <w:tcPr>
            <w:tcW w:w="2126" w:type="dxa"/>
          </w:tcPr>
          <w:p w14:paraId="4A8F6520" w14:textId="77777777" w:rsidR="001D5729" w:rsidRPr="001D5729" w:rsidRDefault="001D5729" w:rsidP="00A029EB">
            <w:pPr>
              <w:pStyle w:val="Heading2"/>
              <w:rPr>
                <w:rFonts w:ascii="Arial" w:hAnsi="Arial" w:cs="Arial"/>
              </w:rPr>
            </w:pPr>
            <w:r w:rsidRPr="001D5729">
              <w:rPr>
                <w:rFonts w:ascii="Arial" w:hAnsi="Arial" w:cs="Arial"/>
              </w:rPr>
              <w:t>Agreed sample and questions or prompts</w:t>
            </w:r>
          </w:p>
        </w:tc>
        <w:tc>
          <w:tcPr>
            <w:tcW w:w="2024" w:type="dxa"/>
          </w:tcPr>
          <w:p w14:paraId="7A274766" w14:textId="77777777" w:rsidR="001D5729" w:rsidRPr="001D5729" w:rsidRDefault="001D5729" w:rsidP="00A029EB">
            <w:pPr>
              <w:pStyle w:val="Heading2"/>
              <w:rPr>
                <w:rFonts w:ascii="Arial" w:hAnsi="Arial" w:cs="Arial"/>
              </w:rPr>
            </w:pPr>
            <w:r w:rsidRPr="001D5729">
              <w:rPr>
                <w:rFonts w:ascii="Arial" w:hAnsi="Arial" w:cs="Arial"/>
              </w:rPr>
              <w:t>20%</w:t>
            </w:r>
          </w:p>
        </w:tc>
      </w:tr>
      <w:tr w:rsidR="001D5729" w:rsidRPr="001D5729" w14:paraId="33142231" w14:textId="77777777" w:rsidTr="00A029EB">
        <w:tc>
          <w:tcPr>
            <w:tcW w:w="2353" w:type="dxa"/>
          </w:tcPr>
          <w:p w14:paraId="0A0D275D" w14:textId="77777777" w:rsidR="001D5729" w:rsidRPr="001D5729" w:rsidRDefault="001D5729" w:rsidP="00A029EB">
            <w:pPr>
              <w:pStyle w:val="Heading2"/>
              <w:rPr>
                <w:rFonts w:ascii="Arial" w:hAnsi="Arial" w:cs="Arial"/>
              </w:rPr>
            </w:pPr>
            <w:r w:rsidRPr="001D5729">
              <w:rPr>
                <w:rFonts w:ascii="Arial" w:hAnsi="Arial" w:cs="Arial"/>
              </w:rPr>
              <w:t>2</w:t>
            </w:r>
          </w:p>
        </w:tc>
        <w:tc>
          <w:tcPr>
            <w:tcW w:w="2095" w:type="dxa"/>
          </w:tcPr>
          <w:p w14:paraId="35ABCB0A" w14:textId="77777777" w:rsidR="001D5729" w:rsidRPr="001D5729" w:rsidRDefault="001D5729" w:rsidP="00A029EB">
            <w:pPr>
              <w:pStyle w:val="Heading2"/>
              <w:rPr>
                <w:rFonts w:ascii="Arial" w:hAnsi="Arial" w:cs="Arial"/>
              </w:rPr>
            </w:pPr>
            <w:r w:rsidRPr="001D5729">
              <w:rPr>
                <w:rFonts w:ascii="Arial" w:hAnsi="Arial" w:cs="Arial"/>
              </w:rPr>
              <w:t>5</w:t>
            </w:r>
          </w:p>
        </w:tc>
        <w:tc>
          <w:tcPr>
            <w:tcW w:w="2126" w:type="dxa"/>
          </w:tcPr>
          <w:p w14:paraId="1A991793" w14:textId="77777777" w:rsidR="001D5729" w:rsidRPr="001D5729" w:rsidRDefault="001D5729" w:rsidP="00A029EB">
            <w:pPr>
              <w:pStyle w:val="Heading2"/>
              <w:rPr>
                <w:rFonts w:ascii="Arial" w:hAnsi="Arial" w:cs="Arial"/>
              </w:rPr>
            </w:pPr>
            <w:r w:rsidRPr="001D5729">
              <w:rPr>
                <w:rFonts w:ascii="Arial" w:hAnsi="Arial" w:cs="Arial"/>
              </w:rPr>
              <w:t>Fieldwork completed</w:t>
            </w:r>
          </w:p>
        </w:tc>
        <w:tc>
          <w:tcPr>
            <w:tcW w:w="2024" w:type="dxa"/>
          </w:tcPr>
          <w:p w14:paraId="7E2A2D2D" w14:textId="77777777" w:rsidR="001D5729" w:rsidRPr="001D5729" w:rsidRDefault="001D5729" w:rsidP="00A029EB">
            <w:pPr>
              <w:pStyle w:val="Heading2"/>
              <w:rPr>
                <w:rFonts w:ascii="Arial" w:hAnsi="Arial" w:cs="Arial"/>
              </w:rPr>
            </w:pPr>
            <w:r w:rsidRPr="001D5729">
              <w:rPr>
                <w:rFonts w:ascii="Arial" w:hAnsi="Arial" w:cs="Arial"/>
              </w:rPr>
              <w:t>30%</w:t>
            </w:r>
          </w:p>
        </w:tc>
      </w:tr>
      <w:tr w:rsidR="001D5729" w:rsidRPr="001D5729" w14:paraId="6671429F" w14:textId="77777777" w:rsidTr="00A029EB">
        <w:tc>
          <w:tcPr>
            <w:tcW w:w="2353" w:type="dxa"/>
          </w:tcPr>
          <w:p w14:paraId="26707B9B" w14:textId="77777777" w:rsidR="001D5729" w:rsidRPr="001D5729" w:rsidRDefault="001D5729" w:rsidP="00A029EB">
            <w:pPr>
              <w:pStyle w:val="Heading2"/>
              <w:rPr>
                <w:rFonts w:ascii="Arial" w:hAnsi="Arial" w:cs="Arial"/>
              </w:rPr>
            </w:pPr>
            <w:r w:rsidRPr="001D5729">
              <w:rPr>
                <w:rFonts w:ascii="Arial" w:hAnsi="Arial" w:cs="Arial"/>
              </w:rPr>
              <w:t>3</w:t>
            </w:r>
          </w:p>
        </w:tc>
        <w:tc>
          <w:tcPr>
            <w:tcW w:w="2095" w:type="dxa"/>
          </w:tcPr>
          <w:p w14:paraId="4442BFED" w14:textId="77777777" w:rsidR="001D5729" w:rsidRPr="001D5729" w:rsidRDefault="001D5729" w:rsidP="00A029EB">
            <w:pPr>
              <w:pStyle w:val="Heading2"/>
              <w:rPr>
                <w:rFonts w:ascii="Arial" w:hAnsi="Arial" w:cs="Arial"/>
              </w:rPr>
            </w:pPr>
            <w:r w:rsidRPr="001D5729">
              <w:rPr>
                <w:rFonts w:ascii="Arial" w:hAnsi="Arial" w:cs="Arial"/>
              </w:rPr>
              <w:t>6</w:t>
            </w:r>
          </w:p>
        </w:tc>
        <w:tc>
          <w:tcPr>
            <w:tcW w:w="2126" w:type="dxa"/>
          </w:tcPr>
          <w:p w14:paraId="4FC9C009" w14:textId="77777777" w:rsidR="001D5729" w:rsidRPr="001D5729" w:rsidRDefault="001D5729" w:rsidP="00A029EB">
            <w:pPr>
              <w:pStyle w:val="Heading2"/>
              <w:rPr>
                <w:rFonts w:ascii="Arial" w:hAnsi="Arial" w:cs="Arial"/>
              </w:rPr>
            </w:pPr>
            <w:r w:rsidRPr="001D5729">
              <w:rPr>
                <w:rFonts w:ascii="Arial" w:hAnsi="Arial" w:cs="Arial"/>
              </w:rPr>
              <w:t>Transcripts; initial drafts of case studies</w:t>
            </w:r>
          </w:p>
        </w:tc>
        <w:tc>
          <w:tcPr>
            <w:tcW w:w="2024" w:type="dxa"/>
          </w:tcPr>
          <w:p w14:paraId="09D90A6A" w14:textId="77777777" w:rsidR="001D5729" w:rsidRPr="001D5729" w:rsidRDefault="001D5729" w:rsidP="00A029EB">
            <w:pPr>
              <w:pStyle w:val="Heading2"/>
              <w:rPr>
                <w:rFonts w:ascii="Arial" w:hAnsi="Arial" w:cs="Arial"/>
              </w:rPr>
            </w:pPr>
            <w:r w:rsidRPr="001D5729">
              <w:rPr>
                <w:rFonts w:ascii="Arial" w:hAnsi="Arial" w:cs="Arial"/>
              </w:rPr>
              <w:t>30%</w:t>
            </w:r>
          </w:p>
        </w:tc>
      </w:tr>
      <w:tr w:rsidR="001D5729" w:rsidRPr="001D5729" w14:paraId="0B4AF605" w14:textId="77777777" w:rsidTr="00A029EB">
        <w:tc>
          <w:tcPr>
            <w:tcW w:w="2353" w:type="dxa"/>
          </w:tcPr>
          <w:p w14:paraId="2215BDDB" w14:textId="77777777" w:rsidR="001D5729" w:rsidRPr="001D5729" w:rsidRDefault="001D5729" w:rsidP="00A029EB">
            <w:pPr>
              <w:pStyle w:val="Heading2"/>
              <w:rPr>
                <w:rFonts w:ascii="Arial" w:hAnsi="Arial" w:cs="Arial"/>
              </w:rPr>
            </w:pPr>
            <w:r w:rsidRPr="001D5729">
              <w:rPr>
                <w:rFonts w:ascii="Arial" w:hAnsi="Arial" w:cs="Arial"/>
              </w:rPr>
              <w:t>4</w:t>
            </w:r>
          </w:p>
        </w:tc>
        <w:tc>
          <w:tcPr>
            <w:tcW w:w="2095" w:type="dxa"/>
          </w:tcPr>
          <w:p w14:paraId="37214A35" w14:textId="77777777" w:rsidR="001D5729" w:rsidRPr="001D5729" w:rsidRDefault="001D5729" w:rsidP="00A029EB">
            <w:pPr>
              <w:pStyle w:val="Heading2"/>
              <w:rPr>
                <w:rFonts w:ascii="Arial" w:hAnsi="Arial" w:cs="Arial"/>
              </w:rPr>
            </w:pPr>
            <w:r w:rsidRPr="001D5729">
              <w:rPr>
                <w:rFonts w:ascii="Arial" w:hAnsi="Arial" w:cs="Arial"/>
              </w:rPr>
              <w:t>7</w:t>
            </w:r>
          </w:p>
        </w:tc>
        <w:tc>
          <w:tcPr>
            <w:tcW w:w="2126" w:type="dxa"/>
          </w:tcPr>
          <w:p w14:paraId="1328B051" w14:textId="77777777" w:rsidR="001D5729" w:rsidRPr="001D5729" w:rsidRDefault="001D5729" w:rsidP="00A029EB">
            <w:pPr>
              <w:pStyle w:val="Heading2"/>
              <w:rPr>
                <w:rFonts w:ascii="Arial" w:hAnsi="Arial" w:cs="Arial"/>
              </w:rPr>
            </w:pPr>
            <w:r w:rsidRPr="001D5729">
              <w:rPr>
                <w:rFonts w:ascii="Arial" w:hAnsi="Arial" w:cs="Arial"/>
              </w:rPr>
              <w:t>Final case studies signed off</w:t>
            </w:r>
          </w:p>
        </w:tc>
        <w:tc>
          <w:tcPr>
            <w:tcW w:w="2024" w:type="dxa"/>
          </w:tcPr>
          <w:p w14:paraId="1B00DDD5" w14:textId="77777777" w:rsidR="001D5729" w:rsidRPr="001D5729" w:rsidRDefault="001D5729" w:rsidP="00A029EB">
            <w:pPr>
              <w:pStyle w:val="Heading2"/>
              <w:rPr>
                <w:rFonts w:ascii="Arial" w:hAnsi="Arial" w:cs="Arial"/>
              </w:rPr>
            </w:pPr>
            <w:r w:rsidRPr="001D5729">
              <w:rPr>
                <w:rFonts w:ascii="Arial" w:hAnsi="Arial" w:cs="Arial"/>
              </w:rPr>
              <w:t>20%</w:t>
            </w:r>
          </w:p>
        </w:tc>
      </w:tr>
    </w:tbl>
    <w:p w14:paraId="55CCD5C9" w14:textId="77777777" w:rsidR="001D5729" w:rsidRPr="001D5729" w:rsidRDefault="001D5729" w:rsidP="00D94D6F">
      <w:pPr>
        <w:pBdr>
          <w:top w:val="nil"/>
          <w:left w:val="nil"/>
          <w:bottom w:val="nil"/>
          <w:right w:val="nil"/>
          <w:between w:val="nil"/>
        </w:pBdr>
        <w:spacing w:after="240"/>
        <w:ind w:left="720" w:hanging="720"/>
        <w:jc w:val="both"/>
        <w:rPr>
          <w:rFonts w:ascii="Arial" w:hAnsi="Arial" w:cs="Arial"/>
          <w:color w:val="000000"/>
        </w:rPr>
      </w:pPr>
    </w:p>
    <w:p w14:paraId="2E327429"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Payment can only be made following satisfactory delivery of pre-agreed certified products and deliverables. </w:t>
      </w:r>
    </w:p>
    <w:p w14:paraId="609F1133"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Before payment can be considered, each invoice must include a detailed elemental breakdown of work completed and the associated costs. </w:t>
      </w:r>
    </w:p>
    <w:p w14:paraId="5163B63B"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 xml:space="preserve">Payment shall be made via BACs. </w:t>
      </w:r>
    </w:p>
    <w:p w14:paraId="55FBB732" w14:textId="77777777" w:rsidR="00901D45" w:rsidRPr="00563CFA" w:rsidRDefault="001D5729" w:rsidP="00901D45">
      <w:pPr>
        <w:pStyle w:val="Standard"/>
        <w:tabs>
          <w:tab w:val="left" w:pos="2257"/>
        </w:tabs>
        <w:spacing w:line="240" w:lineRule="auto"/>
        <w:rPr>
          <w:b/>
          <w:sz w:val="24"/>
          <w:szCs w:val="24"/>
        </w:rPr>
      </w:pPr>
      <w:r w:rsidRPr="001D5729">
        <w:rPr>
          <w:color w:val="000000"/>
        </w:rPr>
        <w:t xml:space="preserve">Invoices should be submitted to: </w:t>
      </w:r>
      <w:bookmarkStart w:id="94" w:name="_Hlk212634439"/>
      <w:r w:rsidR="00901D45" w:rsidRPr="00563CFA">
        <w:rPr>
          <w:b/>
          <w:sz w:val="24"/>
          <w:szCs w:val="24"/>
        </w:rPr>
        <w:t>Redacted under FOIA section 40, Personal Information</w:t>
      </w:r>
    </w:p>
    <w:bookmarkEnd w:id="94"/>
    <w:p w14:paraId="7952D411" w14:textId="34AFD088"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Manual invoices should be sent to:</w:t>
      </w:r>
    </w:p>
    <w:p w14:paraId="3387EE82" w14:textId="33E4E74E" w:rsidR="00901D45" w:rsidRDefault="00901D45" w:rsidP="00901D45">
      <w:pPr>
        <w:pStyle w:val="Standard"/>
        <w:tabs>
          <w:tab w:val="left" w:pos="2257"/>
        </w:tabs>
        <w:spacing w:line="240" w:lineRule="auto"/>
        <w:ind w:left="720"/>
        <w:rPr>
          <w:b/>
          <w:sz w:val="24"/>
          <w:szCs w:val="24"/>
        </w:rPr>
      </w:pPr>
      <w:r w:rsidRPr="00563CFA">
        <w:rPr>
          <w:b/>
          <w:sz w:val="24"/>
          <w:szCs w:val="24"/>
        </w:rPr>
        <w:t>Redacted under FOIA section 40, Personal Information</w:t>
      </w:r>
    </w:p>
    <w:p w14:paraId="6F8A72A1" w14:textId="77777777" w:rsidR="00901D45" w:rsidRPr="00563CFA" w:rsidRDefault="00901D45" w:rsidP="00901D45">
      <w:pPr>
        <w:pStyle w:val="Standard"/>
        <w:tabs>
          <w:tab w:val="left" w:pos="2257"/>
        </w:tabs>
        <w:spacing w:line="240" w:lineRule="auto"/>
        <w:ind w:left="720"/>
        <w:rPr>
          <w:b/>
          <w:sz w:val="24"/>
          <w:szCs w:val="24"/>
        </w:rPr>
      </w:pPr>
    </w:p>
    <w:p w14:paraId="1A6E2EE9"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Contracting Authority purchase order numbers must be clearly stated on all invoices. Any supplier invoices received without a valid purchase order number will not be paid and will be sent back.</w:t>
      </w:r>
    </w:p>
    <w:p w14:paraId="100A6069" w14:textId="77777777" w:rsidR="001D5729" w:rsidRPr="001D5729" w:rsidRDefault="001D5729" w:rsidP="00D94D6F">
      <w:pPr>
        <w:pBdr>
          <w:top w:val="nil"/>
          <w:left w:val="nil"/>
          <w:bottom w:val="nil"/>
          <w:right w:val="nil"/>
          <w:between w:val="nil"/>
        </w:pBdr>
        <w:spacing w:after="240"/>
        <w:ind w:left="720"/>
        <w:jc w:val="both"/>
        <w:rPr>
          <w:rFonts w:ascii="Arial" w:hAnsi="Arial" w:cs="Arial"/>
        </w:rPr>
      </w:pPr>
    </w:p>
    <w:p w14:paraId="792165B9" w14:textId="77777777" w:rsidR="001D5729" w:rsidRPr="001D5729" w:rsidRDefault="001D5729" w:rsidP="00D94D6F">
      <w:pPr>
        <w:pBdr>
          <w:top w:val="nil"/>
          <w:left w:val="nil"/>
          <w:bottom w:val="nil"/>
          <w:right w:val="nil"/>
          <w:between w:val="nil"/>
        </w:pBdr>
        <w:spacing w:after="240"/>
        <w:ind w:left="720"/>
        <w:jc w:val="both"/>
        <w:rPr>
          <w:rFonts w:ascii="Arial" w:hAnsi="Arial" w:cs="Arial"/>
        </w:rPr>
      </w:pPr>
    </w:p>
    <w:p w14:paraId="11485249" w14:textId="77777777" w:rsidR="001D5729" w:rsidRPr="001D5729" w:rsidRDefault="001D5729" w:rsidP="001D5729">
      <w:pPr>
        <w:pStyle w:val="Heading1"/>
        <w:keepLines w:val="0"/>
        <w:numPr>
          <w:ilvl w:val="0"/>
          <w:numId w:val="84"/>
        </w:numPr>
        <w:pBdr>
          <w:top w:val="nil"/>
          <w:left w:val="nil"/>
          <w:bottom w:val="nil"/>
          <w:right w:val="nil"/>
          <w:between w:val="nil"/>
        </w:pBdr>
        <w:spacing w:before="0" w:line="240" w:lineRule="auto"/>
        <w:ind w:left="709" w:hanging="709"/>
        <w:rPr>
          <w:rFonts w:ascii="Arial" w:hAnsi="Arial" w:cs="Arial"/>
        </w:rPr>
      </w:pPr>
      <w:bookmarkStart w:id="95" w:name="_d33iqjii6pek" w:colFirst="0" w:colLast="0"/>
      <w:bookmarkEnd w:id="95"/>
      <w:r w:rsidRPr="001D5729">
        <w:rPr>
          <w:rFonts w:ascii="Arial" w:hAnsi="Arial" w:cs="Arial"/>
        </w:rPr>
        <w:t>CONTRACT MANAGEMENT AND KEY PERFORMANCE INDICATORS</w:t>
      </w:r>
    </w:p>
    <w:p w14:paraId="1E897989" w14:textId="77777777" w:rsidR="001D5729" w:rsidRPr="001D5729" w:rsidRDefault="001D5729" w:rsidP="00D94D6F">
      <w:pPr>
        <w:rPr>
          <w:rFonts w:ascii="Arial" w:hAnsi="Arial" w:cs="Arial"/>
        </w:rPr>
      </w:pPr>
    </w:p>
    <w:p w14:paraId="1B084D65"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lastRenderedPageBreak/>
        <w:t>The Authority will measure the quality of the Supplier’s delivery against timeliness of deliveries and alignment to the Aqua book</w:t>
      </w:r>
      <w:r w:rsidRPr="001D5729">
        <w:rPr>
          <w:rFonts w:ascii="Arial" w:hAnsi="Arial" w:cs="Arial"/>
          <w:color w:val="000000"/>
          <w:vertAlign w:val="superscript"/>
        </w:rPr>
        <w:footnoteReference w:id="4"/>
      </w:r>
      <w:r w:rsidRPr="001D5729">
        <w:rPr>
          <w:rFonts w:ascii="Arial" w:hAnsi="Arial" w:cs="Arial"/>
          <w:color w:val="000000"/>
        </w:rPr>
        <w:t>.</w:t>
      </w:r>
    </w:p>
    <w:p w14:paraId="288DE041"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Supplier will be required to implement a structured approach to risk management, outlining the key risks identified and how these will be managed. This is to include risks relating to project delivery, in addition to presentational risks due to the sensitive nature of this research.</w:t>
      </w:r>
    </w:p>
    <w:p w14:paraId="65E0D8CE"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Potential Suppliers should outline full details of this plan as part of their response, including the course of action to be followed should risks to project delivery arise, e.g., in the case of low response rates and/or slippage.</w:t>
      </w:r>
    </w:p>
    <w:p w14:paraId="7DEA43B4"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As part of the weekly progress reports outlined above, the Supplier should report on performance against relevant milestones and include an update on risks identified and how these will be managed.</w:t>
      </w:r>
    </w:p>
    <w:p w14:paraId="1F344DAC"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The Contracting Authority will assess performance based on these reports and will require additional meetings with the Supplier if milestones are not met, either in terms of timings or quality.</w:t>
      </w:r>
    </w:p>
    <w:p w14:paraId="34948DEF" w14:textId="77777777" w:rsidR="001D5729" w:rsidRPr="001D5729" w:rsidRDefault="001D5729" w:rsidP="001D5729">
      <w:pPr>
        <w:numPr>
          <w:ilvl w:val="1"/>
          <w:numId w:val="84"/>
        </w:numPr>
        <w:pBdr>
          <w:top w:val="nil"/>
          <w:left w:val="nil"/>
          <w:bottom w:val="nil"/>
          <w:right w:val="nil"/>
          <w:between w:val="nil"/>
        </w:pBdr>
        <w:spacing w:after="240" w:line="240" w:lineRule="auto"/>
        <w:jc w:val="both"/>
        <w:rPr>
          <w:rFonts w:ascii="Arial" w:hAnsi="Arial" w:cs="Arial"/>
        </w:rPr>
      </w:pPr>
      <w:r w:rsidRPr="001D5729">
        <w:rPr>
          <w:rFonts w:ascii="Arial" w:hAnsi="Arial" w:cs="Arial"/>
          <w:color w:val="000000"/>
        </w:rPr>
        <w:t>Attendance at Contract Review meetings shall be at the Supplier’s own expense.</w:t>
      </w:r>
    </w:p>
    <w:p w14:paraId="4215EA7B" w14:textId="77777777" w:rsidR="001D5729" w:rsidRPr="001D5729" w:rsidRDefault="001D5729" w:rsidP="00D94D6F">
      <w:pPr>
        <w:rPr>
          <w:rFonts w:ascii="Arial" w:hAnsi="Arial" w:cs="Arial"/>
        </w:rPr>
      </w:pPr>
    </w:p>
    <w:p w14:paraId="5DD156A9" w14:textId="77777777" w:rsidR="001D5729" w:rsidRPr="001D5729" w:rsidRDefault="001D5729" w:rsidP="00D94D6F">
      <w:pPr>
        <w:tabs>
          <w:tab w:val="left" w:pos="1392"/>
        </w:tabs>
        <w:rPr>
          <w:rFonts w:ascii="Arial" w:hAnsi="Arial" w:cs="Arial"/>
          <w:sz w:val="20"/>
          <w:szCs w:val="20"/>
        </w:rPr>
      </w:pPr>
    </w:p>
    <w:p w14:paraId="42F67367" w14:textId="77777777" w:rsidR="001D5729" w:rsidRPr="001D5729" w:rsidRDefault="001D5729">
      <w:pPr>
        <w:rPr>
          <w:rFonts w:ascii="Arial" w:hAnsi="Arial" w:cs="Arial"/>
        </w:rPr>
      </w:pPr>
    </w:p>
    <w:p w14:paraId="35CC8605" w14:textId="77777777" w:rsidR="00D2581B" w:rsidRPr="001D5729" w:rsidRDefault="00D2581B" w:rsidP="00E86078">
      <w:pPr>
        <w:pStyle w:val="GPSL1CLAUSEHEADING"/>
        <w:numPr>
          <w:ilvl w:val="0"/>
          <w:numId w:val="0"/>
        </w:numPr>
        <w:rPr>
          <w:rFonts w:ascii="Arial" w:hAnsi="Arial"/>
          <w:b w:val="0"/>
          <w:sz w:val="24"/>
          <w:szCs w:val="24"/>
        </w:rPr>
      </w:pPr>
    </w:p>
    <w:p w14:paraId="023E4D0E" w14:textId="77777777" w:rsidR="00D2581B" w:rsidRPr="001D5729" w:rsidRDefault="00D2581B" w:rsidP="00D2581B">
      <w:pPr>
        <w:rPr>
          <w:rFonts w:ascii="Arial" w:hAnsi="Arial" w:cs="Arial"/>
          <w:lang w:eastAsia="zh-CN"/>
        </w:rPr>
      </w:pPr>
    </w:p>
    <w:p w14:paraId="2B1EC065" w14:textId="77777777" w:rsidR="00D2581B" w:rsidRPr="001D5729" w:rsidRDefault="00D2581B" w:rsidP="00D2581B">
      <w:pPr>
        <w:rPr>
          <w:rFonts w:ascii="Arial" w:hAnsi="Arial" w:cs="Arial"/>
          <w:lang w:eastAsia="zh-CN"/>
        </w:rPr>
      </w:pPr>
    </w:p>
    <w:p w14:paraId="55C79FE9" w14:textId="77777777" w:rsidR="00D2581B" w:rsidRPr="001D5729" w:rsidRDefault="00D2581B" w:rsidP="00D2581B">
      <w:pPr>
        <w:rPr>
          <w:rFonts w:ascii="Arial" w:hAnsi="Arial" w:cs="Arial"/>
          <w:lang w:eastAsia="zh-CN"/>
        </w:rPr>
      </w:pPr>
    </w:p>
    <w:p w14:paraId="664E877B" w14:textId="77777777" w:rsidR="00D2581B" w:rsidRPr="001D5729" w:rsidRDefault="00D2581B" w:rsidP="00D2581B">
      <w:pPr>
        <w:rPr>
          <w:rFonts w:ascii="Arial" w:hAnsi="Arial" w:cs="Arial"/>
          <w:lang w:eastAsia="zh-CN"/>
        </w:rPr>
      </w:pPr>
    </w:p>
    <w:p w14:paraId="6DB071B7" w14:textId="77777777" w:rsidR="00D2581B" w:rsidRPr="001D5729" w:rsidRDefault="00D2581B" w:rsidP="00D2581B">
      <w:pPr>
        <w:rPr>
          <w:rFonts w:ascii="Arial" w:hAnsi="Arial" w:cs="Arial"/>
          <w:lang w:eastAsia="zh-CN"/>
        </w:rPr>
      </w:pPr>
    </w:p>
    <w:p w14:paraId="2507793C" w14:textId="77777777" w:rsidR="00D2581B" w:rsidRPr="001D5729" w:rsidRDefault="00D2581B" w:rsidP="00D2581B">
      <w:pPr>
        <w:rPr>
          <w:rFonts w:ascii="Arial" w:hAnsi="Arial" w:cs="Arial"/>
          <w:lang w:eastAsia="zh-CN"/>
        </w:rPr>
      </w:pPr>
    </w:p>
    <w:p w14:paraId="2AC2C119" w14:textId="77777777" w:rsidR="00D2581B" w:rsidRPr="001D5729" w:rsidRDefault="00D2581B" w:rsidP="00D2581B">
      <w:pPr>
        <w:rPr>
          <w:rFonts w:ascii="Arial" w:hAnsi="Arial" w:cs="Arial"/>
          <w:lang w:eastAsia="zh-CN"/>
        </w:rPr>
      </w:pPr>
    </w:p>
    <w:p w14:paraId="0C76AECE" w14:textId="77777777" w:rsidR="00D2581B" w:rsidRPr="001D5729" w:rsidRDefault="00D2581B" w:rsidP="00D2581B">
      <w:pPr>
        <w:rPr>
          <w:rFonts w:ascii="Arial" w:hAnsi="Arial" w:cs="Arial"/>
          <w:lang w:eastAsia="zh-CN"/>
        </w:rPr>
      </w:pPr>
    </w:p>
    <w:p w14:paraId="401CDCB1" w14:textId="77777777" w:rsidR="00D2581B" w:rsidRPr="001D5729" w:rsidRDefault="00D2581B" w:rsidP="00D2581B">
      <w:pPr>
        <w:rPr>
          <w:rFonts w:ascii="Arial" w:hAnsi="Arial" w:cs="Arial"/>
          <w:lang w:eastAsia="zh-CN"/>
        </w:rPr>
      </w:pPr>
    </w:p>
    <w:p w14:paraId="2E4B538F" w14:textId="77777777" w:rsidR="00D2581B" w:rsidRPr="001D5729" w:rsidRDefault="00D2581B" w:rsidP="00D2581B">
      <w:pPr>
        <w:rPr>
          <w:rFonts w:ascii="Arial" w:hAnsi="Arial" w:cs="Arial"/>
          <w:lang w:eastAsia="zh-CN"/>
        </w:rPr>
      </w:pPr>
    </w:p>
    <w:p w14:paraId="1AD165F3" w14:textId="77777777" w:rsidR="00D2581B" w:rsidRPr="001D5729" w:rsidRDefault="00D2581B" w:rsidP="00D2581B">
      <w:pPr>
        <w:rPr>
          <w:rFonts w:ascii="Arial" w:hAnsi="Arial" w:cs="Arial"/>
          <w:lang w:eastAsia="zh-CN"/>
        </w:rPr>
      </w:pPr>
    </w:p>
    <w:p w14:paraId="6E40DC50" w14:textId="77777777" w:rsidR="00D2581B" w:rsidRPr="001D5729" w:rsidRDefault="00D2581B" w:rsidP="00D2581B">
      <w:pPr>
        <w:rPr>
          <w:rFonts w:ascii="Arial" w:hAnsi="Arial" w:cs="Arial"/>
          <w:lang w:eastAsia="zh-CN"/>
        </w:rPr>
      </w:pPr>
    </w:p>
    <w:p w14:paraId="4950DC60" w14:textId="77777777" w:rsidR="00D2581B" w:rsidRPr="001D5729" w:rsidRDefault="00D2581B" w:rsidP="00D2581B">
      <w:pPr>
        <w:rPr>
          <w:rFonts w:ascii="Arial" w:hAnsi="Arial" w:cs="Arial"/>
          <w:lang w:eastAsia="zh-CN"/>
        </w:rPr>
      </w:pPr>
    </w:p>
    <w:p w14:paraId="3E233DB2" w14:textId="77777777" w:rsidR="00D2581B" w:rsidRPr="001D5729" w:rsidRDefault="00D2581B" w:rsidP="00D2581B">
      <w:pPr>
        <w:rPr>
          <w:rFonts w:ascii="Arial" w:hAnsi="Arial" w:cs="Arial"/>
          <w:lang w:eastAsia="zh-CN"/>
        </w:rPr>
      </w:pPr>
    </w:p>
    <w:p w14:paraId="6902A1F0" w14:textId="77777777" w:rsidR="00D2581B" w:rsidRPr="001D5729" w:rsidRDefault="00D2581B" w:rsidP="00D2581B">
      <w:pPr>
        <w:rPr>
          <w:rFonts w:ascii="Arial" w:hAnsi="Arial" w:cs="Arial"/>
          <w:lang w:eastAsia="zh-CN"/>
        </w:rPr>
      </w:pPr>
    </w:p>
    <w:p w14:paraId="250B70F2" w14:textId="77777777" w:rsidR="00F00591" w:rsidRPr="001D5729" w:rsidRDefault="00D2581B" w:rsidP="00D2581B">
      <w:pPr>
        <w:tabs>
          <w:tab w:val="left" w:pos="1320"/>
        </w:tabs>
        <w:rPr>
          <w:rFonts w:ascii="Arial" w:hAnsi="Arial" w:cs="Arial"/>
          <w:lang w:eastAsia="zh-CN"/>
        </w:rPr>
      </w:pPr>
      <w:r w:rsidRPr="001D5729">
        <w:rPr>
          <w:rFonts w:ascii="Arial" w:hAnsi="Arial" w:cs="Arial"/>
          <w:lang w:eastAsia="zh-CN"/>
        </w:rPr>
        <w:tab/>
      </w:r>
    </w:p>
    <w:p w14:paraId="42F8B7F3" w14:textId="77777777" w:rsidR="00F00591" w:rsidRPr="001D5729" w:rsidRDefault="00F00591" w:rsidP="00F00591">
      <w:pPr>
        <w:rPr>
          <w:rFonts w:ascii="Arial" w:hAnsi="Arial" w:cs="Arial"/>
          <w:lang w:eastAsia="zh-CN"/>
        </w:rPr>
      </w:pPr>
    </w:p>
    <w:p w14:paraId="5AB5BC6B" w14:textId="77777777" w:rsidR="00F00591" w:rsidRPr="001D5729" w:rsidRDefault="00F00591" w:rsidP="00F00591">
      <w:pPr>
        <w:rPr>
          <w:rFonts w:ascii="Arial" w:hAnsi="Arial" w:cs="Arial"/>
          <w:lang w:eastAsia="zh-CN"/>
        </w:rPr>
      </w:pPr>
    </w:p>
    <w:p w14:paraId="090A383B" w14:textId="77777777" w:rsidR="00F00591" w:rsidRPr="001D5729" w:rsidRDefault="00F00591" w:rsidP="00F00591">
      <w:pPr>
        <w:rPr>
          <w:rFonts w:ascii="Arial" w:hAnsi="Arial" w:cs="Arial"/>
          <w:lang w:eastAsia="zh-CN"/>
        </w:rPr>
      </w:pPr>
    </w:p>
    <w:p w14:paraId="681BDD5D" w14:textId="77777777" w:rsidR="0081513E" w:rsidRPr="001D5729" w:rsidRDefault="00F00591" w:rsidP="00F00591">
      <w:pPr>
        <w:tabs>
          <w:tab w:val="left" w:pos="1460"/>
        </w:tabs>
        <w:rPr>
          <w:rFonts w:ascii="Arial" w:hAnsi="Arial" w:cs="Arial"/>
          <w:lang w:eastAsia="zh-CN"/>
        </w:rPr>
      </w:pPr>
      <w:r w:rsidRPr="001D5729">
        <w:rPr>
          <w:rFonts w:ascii="Arial" w:hAnsi="Arial" w:cs="Arial"/>
          <w:lang w:eastAsia="zh-CN"/>
        </w:rPr>
        <w:tab/>
      </w:r>
    </w:p>
    <w:sectPr w:rsidR="0081513E" w:rsidRPr="001D57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35C17" w14:textId="77777777" w:rsidR="000A4CB6" w:rsidRDefault="000A4CB6">
      <w:pPr>
        <w:spacing w:after="0" w:line="240" w:lineRule="auto"/>
      </w:pPr>
      <w:r>
        <w:separator/>
      </w:r>
    </w:p>
  </w:endnote>
  <w:endnote w:type="continuationSeparator" w:id="0">
    <w:p w14:paraId="28805462" w14:textId="77777777" w:rsidR="000A4CB6" w:rsidRDefault="000A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16C0" w14:textId="77777777" w:rsidR="00FB1F1B" w:rsidRDefault="00FB1F1B" w:rsidP="00597414">
    <w:pPr>
      <w:tabs>
        <w:tab w:val="center" w:pos="4513"/>
        <w:tab w:val="right" w:pos="9026"/>
      </w:tabs>
      <w:spacing w:after="0"/>
      <w:rPr>
        <w:rFonts w:ascii="Arial" w:hAnsi="Arial" w:cs="Arial"/>
        <w:sz w:val="20"/>
      </w:rPr>
    </w:pPr>
  </w:p>
  <w:p w14:paraId="2876C0A8" w14:textId="77777777"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6EC9BF13" w14:textId="77777777"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14:paraId="4CB43822" w14:textId="77777777"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C618" w14:textId="77777777" w:rsidR="000A4CB6" w:rsidRDefault="000A4CB6">
      <w:pPr>
        <w:spacing w:after="0" w:line="240" w:lineRule="auto"/>
      </w:pPr>
      <w:r>
        <w:separator/>
      </w:r>
    </w:p>
  </w:footnote>
  <w:footnote w:type="continuationSeparator" w:id="0">
    <w:p w14:paraId="3B0AB1C9" w14:textId="77777777" w:rsidR="000A4CB6" w:rsidRDefault="000A4CB6">
      <w:pPr>
        <w:spacing w:after="0" w:line="240" w:lineRule="auto"/>
      </w:pPr>
      <w:r>
        <w:continuationSeparator/>
      </w:r>
    </w:p>
  </w:footnote>
  <w:footnote w:id="1">
    <w:p w14:paraId="03B60060" w14:textId="77777777" w:rsidR="001D5729" w:rsidRDefault="001D5729" w:rsidP="00D94D6F">
      <w:pPr>
        <w:pBdr>
          <w:top w:val="nil"/>
          <w:left w:val="nil"/>
          <w:bottom w:val="nil"/>
          <w:right w:val="nil"/>
          <w:between w:val="nil"/>
        </w:pBdr>
        <w:spacing w:after="60"/>
        <w:ind w:left="720" w:hanging="720"/>
        <w:jc w:val="both"/>
        <w:rPr>
          <w:color w:val="000000"/>
          <w:sz w:val="16"/>
          <w:szCs w:val="16"/>
        </w:rPr>
      </w:pPr>
      <w:r>
        <w:rPr>
          <w:vertAlign w:val="superscript"/>
        </w:rPr>
        <w:footnoteRef/>
      </w:r>
      <w:hyperlink r:id="rId1">
        <w:r>
          <w:rPr>
            <w:color w:val="0000FF"/>
            <w:sz w:val="16"/>
            <w:szCs w:val="16"/>
            <w:u w:val="single"/>
          </w:rPr>
          <w:t>https://uksa.statisticsauthority.gov.uk/the-authority-board/committees/national-statisticians-advisory-committees-and-panels/national-statisticians-data-ethics-advisory-committee/ethics-self-assessment-tool/</w:t>
        </w:r>
      </w:hyperlink>
      <w:r>
        <w:rPr>
          <w:color w:val="000000"/>
          <w:sz w:val="16"/>
          <w:szCs w:val="16"/>
        </w:rPr>
        <w:t xml:space="preserve"> </w:t>
      </w:r>
    </w:p>
  </w:footnote>
  <w:footnote w:id="2">
    <w:p w14:paraId="78392110" w14:textId="77777777" w:rsidR="001D5729" w:rsidRDefault="001D5729" w:rsidP="00D94D6F">
      <w:pPr>
        <w:pBdr>
          <w:top w:val="nil"/>
          <w:left w:val="nil"/>
          <w:bottom w:val="nil"/>
          <w:right w:val="nil"/>
          <w:between w:val="nil"/>
        </w:pBdr>
        <w:spacing w:after="60"/>
        <w:ind w:left="720" w:hanging="720"/>
        <w:jc w:val="both"/>
        <w:rPr>
          <w:color w:val="000000"/>
          <w:sz w:val="16"/>
          <w:szCs w:val="16"/>
        </w:rPr>
      </w:pPr>
      <w:r>
        <w:rPr>
          <w:vertAlign w:val="superscript"/>
        </w:rPr>
        <w:footnoteRef/>
      </w:r>
      <w:r>
        <w:rPr>
          <w:color w:val="000000"/>
          <w:sz w:val="16"/>
          <w:szCs w:val="16"/>
        </w:rPr>
        <w:t xml:space="preserve"> </w:t>
      </w:r>
      <w:hyperlink r:id="rId2">
        <w:r>
          <w:rPr>
            <w:color w:val="0000FF"/>
            <w:sz w:val="16"/>
            <w:szCs w:val="16"/>
            <w:u w:val="single"/>
          </w:rPr>
          <w:t>https://pubmed.ncbi.nlm.nih.gov/34394658/</w:t>
        </w:r>
      </w:hyperlink>
      <w:r>
        <w:rPr>
          <w:color w:val="000000"/>
          <w:sz w:val="16"/>
          <w:szCs w:val="16"/>
        </w:rPr>
        <w:t xml:space="preserve"> </w:t>
      </w:r>
    </w:p>
  </w:footnote>
  <w:footnote w:id="3">
    <w:p w14:paraId="42B659E0" w14:textId="77777777" w:rsidR="001D5729" w:rsidRDefault="001D5729" w:rsidP="00D94D6F">
      <w:pPr>
        <w:pBdr>
          <w:top w:val="nil"/>
          <w:left w:val="nil"/>
          <w:bottom w:val="nil"/>
          <w:right w:val="nil"/>
          <w:between w:val="nil"/>
        </w:pBdr>
        <w:spacing w:after="60"/>
        <w:ind w:left="720" w:hanging="720"/>
        <w:jc w:val="both"/>
        <w:rPr>
          <w:color w:val="000000"/>
          <w:sz w:val="16"/>
          <w:szCs w:val="16"/>
        </w:rPr>
      </w:pPr>
      <w:r>
        <w:rPr>
          <w:vertAlign w:val="superscript"/>
        </w:rPr>
        <w:footnoteRef/>
      </w:r>
      <w:r>
        <w:rPr>
          <w:color w:val="000000"/>
          <w:sz w:val="16"/>
          <w:szCs w:val="16"/>
        </w:rPr>
        <w:t xml:space="preserve"> </w:t>
      </w:r>
      <w:hyperlink r:id="rId3">
        <w:r>
          <w:rPr>
            <w:color w:val="0000FF"/>
            <w:sz w:val="16"/>
            <w:szCs w:val="16"/>
            <w:u w:val="single"/>
          </w:rPr>
          <w:t>https://www.ethnicity-facts-figures.service.gov.uk/style-guide/writing-about-ethnicity/</w:t>
        </w:r>
      </w:hyperlink>
      <w:r>
        <w:rPr>
          <w:color w:val="000000"/>
          <w:sz w:val="16"/>
          <w:szCs w:val="16"/>
        </w:rPr>
        <w:t xml:space="preserve"> </w:t>
      </w:r>
    </w:p>
  </w:footnote>
  <w:footnote w:id="4">
    <w:p w14:paraId="68A2B1FA" w14:textId="77777777" w:rsidR="001D5729" w:rsidRDefault="001D5729" w:rsidP="00D94D6F">
      <w:pPr>
        <w:pBdr>
          <w:top w:val="nil"/>
          <w:left w:val="nil"/>
          <w:bottom w:val="nil"/>
          <w:right w:val="nil"/>
          <w:between w:val="nil"/>
        </w:pBdr>
        <w:spacing w:after="60"/>
        <w:ind w:left="720" w:hanging="720"/>
        <w:jc w:val="both"/>
        <w:rPr>
          <w:color w:val="000000"/>
          <w:sz w:val="16"/>
          <w:szCs w:val="16"/>
        </w:rPr>
      </w:pPr>
      <w:r>
        <w:rPr>
          <w:vertAlign w:val="superscript"/>
        </w:rPr>
        <w:footnoteRef/>
      </w:r>
      <w:r>
        <w:rPr>
          <w:color w:val="000000"/>
          <w:sz w:val="16"/>
          <w:szCs w:val="16"/>
        </w:rPr>
        <w:t xml:space="preserve"> </w:t>
      </w:r>
      <w:hyperlink r:id="rId4">
        <w:r>
          <w:rPr>
            <w:color w:val="0000FF"/>
            <w:sz w:val="16"/>
            <w:szCs w:val="16"/>
            <w:u w:val="single"/>
          </w:rPr>
          <w:t>https://www.gov.uk/government/publications/the-aqua-book-guidance-on-producing-quality-analysis-for-government</w:t>
        </w:r>
      </w:hyperlink>
      <w:r>
        <w:rPr>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1D03" w14:textId="77777777"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14:paraId="5983A0E1" w14:textId="77777777"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14:paraId="29BFB8B2" w14:textId="77777777" w:rsidR="005C04C4" w:rsidRPr="005C04C4" w:rsidRDefault="00F00591">
    <w:pPr>
      <w:pStyle w:val="Header"/>
      <w:rPr>
        <w:rFonts w:ascii="Arial" w:hAnsi="Arial" w:cs="Arial"/>
        <w:sz w:val="20"/>
        <w:szCs w:val="20"/>
      </w:rPr>
    </w:pPr>
    <w:r>
      <w:rPr>
        <w:rFonts w:ascii="Arial" w:hAnsi="Arial" w:cs="Arial"/>
        <w:sz w:val="20"/>
        <w:szCs w:val="20"/>
      </w:rPr>
      <w:t>Crown Copyright 2021</w:t>
    </w:r>
  </w:p>
  <w:p w14:paraId="3B1D6027"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6AE6F3F"/>
    <w:multiLevelType w:val="multilevel"/>
    <w:tmpl w:val="4102473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9" w15:restartNumberingAfterBreak="0">
    <w:nsid w:val="64683B38"/>
    <w:multiLevelType w:val="multilevel"/>
    <w:tmpl w:val="2B1E6C6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1.%2.●.%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2"/>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2"/>
  </w:num>
  <w:num w:numId="8">
    <w:abstractNumId w:val="12"/>
  </w:num>
  <w:num w:numId="9">
    <w:abstractNumId w:val="12"/>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6"/>
  </w:num>
  <w:num w:numId="45">
    <w:abstractNumId w:val="12"/>
  </w:num>
  <w:num w:numId="46">
    <w:abstractNumId w:val="12"/>
  </w:num>
  <w:num w:numId="47">
    <w:abstractNumId w:val="4"/>
  </w:num>
  <w:num w:numId="48">
    <w:abstractNumId w:val="12"/>
  </w:num>
  <w:num w:numId="49">
    <w:abstractNumId w:val="12"/>
  </w:num>
  <w:num w:numId="50">
    <w:abstractNumId w:val="12"/>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11"/>
  </w:num>
  <w:num w:numId="69">
    <w:abstractNumId w:val="12"/>
  </w:num>
  <w:num w:numId="70">
    <w:abstractNumId w:val="2"/>
  </w:num>
  <w:num w:numId="71">
    <w:abstractNumId w:val="12"/>
  </w:num>
  <w:num w:numId="72">
    <w:abstractNumId w:val="12"/>
  </w:num>
  <w:num w:numId="73">
    <w:abstractNumId w:val="12"/>
  </w:num>
  <w:num w:numId="74">
    <w:abstractNumId w:val="12"/>
  </w:num>
  <w:num w:numId="75">
    <w:abstractNumId w:val="12"/>
  </w:num>
  <w:num w:numId="76">
    <w:abstractNumId w:val="8"/>
  </w:num>
  <w:num w:numId="77">
    <w:abstractNumId w:val="12"/>
  </w:num>
  <w:num w:numId="78">
    <w:abstractNumId w:val="12"/>
  </w:num>
  <w:num w:numId="79">
    <w:abstractNumId w:val="12"/>
  </w:num>
  <w:num w:numId="80">
    <w:abstractNumId w:val="10"/>
  </w:num>
  <w:num w:numId="81">
    <w:abstractNumId w:val="7"/>
  </w:num>
  <w:num w:numId="82">
    <w:abstractNumId w:val="5"/>
  </w:num>
  <w:num w:numId="83">
    <w:abstractNumId w:val="12"/>
  </w:num>
  <w:num w:numId="84">
    <w:abstractNumId w:val="1"/>
  </w:num>
  <w:num w:numId="85">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0A4CB6"/>
    <w:rsid w:val="00123B48"/>
    <w:rsid w:val="001649BE"/>
    <w:rsid w:val="001D5729"/>
    <w:rsid w:val="002D1BCA"/>
    <w:rsid w:val="002E32B7"/>
    <w:rsid w:val="00336691"/>
    <w:rsid w:val="00395C1A"/>
    <w:rsid w:val="00412D4E"/>
    <w:rsid w:val="00483BCF"/>
    <w:rsid w:val="004C111F"/>
    <w:rsid w:val="00562676"/>
    <w:rsid w:val="00597414"/>
    <w:rsid w:val="005B4E76"/>
    <w:rsid w:val="005C04C4"/>
    <w:rsid w:val="00616D25"/>
    <w:rsid w:val="00692171"/>
    <w:rsid w:val="00717FD0"/>
    <w:rsid w:val="007335CD"/>
    <w:rsid w:val="007E12FE"/>
    <w:rsid w:val="0081513E"/>
    <w:rsid w:val="00826DDA"/>
    <w:rsid w:val="00880F36"/>
    <w:rsid w:val="008F480A"/>
    <w:rsid w:val="00901D45"/>
    <w:rsid w:val="009612FD"/>
    <w:rsid w:val="00A4427B"/>
    <w:rsid w:val="00A663BD"/>
    <w:rsid w:val="00BF1FD7"/>
    <w:rsid w:val="00D236B6"/>
    <w:rsid w:val="00D2581B"/>
    <w:rsid w:val="00D44FC1"/>
    <w:rsid w:val="00DC54C2"/>
    <w:rsid w:val="00E067A8"/>
    <w:rsid w:val="00E63C82"/>
    <w:rsid w:val="00E86078"/>
    <w:rsid w:val="00E87C3D"/>
    <w:rsid w:val="00E94174"/>
    <w:rsid w:val="00F00591"/>
    <w:rsid w:val="00F168FF"/>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44798"/>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5729"/>
    <w:pPr>
      <w:pBdr>
        <w:top w:val="nil"/>
        <w:left w:val="nil"/>
        <w:bottom w:val="nil"/>
        <w:right w:val="nil"/>
        <w:between w:val="nil"/>
      </w:pBdr>
      <w:spacing w:after="240" w:line="240" w:lineRule="auto"/>
      <w:ind w:left="2160" w:hanging="360"/>
      <w:jc w:val="both"/>
      <w:outlineLvl w:val="2"/>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customStyle="1" w:styleId="Heading3Char">
    <w:name w:val="Heading 3 Char"/>
    <w:basedOn w:val="DefaultParagraphFont"/>
    <w:link w:val="Heading3"/>
    <w:uiPriority w:val="9"/>
    <w:rsid w:val="001D5729"/>
    <w:rPr>
      <w:rFonts w:ascii="Arial" w:eastAsia="Arial" w:hAnsi="Arial" w:cs="Arial"/>
      <w:color w:val="000000"/>
      <w:lang w:eastAsia="en-GB"/>
    </w:rPr>
  </w:style>
  <w:style w:type="character" w:styleId="Hyperlink">
    <w:name w:val="Hyperlink"/>
    <w:basedOn w:val="DefaultParagraphFont"/>
    <w:uiPriority w:val="99"/>
    <w:unhideWhenUsed/>
    <w:rsid w:val="001D5729"/>
    <w:rPr>
      <w:color w:val="0000FF" w:themeColor="hyperlink"/>
      <w:u w:val="single"/>
    </w:rPr>
  </w:style>
  <w:style w:type="character" w:styleId="UnresolvedMention">
    <w:name w:val="Unresolved Mention"/>
    <w:basedOn w:val="DefaultParagraphFont"/>
    <w:uiPriority w:val="99"/>
    <w:semiHidden/>
    <w:unhideWhenUsed/>
    <w:rsid w:val="001D5729"/>
    <w:rPr>
      <w:color w:val="605E5C"/>
      <w:shd w:val="clear" w:color="auto" w:fill="E1DFDD"/>
    </w:rPr>
  </w:style>
  <w:style w:type="paragraph" w:customStyle="1" w:styleId="Standard">
    <w:name w:val="Standard"/>
    <w:rsid w:val="00901D45"/>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cabinet-off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4" Type="http://schemas.openxmlformats.org/officeDocument/2006/relationships/settings" Target="settings.xml"/><Relationship Id="rId9" Type="http://schemas.openxmlformats.org/officeDocument/2006/relationships/hyperlink" Target="https://www.gov.uk/government/publications/ppn-006-taking-account-of-carbon-reduction-plans-in-the-procurement-of-major-government-contrac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hnicity-facts-figures.service.gov.uk/style-guide/writing-about-ethnicity/" TargetMode="External"/><Relationship Id="rId2" Type="http://schemas.openxmlformats.org/officeDocument/2006/relationships/hyperlink" Target="https://pubmed.ncbi.nlm.nih.gov/34394658/" TargetMode="External"/><Relationship Id="rId1" Type="http://schemas.openxmlformats.org/officeDocument/2006/relationships/hyperlink" Target="https://uksa.statisticsauthority.gov.uk/the-authority-board/committees/national-statisticians-advisory-committees-and-panels/national-statisticians-data-ethics-advisory-committee/ethics-self-assessment-tool/" TargetMode="External"/><Relationship Id="rId4" Type="http://schemas.openxmlformats.org/officeDocument/2006/relationships/hyperlink" Target="https://www.gov.uk/government/publications/the-aqua-book-guidance-on-producing-quality-analysis-for-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A7B8-EC11-4A52-A304-AAD98903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Lisa Gale</cp:lastModifiedBy>
  <cp:revision>2</cp:revision>
  <dcterms:created xsi:type="dcterms:W3CDTF">2025-10-29T12:53:00Z</dcterms:created>
  <dcterms:modified xsi:type="dcterms:W3CDTF">2025-10-29T12:53:00Z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