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55" w:rsidRPr="0064381A" w:rsidRDefault="00745355" w:rsidP="0064381A">
      <w:pPr>
        <w:spacing w:after="0"/>
        <w:ind w:left="6237"/>
        <w:jc w:val="right"/>
        <w:rPr>
          <w:rFonts w:ascii="Arial" w:hAnsi="Arial" w:cs="Arial"/>
        </w:rPr>
      </w:pPr>
      <w:bookmarkStart w:id="0" w:name="_GoBack"/>
      <w:bookmarkEnd w:id="0"/>
      <w:r w:rsidRPr="0064381A">
        <w:rPr>
          <w:rFonts w:ascii="Arial" w:hAnsi="Arial" w:cs="Arial"/>
        </w:rPr>
        <w:t>Sch</w:t>
      </w:r>
      <w:r w:rsidR="008E79E3" w:rsidRPr="0064381A">
        <w:rPr>
          <w:rFonts w:ascii="Arial" w:hAnsi="Arial" w:cs="Arial"/>
        </w:rPr>
        <w:t>e</w:t>
      </w:r>
      <w:r w:rsidRPr="0064381A">
        <w:rPr>
          <w:rFonts w:ascii="Arial" w:hAnsi="Arial" w:cs="Arial"/>
        </w:rPr>
        <w:t xml:space="preserve">dule </w:t>
      </w:r>
      <w:r w:rsidR="006A23C8">
        <w:rPr>
          <w:rFonts w:ascii="Arial" w:hAnsi="Arial" w:cs="Arial"/>
        </w:rPr>
        <w:t>9</w:t>
      </w:r>
      <w:r w:rsidR="0064381A">
        <w:rPr>
          <w:rFonts w:ascii="Arial" w:hAnsi="Arial" w:cs="Arial"/>
        </w:rPr>
        <w:t xml:space="preserve"> to</w:t>
      </w:r>
    </w:p>
    <w:p w:rsidR="00745355" w:rsidRPr="0064381A" w:rsidRDefault="001D176D" w:rsidP="0064381A">
      <w:pPr>
        <w:spacing w:after="0"/>
        <w:ind w:left="6237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</w:rPr>
        <w:t>SHIPACQ137</w:t>
      </w: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8E79E3" w:rsidRDefault="00745355" w:rsidP="00745355">
      <w:pPr>
        <w:jc w:val="center"/>
        <w:rPr>
          <w:sz w:val="36"/>
          <w:szCs w:val="36"/>
        </w:rPr>
      </w:pPr>
    </w:p>
    <w:p w:rsidR="00745355" w:rsidRPr="00FA7AA3" w:rsidRDefault="001904C9" w:rsidP="001904C9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FA7AA3">
        <w:rPr>
          <w:rFonts w:ascii="Arial" w:hAnsi="Arial" w:cs="Arial"/>
          <w:sz w:val="36"/>
          <w:szCs w:val="36"/>
        </w:rPr>
        <w:t>SCH</w:t>
      </w:r>
      <w:r w:rsidR="00FA7AA3">
        <w:rPr>
          <w:rFonts w:ascii="Arial" w:hAnsi="Arial" w:cs="Arial"/>
          <w:sz w:val="36"/>
          <w:szCs w:val="36"/>
        </w:rPr>
        <w:t>E</w:t>
      </w:r>
      <w:r w:rsidRPr="00FA7AA3">
        <w:rPr>
          <w:rFonts w:ascii="Arial" w:hAnsi="Arial" w:cs="Arial"/>
          <w:sz w:val="36"/>
          <w:szCs w:val="36"/>
        </w:rPr>
        <w:t xml:space="preserve">DULE </w:t>
      </w:r>
      <w:r w:rsidR="006A23C8">
        <w:rPr>
          <w:rFonts w:ascii="Arial" w:hAnsi="Arial" w:cs="Arial"/>
          <w:sz w:val="36"/>
          <w:szCs w:val="36"/>
        </w:rPr>
        <w:t>9</w:t>
      </w:r>
    </w:p>
    <w:p w:rsidR="00745355" w:rsidRPr="00FA7AA3" w:rsidRDefault="00745355" w:rsidP="00745355">
      <w:pPr>
        <w:jc w:val="center"/>
        <w:rPr>
          <w:rFonts w:ascii="Arial" w:hAnsi="Arial" w:cs="Arial"/>
          <w:sz w:val="36"/>
          <w:szCs w:val="36"/>
        </w:rPr>
      </w:pPr>
      <w:r w:rsidRPr="00FA7AA3">
        <w:rPr>
          <w:rFonts w:ascii="Arial" w:hAnsi="Arial" w:cs="Arial"/>
          <w:sz w:val="36"/>
          <w:szCs w:val="36"/>
        </w:rPr>
        <w:t>KEY PERSONNEL</w:t>
      </w:r>
    </w:p>
    <w:p w:rsidR="00745355" w:rsidRDefault="00745355" w:rsidP="00745355">
      <w:pPr>
        <w:jc w:val="center"/>
        <w:rPr>
          <w:sz w:val="36"/>
          <w:szCs w:val="36"/>
        </w:rPr>
      </w:pPr>
    </w:p>
    <w:p w:rsidR="00745355" w:rsidRDefault="00745355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8B0E4C" w:rsidRPr="008B0E4C" w:rsidRDefault="008B0E4C" w:rsidP="001904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Key Perso</w:t>
      </w:r>
      <w:r w:rsidRPr="008B0E4C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nel</w:t>
      </w:r>
    </w:p>
    <w:p w:rsidR="00624499" w:rsidRDefault="00745355" w:rsidP="001904C9">
      <w:pPr>
        <w:rPr>
          <w:rFonts w:ascii="Arial" w:hAnsi="Arial" w:cs="Arial"/>
        </w:rPr>
      </w:pPr>
      <w:r w:rsidRPr="0064381A">
        <w:rPr>
          <w:rFonts w:ascii="Arial" w:hAnsi="Arial" w:cs="Arial"/>
        </w:rPr>
        <w:t>The following list details</w:t>
      </w:r>
      <w:r w:rsidR="002F747E" w:rsidRPr="0064381A">
        <w:rPr>
          <w:rFonts w:ascii="Arial" w:hAnsi="Arial" w:cs="Arial"/>
        </w:rPr>
        <w:t xml:space="preserve"> </w:t>
      </w:r>
      <w:r w:rsidRPr="0064381A">
        <w:rPr>
          <w:rFonts w:ascii="Arial" w:hAnsi="Arial" w:cs="Arial"/>
        </w:rPr>
        <w:t xml:space="preserve">those personnel deemed to </w:t>
      </w:r>
      <w:r w:rsidR="00A92EA1" w:rsidRPr="0064381A">
        <w:rPr>
          <w:rFonts w:ascii="Arial" w:hAnsi="Arial" w:cs="Arial"/>
        </w:rPr>
        <w:t xml:space="preserve">be </w:t>
      </w:r>
      <w:r w:rsidRPr="0064381A">
        <w:rPr>
          <w:rFonts w:ascii="Arial" w:hAnsi="Arial" w:cs="Arial"/>
        </w:rPr>
        <w:t xml:space="preserve">Key by the Contractor to manage and co-ordinate the activities under this contract.  </w:t>
      </w:r>
    </w:p>
    <w:p w:rsidR="008B0E4C" w:rsidRDefault="002F0C00" w:rsidP="001904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Contractor shall take all reasonable steps to avoid changes of Key Personnel assigned to and accepted by The Authority </w:t>
      </w:r>
      <w:r w:rsidR="00CA60BF">
        <w:rPr>
          <w:rFonts w:ascii="Arial" w:hAnsi="Arial" w:cs="Arial"/>
        </w:rPr>
        <w:t xml:space="preserve">as suitable to perform the work. </w:t>
      </w:r>
      <w:r>
        <w:rPr>
          <w:rFonts w:ascii="Arial" w:hAnsi="Arial" w:cs="Arial"/>
        </w:rPr>
        <w:t xml:space="preserve"> </w:t>
      </w:r>
      <w:r w:rsidR="00CA60BF">
        <w:rPr>
          <w:rFonts w:ascii="Arial" w:hAnsi="Arial" w:cs="Arial"/>
        </w:rPr>
        <w:t xml:space="preserve">Except where changes are unavoidable or of a temporary nature caused by sickness </w:t>
      </w:r>
      <w:r w:rsidR="008B0E4C">
        <w:rPr>
          <w:rFonts w:ascii="Arial" w:hAnsi="Arial" w:cs="Arial"/>
        </w:rPr>
        <w:t>or other unavoidable circumstances</w:t>
      </w:r>
      <w:r w:rsidR="00CA60BF">
        <w:rPr>
          <w:rFonts w:ascii="Arial" w:hAnsi="Arial" w:cs="Arial"/>
        </w:rPr>
        <w:t>, the Contractor shall give no less than two (2) months’ notice to the Authority</w:t>
      </w:r>
      <w:r w:rsidR="008B0E4C">
        <w:rPr>
          <w:rFonts w:ascii="Arial" w:hAnsi="Arial" w:cs="Arial"/>
        </w:rPr>
        <w:t xml:space="preserve">, acceptance of which shall </w:t>
      </w:r>
      <w:r w:rsidR="00CA60BF">
        <w:rPr>
          <w:rFonts w:ascii="Arial" w:hAnsi="Arial" w:cs="Arial"/>
        </w:rPr>
        <w:t xml:space="preserve">not be unreasonably withheld. </w:t>
      </w:r>
    </w:p>
    <w:p w:rsidR="00745355" w:rsidRPr="0064381A" w:rsidRDefault="00745355" w:rsidP="001904C9">
      <w:pPr>
        <w:rPr>
          <w:rFonts w:ascii="Arial" w:hAnsi="Arial" w:cs="Arial"/>
        </w:rPr>
      </w:pPr>
      <w:r w:rsidRPr="0064381A">
        <w:rPr>
          <w:rFonts w:ascii="Arial" w:hAnsi="Arial" w:cs="Arial"/>
        </w:rPr>
        <w:t xml:space="preserve">The Contractor, on </w:t>
      </w:r>
      <w:r w:rsidR="009A3342" w:rsidRPr="0064381A">
        <w:rPr>
          <w:rFonts w:ascii="Arial" w:hAnsi="Arial" w:cs="Arial"/>
        </w:rPr>
        <w:t>Commencement Date</w:t>
      </w:r>
      <w:r w:rsidRPr="0064381A">
        <w:rPr>
          <w:rFonts w:ascii="Arial" w:hAnsi="Arial" w:cs="Arial"/>
        </w:rPr>
        <w:t>, confirm</w:t>
      </w:r>
      <w:r w:rsidR="0064381A">
        <w:rPr>
          <w:rFonts w:ascii="Arial" w:hAnsi="Arial" w:cs="Arial"/>
        </w:rPr>
        <w:t xml:space="preserve">s that </w:t>
      </w:r>
      <w:r w:rsidRPr="0064381A">
        <w:rPr>
          <w:rFonts w:ascii="Arial" w:hAnsi="Arial" w:cs="Arial"/>
        </w:rPr>
        <w:t xml:space="preserve">any </w:t>
      </w:r>
      <w:r w:rsidR="0064381A">
        <w:rPr>
          <w:rFonts w:ascii="Arial" w:hAnsi="Arial" w:cs="Arial"/>
        </w:rPr>
        <w:t xml:space="preserve">named </w:t>
      </w:r>
      <w:r w:rsidRPr="0064381A">
        <w:rPr>
          <w:rFonts w:ascii="Arial" w:hAnsi="Arial" w:cs="Arial"/>
        </w:rPr>
        <w:t xml:space="preserve">individual </w:t>
      </w:r>
      <w:r w:rsidR="0064381A">
        <w:rPr>
          <w:rFonts w:ascii="Arial" w:hAnsi="Arial" w:cs="Arial"/>
        </w:rPr>
        <w:t xml:space="preserve">will not be changed out </w:t>
      </w:r>
      <w:r w:rsidRPr="0064381A">
        <w:rPr>
          <w:rFonts w:ascii="Arial" w:hAnsi="Arial" w:cs="Arial"/>
        </w:rPr>
        <w:t>without the prior written approval of the Authority which will not be unreasonably withheld. The contractor sh</w:t>
      </w:r>
      <w:r w:rsidR="0064381A">
        <w:rPr>
          <w:rFonts w:ascii="Arial" w:hAnsi="Arial" w:cs="Arial"/>
        </w:rPr>
        <w:t xml:space="preserve">all give no less than 2 months’ </w:t>
      </w:r>
      <w:r w:rsidRPr="0064381A">
        <w:rPr>
          <w:rFonts w:ascii="Arial" w:hAnsi="Arial" w:cs="Arial"/>
        </w:rPr>
        <w:t xml:space="preserve">notice to the </w:t>
      </w:r>
      <w:r w:rsidR="0064381A">
        <w:rPr>
          <w:rFonts w:ascii="Arial" w:hAnsi="Arial" w:cs="Arial"/>
        </w:rPr>
        <w:t xml:space="preserve">Authority prior to any proposed </w:t>
      </w:r>
      <w:r w:rsidRPr="0064381A">
        <w:rPr>
          <w:rFonts w:ascii="Arial" w:hAnsi="Arial" w:cs="Arial"/>
        </w:rPr>
        <w:t xml:space="preserve">change out </w:t>
      </w:r>
      <w:r w:rsidR="002158BE">
        <w:rPr>
          <w:rFonts w:ascii="Arial" w:hAnsi="Arial" w:cs="Arial"/>
        </w:rPr>
        <w:t>of a named</w:t>
      </w:r>
      <w:r w:rsidRPr="0064381A">
        <w:rPr>
          <w:rFonts w:ascii="Arial" w:hAnsi="Arial" w:cs="Arial"/>
        </w:rPr>
        <w:t xml:space="preserve"> individual</w:t>
      </w:r>
      <w:r w:rsidR="002F747E" w:rsidRPr="0064381A">
        <w:rPr>
          <w:rFonts w:ascii="Arial" w:hAnsi="Arial" w:cs="Arial"/>
        </w:rPr>
        <w:t>.</w:t>
      </w:r>
    </w:p>
    <w:p w:rsidR="00745355" w:rsidRPr="0064381A" w:rsidRDefault="00745355" w:rsidP="001904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3"/>
        <w:gridCol w:w="2386"/>
        <w:gridCol w:w="2268"/>
        <w:gridCol w:w="2552"/>
      </w:tblGrid>
      <w:tr w:rsidR="0039437E" w:rsidRPr="0064381A" w:rsidTr="0039437E">
        <w:tc>
          <w:tcPr>
            <w:tcW w:w="1833" w:type="dxa"/>
          </w:tcPr>
          <w:p w:rsidR="0039437E" w:rsidRPr="0064381A" w:rsidRDefault="0039437E" w:rsidP="006438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4381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386" w:type="dxa"/>
          </w:tcPr>
          <w:p w:rsidR="0039437E" w:rsidRPr="0064381A" w:rsidRDefault="0039437E" w:rsidP="006438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4381A">
              <w:rPr>
                <w:rFonts w:ascii="Arial" w:hAnsi="Arial" w:cs="Arial"/>
                <w:b/>
              </w:rPr>
              <w:t>Appointment</w:t>
            </w:r>
          </w:p>
        </w:tc>
        <w:tc>
          <w:tcPr>
            <w:tcW w:w="2268" w:type="dxa"/>
          </w:tcPr>
          <w:p w:rsidR="0039437E" w:rsidRPr="0064381A" w:rsidRDefault="0039437E" w:rsidP="006438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4381A">
              <w:rPr>
                <w:rFonts w:ascii="Arial" w:hAnsi="Arial" w:cs="Arial"/>
                <w:b/>
              </w:rPr>
              <w:t>Summary of Role and Responsibilities</w:t>
            </w:r>
          </w:p>
        </w:tc>
        <w:tc>
          <w:tcPr>
            <w:tcW w:w="2552" w:type="dxa"/>
          </w:tcPr>
          <w:p w:rsidR="0039437E" w:rsidRPr="0064381A" w:rsidRDefault="0039437E" w:rsidP="006438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4381A">
              <w:rPr>
                <w:rFonts w:ascii="Arial" w:hAnsi="Arial" w:cs="Arial"/>
                <w:b/>
              </w:rPr>
              <w:t>Where agreed to change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4381A">
              <w:rPr>
                <w:rFonts w:ascii="Arial" w:hAnsi="Arial" w:cs="Arial"/>
                <w:b/>
              </w:rPr>
              <w:t>out, date of change</w:t>
            </w:r>
          </w:p>
        </w:tc>
      </w:tr>
      <w:tr w:rsidR="0039437E" w:rsidRPr="0064381A" w:rsidTr="0039437E">
        <w:tc>
          <w:tcPr>
            <w:tcW w:w="1833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 Harris</w:t>
            </w:r>
          </w:p>
        </w:tc>
        <w:tc>
          <w:tcPr>
            <w:tcW w:w="2386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Director</w:t>
            </w:r>
          </w:p>
        </w:tc>
        <w:tc>
          <w:tcPr>
            <w:tcW w:w="2268" w:type="dxa"/>
          </w:tcPr>
          <w:p w:rsidR="0039437E" w:rsidRDefault="00007AB8" w:rsidP="00007AB8">
            <w:pPr>
              <w:pStyle w:val="ListParagraph"/>
              <w:numPr>
                <w:ilvl w:val="0"/>
                <w:numId w:val="1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Governance</w:t>
            </w:r>
          </w:p>
          <w:p w:rsidR="00007AB8" w:rsidRPr="00007AB8" w:rsidRDefault="00007AB8" w:rsidP="00007AB8">
            <w:pPr>
              <w:pStyle w:val="ListParagraph"/>
              <w:numPr>
                <w:ilvl w:val="0"/>
                <w:numId w:val="1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commercial terms</w:t>
            </w:r>
          </w:p>
        </w:tc>
        <w:tc>
          <w:tcPr>
            <w:tcW w:w="2552" w:type="dxa"/>
          </w:tcPr>
          <w:p w:rsidR="0039437E" w:rsidRPr="0064381A" w:rsidRDefault="0039437E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437E" w:rsidRPr="0064381A" w:rsidTr="0039437E">
        <w:tc>
          <w:tcPr>
            <w:tcW w:w="1833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Hammons</w:t>
            </w:r>
          </w:p>
        </w:tc>
        <w:tc>
          <w:tcPr>
            <w:tcW w:w="2386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Manager</w:t>
            </w:r>
          </w:p>
        </w:tc>
        <w:tc>
          <w:tcPr>
            <w:tcW w:w="2268" w:type="dxa"/>
          </w:tcPr>
          <w:p w:rsidR="0039437E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management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of services provided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Interface with the Authority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/ planning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SoR</w:t>
            </w:r>
            <w:proofErr w:type="spellEnd"/>
            <w:r>
              <w:rPr>
                <w:rFonts w:ascii="Arial" w:hAnsi="Arial" w:cs="Arial"/>
              </w:rPr>
              <w:t>, Specification &amp; design reviews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process support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into Industry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case studies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Shipyard visits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Houlder</w:t>
            </w:r>
            <w:proofErr w:type="spellEnd"/>
            <w:r>
              <w:rPr>
                <w:rFonts w:ascii="Arial" w:hAnsi="Arial" w:cs="Arial"/>
              </w:rPr>
              <w:t xml:space="preserve"> internal peer review</w:t>
            </w:r>
          </w:p>
          <w:p w:rsidR="00007AB8" w:rsidRPr="00007AB8" w:rsidRDefault="00007AB8" w:rsidP="00007AB8">
            <w:pPr>
              <w:pStyle w:val="ListParagraph"/>
              <w:numPr>
                <w:ilvl w:val="0"/>
                <w:numId w:val="2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of Technical Specialists</w:t>
            </w:r>
          </w:p>
        </w:tc>
        <w:tc>
          <w:tcPr>
            <w:tcW w:w="2552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Interchangeable with Mike Simpson</w:t>
            </w:r>
          </w:p>
        </w:tc>
      </w:tr>
      <w:tr w:rsidR="0039437E" w:rsidRPr="0064381A" w:rsidTr="0039437E">
        <w:tc>
          <w:tcPr>
            <w:tcW w:w="1833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Simpson</w:t>
            </w:r>
          </w:p>
        </w:tc>
        <w:tc>
          <w:tcPr>
            <w:tcW w:w="2386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Engineer</w:t>
            </w:r>
          </w:p>
        </w:tc>
        <w:tc>
          <w:tcPr>
            <w:tcW w:w="2268" w:type="dxa"/>
          </w:tcPr>
          <w:p w:rsidR="0039437E" w:rsidRDefault="00007AB8" w:rsidP="00007AB8">
            <w:pPr>
              <w:pStyle w:val="ListParagraph"/>
              <w:numPr>
                <w:ilvl w:val="0"/>
                <w:numId w:val="3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SoR</w:t>
            </w:r>
            <w:proofErr w:type="spellEnd"/>
            <w:r>
              <w:rPr>
                <w:rFonts w:ascii="Arial" w:hAnsi="Arial" w:cs="Arial"/>
              </w:rPr>
              <w:t xml:space="preserve">, Specification &amp; </w:t>
            </w:r>
            <w:r>
              <w:rPr>
                <w:rFonts w:ascii="Arial" w:hAnsi="Arial" w:cs="Arial"/>
              </w:rPr>
              <w:lastRenderedPageBreak/>
              <w:t>design reviews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3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process support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3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into Industry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3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Shipyard visits</w:t>
            </w:r>
          </w:p>
          <w:p w:rsidR="00007AB8" w:rsidRPr="00007AB8" w:rsidRDefault="00007AB8" w:rsidP="00007AB8">
            <w:pPr>
              <w:pStyle w:val="ListParagraph"/>
              <w:numPr>
                <w:ilvl w:val="0"/>
                <w:numId w:val="3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Houlder</w:t>
            </w:r>
            <w:proofErr w:type="spellEnd"/>
            <w:r>
              <w:rPr>
                <w:rFonts w:ascii="Arial" w:hAnsi="Arial" w:cs="Arial"/>
              </w:rPr>
              <w:t xml:space="preserve"> internal peer </w:t>
            </w:r>
            <w:proofErr w:type="spellStart"/>
            <w:r>
              <w:rPr>
                <w:rFonts w:ascii="Arial" w:hAnsi="Arial" w:cs="Arial"/>
              </w:rPr>
              <w:t>reveiw</w:t>
            </w:r>
            <w:proofErr w:type="spellEnd"/>
          </w:p>
        </w:tc>
        <w:tc>
          <w:tcPr>
            <w:tcW w:w="2552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Interchangeable with Jonathan Hammond</w:t>
            </w:r>
          </w:p>
        </w:tc>
      </w:tr>
      <w:tr w:rsidR="0039437E" w:rsidRPr="0064381A" w:rsidTr="0039437E">
        <w:tc>
          <w:tcPr>
            <w:tcW w:w="1833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Linsley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Meadwow</w:t>
            </w:r>
            <w:proofErr w:type="spellEnd"/>
          </w:p>
        </w:tc>
        <w:tc>
          <w:tcPr>
            <w:tcW w:w="2386" w:type="dxa"/>
          </w:tcPr>
          <w:p w:rsidR="0039437E" w:rsidRPr="0064381A" w:rsidRDefault="00007AB8" w:rsidP="008B0E4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Consultant</w:t>
            </w:r>
          </w:p>
        </w:tc>
        <w:tc>
          <w:tcPr>
            <w:tcW w:w="2268" w:type="dxa"/>
          </w:tcPr>
          <w:p w:rsidR="0039437E" w:rsidRDefault="00007AB8" w:rsidP="00007AB8">
            <w:pPr>
              <w:pStyle w:val="ListParagraph"/>
              <w:numPr>
                <w:ilvl w:val="0"/>
                <w:numId w:val="4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 review on ship procurement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4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strategy</w:t>
            </w:r>
          </w:p>
          <w:p w:rsidR="00007AB8" w:rsidRDefault="00007AB8" w:rsidP="00007AB8">
            <w:pPr>
              <w:pStyle w:val="ListParagraph"/>
              <w:numPr>
                <w:ilvl w:val="0"/>
                <w:numId w:val="4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commercial terms</w:t>
            </w:r>
          </w:p>
          <w:p w:rsidR="00007AB8" w:rsidRPr="00007AB8" w:rsidRDefault="00007AB8" w:rsidP="00007AB8">
            <w:pPr>
              <w:pStyle w:val="ListParagraph"/>
              <w:numPr>
                <w:ilvl w:val="0"/>
                <w:numId w:val="4"/>
              </w:numPr>
              <w:spacing w:before="60" w:after="60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to Project Manager</w:t>
            </w:r>
          </w:p>
        </w:tc>
        <w:tc>
          <w:tcPr>
            <w:tcW w:w="2552" w:type="dxa"/>
          </w:tcPr>
          <w:p w:rsidR="0039437E" w:rsidRPr="0064381A" w:rsidRDefault="0039437E" w:rsidP="008B0E4C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745355" w:rsidRPr="001904C9" w:rsidRDefault="00745355" w:rsidP="001904C9">
      <w:pPr>
        <w:rPr>
          <w:sz w:val="24"/>
          <w:szCs w:val="24"/>
        </w:rPr>
      </w:pPr>
    </w:p>
    <w:sectPr w:rsidR="00745355" w:rsidRPr="001904C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6D" w:rsidRDefault="001D176D" w:rsidP="001D176D">
      <w:pPr>
        <w:spacing w:after="0" w:line="240" w:lineRule="auto"/>
      </w:pPr>
      <w:r>
        <w:separator/>
      </w:r>
    </w:p>
  </w:endnote>
  <w:endnote w:type="continuationSeparator" w:id="0">
    <w:p w:rsidR="001D176D" w:rsidRDefault="001D176D" w:rsidP="001D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6D" w:rsidRDefault="00870E6D" w:rsidP="00870E6D">
    <w:pPr>
      <w:pStyle w:val="Footer"/>
      <w:jc w:val="center"/>
    </w:pPr>
    <w:r>
      <w:t>OFFICIAL SENSITIVE COMMERCIAL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6D" w:rsidRDefault="001D176D" w:rsidP="001D176D">
      <w:pPr>
        <w:spacing w:after="0" w:line="240" w:lineRule="auto"/>
      </w:pPr>
      <w:r>
        <w:separator/>
      </w:r>
    </w:p>
  </w:footnote>
  <w:footnote w:type="continuationSeparator" w:id="0">
    <w:p w:rsidR="001D176D" w:rsidRDefault="001D176D" w:rsidP="001D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6D" w:rsidRDefault="00870E6D">
    <w:pPr>
      <w:pStyle w:val="Header"/>
    </w:pPr>
    <w:r>
      <w:ptab w:relativeTo="margin" w:alignment="center" w:leader="none"/>
    </w:r>
    <w:r>
      <w:t>OFFICIAL SENSITIVE COMMERCIAL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EF1"/>
    <w:multiLevelType w:val="hybridMultilevel"/>
    <w:tmpl w:val="BEEE4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5267B"/>
    <w:multiLevelType w:val="hybridMultilevel"/>
    <w:tmpl w:val="FF8E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95261"/>
    <w:multiLevelType w:val="hybridMultilevel"/>
    <w:tmpl w:val="2C5AD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07C01"/>
    <w:multiLevelType w:val="hybridMultilevel"/>
    <w:tmpl w:val="F97A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55"/>
    <w:rsid w:val="00007AB8"/>
    <w:rsid w:val="000C1590"/>
    <w:rsid w:val="001904C9"/>
    <w:rsid w:val="001D176D"/>
    <w:rsid w:val="002158BE"/>
    <w:rsid w:val="002F0C00"/>
    <w:rsid w:val="002F747E"/>
    <w:rsid w:val="00360532"/>
    <w:rsid w:val="0039437E"/>
    <w:rsid w:val="00624499"/>
    <w:rsid w:val="00625805"/>
    <w:rsid w:val="0064381A"/>
    <w:rsid w:val="006A23C8"/>
    <w:rsid w:val="00745355"/>
    <w:rsid w:val="00805C17"/>
    <w:rsid w:val="00870E6D"/>
    <w:rsid w:val="008B0E4C"/>
    <w:rsid w:val="008E79E3"/>
    <w:rsid w:val="009A3342"/>
    <w:rsid w:val="009C3CA5"/>
    <w:rsid w:val="00A92EA1"/>
    <w:rsid w:val="00CA60BF"/>
    <w:rsid w:val="00D43A7A"/>
    <w:rsid w:val="00FA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6D"/>
  </w:style>
  <w:style w:type="paragraph" w:styleId="Footer">
    <w:name w:val="footer"/>
    <w:basedOn w:val="Normal"/>
    <w:link w:val="FooterChar"/>
    <w:uiPriority w:val="99"/>
    <w:unhideWhenUsed/>
    <w:rsid w:val="001D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6D"/>
  </w:style>
  <w:style w:type="paragraph" w:styleId="ListParagraph">
    <w:name w:val="List Paragraph"/>
    <w:basedOn w:val="Normal"/>
    <w:uiPriority w:val="34"/>
    <w:qFormat/>
    <w:rsid w:val="00007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6D"/>
  </w:style>
  <w:style w:type="paragraph" w:styleId="Footer">
    <w:name w:val="footer"/>
    <w:basedOn w:val="Normal"/>
    <w:link w:val="FooterChar"/>
    <w:uiPriority w:val="99"/>
    <w:unhideWhenUsed/>
    <w:rsid w:val="001D1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6D"/>
  </w:style>
  <w:style w:type="paragraph" w:styleId="ListParagraph">
    <w:name w:val="List Paragraph"/>
    <w:basedOn w:val="Normal"/>
    <w:uiPriority w:val="34"/>
    <w:qFormat/>
    <w:rsid w:val="0000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wilsond185</dc:creator>
  <cp:lastModifiedBy>richardsg112</cp:lastModifiedBy>
  <cp:revision>3</cp:revision>
  <cp:lastPrinted>2016-09-02T07:29:00Z</cp:lastPrinted>
  <dcterms:created xsi:type="dcterms:W3CDTF">2017-06-27T09:10:00Z</dcterms:created>
  <dcterms:modified xsi:type="dcterms:W3CDTF">2017-06-28T07:37:00Z</dcterms:modified>
</cp:coreProperties>
</file>