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19F58934" w:rsidR="008E5C6D" w:rsidRDefault="104567D9" w:rsidP="13C5260F">
      <w:r w:rsidRPr="13C5260F">
        <w:t xml:space="preserve">Clarification Questions </w:t>
      </w:r>
    </w:p>
    <w:p w14:paraId="454FD176" w14:textId="5A2BDD36" w:rsidR="104567D9" w:rsidRPr="00133540" w:rsidRDefault="104567D9" w:rsidP="13C5260F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b/>
          <w:bCs/>
        </w:rPr>
      </w:pPr>
      <w:r w:rsidRPr="00133540">
        <w:rPr>
          <w:rFonts w:ascii="Aptos" w:eastAsia="Aptos" w:hAnsi="Aptos" w:cs="Aptos"/>
          <w:b/>
          <w:bCs/>
        </w:rPr>
        <w:t xml:space="preserve">Will watching briefs be limited to the CIRIA C681 definition of the activity? Or will these UXO engineers be routinely required to conduct a handheld Detector Search &amp; Target Investigation over specified portions of monads? </w:t>
      </w:r>
    </w:p>
    <w:p w14:paraId="352D80E9" w14:textId="2AD43ECE" w:rsidR="5F0CC154" w:rsidRPr="00133540" w:rsidRDefault="00F82988" w:rsidP="52E94C09">
      <w:p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00133540">
        <w:rPr>
          <w:rFonts w:ascii="Aptos" w:eastAsia="Aptos" w:hAnsi="Aptos" w:cs="Aptos"/>
        </w:rPr>
        <w:t>Yes, handheld Detector Search &amp; Target Investigation in up to 6 soil plots of 16</w:t>
      </w:r>
      <w:r w:rsidR="008F1F69" w:rsidRPr="00133540">
        <w:rPr>
          <w:rFonts w:ascii="Aptos" w:eastAsia="Aptos" w:hAnsi="Aptos" w:cs="Aptos"/>
        </w:rPr>
        <w:t xml:space="preserve">m x 16m </w:t>
      </w:r>
      <w:r w:rsidR="00C87D53" w:rsidRPr="00133540">
        <w:rPr>
          <w:rFonts w:ascii="Aptos" w:eastAsia="Aptos" w:hAnsi="Aptos" w:cs="Aptos"/>
        </w:rPr>
        <w:t>within a</w:t>
      </w:r>
      <w:r w:rsidRPr="00133540">
        <w:rPr>
          <w:rFonts w:ascii="Aptos" w:eastAsia="Aptos" w:hAnsi="Aptos" w:cs="Aptos"/>
        </w:rPr>
        <w:t xml:space="preserve"> monad is required. This process ensures a thorough examination and clearance of unexploded ordnance (UXO) within the designated areas, adhering to safety protocols and project specifications.</w:t>
      </w:r>
    </w:p>
    <w:p w14:paraId="3E8B4BA8" w14:textId="52C643EC" w:rsidR="52E94C09" w:rsidRPr="008434A9" w:rsidRDefault="52E94C09" w:rsidP="52E94C09">
      <w:pPr>
        <w:shd w:val="clear" w:color="auto" w:fill="FFFFFF" w:themeFill="background1"/>
        <w:spacing w:after="0"/>
        <w:rPr>
          <w:rFonts w:ascii="Aptos" w:eastAsia="Aptos" w:hAnsi="Aptos" w:cs="Aptos"/>
          <w:b/>
          <w:bCs/>
        </w:rPr>
      </w:pPr>
    </w:p>
    <w:p w14:paraId="10B9E804" w14:textId="1A07D755" w:rsidR="104567D9" w:rsidRPr="00133540" w:rsidRDefault="1BFEF8FB" w:rsidP="52E94C09">
      <w:pPr>
        <w:numPr>
          <w:ilvl w:val="0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b/>
          <w:bCs/>
        </w:rPr>
      </w:pPr>
      <w:r w:rsidRPr="00133540">
        <w:rPr>
          <w:rFonts w:ascii="Aptos" w:eastAsia="Aptos" w:hAnsi="Aptos" w:cs="Aptos"/>
          <w:b/>
          <w:bCs/>
        </w:rPr>
        <w:t xml:space="preserve">Noting that only PDSAs are </w:t>
      </w:r>
      <w:r w:rsidR="005E158B" w:rsidRPr="00133540">
        <w:rPr>
          <w:rFonts w:ascii="Aptos" w:eastAsia="Aptos" w:hAnsi="Aptos" w:cs="Aptos"/>
          <w:b/>
          <w:bCs/>
        </w:rPr>
        <w:t>required</w:t>
      </w:r>
      <w:r w:rsidRPr="00133540">
        <w:rPr>
          <w:rFonts w:ascii="Aptos" w:eastAsia="Aptos" w:hAnsi="Aptos" w:cs="Aptos"/>
          <w:b/>
          <w:bCs/>
        </w:rPr>
        <w:t xml:space="preserve">, which are only used to recommend if a UXO Detailed Desktop Study (DDS) Detailed Risk Assessment is required or not, and not on-site mitigations. Will the UXO Engineers forming part of this requirement be </w:t>
      </w:r>
      <w:proofErr w:type="gramStart"/>
      <w:r w:rsidRPr="00133540">
        <w:rPr>
          <w:rFonts w:ascii="Aptos" w:eastAsia="Aptos" w:hAnsi="Aptos" w:cs="Aptos"/>
          <w:b/>
          <w:bCs/>
        </w:rPr>
        <w:t>commission</w:t>
      </w:r>
      <w:proofErr w:type="gramEnd"/>
      <w:r w:rsidRPr="00133540">
        <w:rPr>
          <w:rFonts w:ascii="Aptos" w:eastAsia="Aptos" w:hAnsi="Aptos" w:cs="Aptos"/>
          <w:b/>
          <w:bCs/>
        </w:rPr>
        <w:t xml:space="preserve"> based on DDSs that have been commissioned separately to this RFQ?</w:t>
      </w:r>
    </w:p>
    <w:p w14:paraId="68FBDB96" w14:textId="76B26D0B" w:rsidR="3F2D9116" w:rsidRPr="00001472" w:rsidRDefault="6A3BD91C" w:rsidP="0D542109">
      <w:p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00001472">
        <w:rPr>
          <w:rFonts w:ascii="Aptos" w:eastAsia="Aptos" w:hAnsi="Aptos" w:cs="Aptos"/>
        </w:rPr>
        <w:t>Yes</w:t>
      </w:r>
      <w:r w:rsidR="007C11C3" w:rsidRPr="00001472">
        <w:rPr>
          <w:rFonts w:ascii="Aptos" w:eastAsia="Aptos" w:hAnsi="Aptos" w:cs="Aptos"/>
        </w:rPr>
        <w:t>,</w:t>
      </w:r>
      <w:r w:rsidR="3F2D9116" w:rsidRPr="00001472">
        <w:rPr>
          <w:rFonts w:ascii="Aptos" w:eastAsia="Aptos" w:hAnsi="Aptos" w:cs="Aptos"/>
        </w:rPr>
        <w:t xml:space="preserve"> the UXO engineer </w:t>
      </w:r>
      <w:r w:rsidR="42AA0ECE" w:rsidRPr="00001472">
        <w:rPr>
          <w:rFonts w:ascii="Aptos" w:eastAsia="Aptos" w:hAnsi="Aptos" w:cs="Aptos"/>
        </w:rPr>
        <w:t>resource requirement</w:t>
      </w:r>
      <w:r w:rsidR="62E479CF" w:rsidRPr="00001472">
        <w:rPr>
          <w:rFonts w:ascii="Aptos" w:eastAsia="Aptos" w:hAnsi="Aptos" w:cs="Aptos"/>
        </w:rPr>
        <w:t xml:space="preserve"> will be commissioned based on</w:t>
      </w:r>
      <w:r w:rsidR="74A4A6F4" w:rsidRPr="00001472">
        <w:rPr>
          <w:rFonts w:ascii="Aptos" w:eastAsia="Aptos" w:hAnsi="Aptos" w:cs="Aptos"/>
        </w:rPr>
        <w:t xml:space="preserve"> the </w:t>
      </w:r>
      <w:r w:rsidR="12EBB06A" w:rsidRPr="00001472">
        <w:rPr>
          <w:rFonts w:ascii="Aptos" w:eastAsia="Aptos" w:hAnsi="Aptos" w:cs="Aptos"/>
        </w:rPr>
        <w:t>recommendations</w:t>
      </w:r>
      <w:r w:rsidR="74A4A6F4" w:rsidRPr="00001472">
        <w:rPr>
          <w:rFonts w:ascii="Aptos" w:eastAsia="Aptos" w:hAnsi="Aptos" w:cs="Aptos"/>
        </w:rPr>
        <w:t xml:space="preserve"> </w:t>
      </w:r>
      <w:r w:rsidR="5CF1534A" w:rsidRPr="00001472">
        <w:rPr>
          <w:rFonts w:ascii="Aptos" w:eastAsia="Aptos" w:hAnsi="Aptos" w:cs="Aptos"/>
        </w:rPr>
        <w:t>from existing Detailed Desktop Studies that are currently in use</w:t>
      </w:r>
      <w:r w:rsidR="3B17A07C" w:rsidRPr="00001472">
        <w:rPr>
          <w:rFonts w:ascii="Aptos" w:eastAsia="Aptos" w:hAnsi="Aptos" w:cs="Aptos"/>
        </w:rPr>
        <w:t xml:space="preserve"> during the autumn survey season. </w:t>
      </w:r>
      <w:r w:rsidR="66C39AF0" w:rsidRPr="00001472">
        <w:rPr>
          <w:rFonts w:ascii="Aptos" w:eastAsia="Aptos" w:hAnsi="Aptos" w:cs="Aptos"/>
        </w:rPr>
        <w:t xml:space="preserve">Whist the UXO engineer watching </w:t>
      </w:r>
      <w:r w:rsidR="581C4059" w:rsidRPr="00001472">
        <w:rPr>
          <w:rFonts w:ascii="Aptos" w:eastAsia="Aptos" w:hAnsi="Aptos" w:cs="Aptos"/>
        </w:rPr>
        <w:t>brief</w:t>
      </w:r>
      <w:r w:rsidR="66C39AF0" w:rsidRPr="00001472">
        <w:rPr>
          <w:rFonts w:ascii="Aptos" w:eastAsia="Aptos" w:hAnsi="Aptos" w:cs="Aptos"/>
        </w:rPr>
        <w:t xml:space="preserve"> requirement relates to</w:t>
      </w:r>
      <w:r w:rsidR="0D9103DF" w:rsidRPr="00001472">
        <w:rPr>
          <w:rFonts w:ascii="Aptos" w:eastAsia="Aptos" w:hAnsi="Aptos" w:cs="Aptos"/>
        </w:rPr>
        <w:t xml:space="preserve"> the current survey season, the</w:t>
      </w:r>
      <w:r w:rsidR="3B17A07C" w:rsidRPr="00001472">
        <w:rPr>
          <w:rFonts w:ascii="Aptos" w:eastAsia="Aptos" w:hAnsi="Aptos" w:cs="Aptos"/>
        </w:rPr>
        <w:t xml:space="preserve"> requirement for </w:t>
      </w:r>
      <w:r w:rsidR="3E345DB7" w:rsidRPr="00001472">
        <w:rPr>
          <w:rFonts w:ascii="Aptos" w:eastAsia="Aptos" w:hAnsi="Aptos" w:cs="Aptos"/>
        </w:rPr>
        <w:t>p</w:t>
      </w:r>
      <w:r w:rsidR="3B17A07C" w:rsidRPr="00001472">
        <w:rPr>
          <w:rFonts w:ascii="Aptos" w:eastAsia="Aptos" w:hAnsi="Aptos" w:cs="Aptos"/>
        </w:rPr>
        <w:t>re-desk studies relates to the</w:t>
      </w:r>
      <w:r w:rsidR="0042FAEC" w:rsidRPr="00001472">
        <w:rPr>
          <w:rFonts w:ascii="Aptos" w:eastAsia="Aptos" w:hAnsi="Aptos" w:cs="Aptos"/>
        </w:rPr>
        <w:t xml:space="preserve"> </w:t>
      </w:r>
      <w:r w:rsidR="3B17A07C" w:rsidRPr="00001472">
        <w:rPr>
          <w:rFonts w:ascii="Aptos" w:eastAsia="Aptos" w:hAnsi="Aptos" w:cs="Aptos"/>
        </w:rPr>
        <w:t>2025 survey season</w:t>
      </w:r>
      <w:r w:rsidR="7C554A06" w:rsidRPr="00001472">
        <w:rPr>
          <w:rFonts w:ascii="Aptos" w:eastAsia="Aptos" w:hAnsi="Aptos" w:cs="Aptos"/>
        </w:rPr>
        <w:t xml:space="preserve">. </w:t>
      </w:r>
    </w:p>
    <w:p w14:paraId="063224EE" w14:textId="77777777" w:rsidR="00001472" w:rsidRDefault="00001472" w:rsidP="52E94C09">
      <w:pPr>
        <w:shd w:val="clear" w:color="auto" w:fill="FFFFFF" w:themeFill="background1"/>
        <w:spacing w:after="0"/>
        <w:rPr>
          <w:rFonts w:ascii="Aptos" w:eastAsia="Aptos" w:hAnsi="Aptos" w:cs="Aptos"/>
        </w:rPr>
      </w:pPr>
    </w:p>
    <w:p w14:paraId="74E780AB" w14:textId="17B141B3" w:rsidR="104567D9" w:rsidRPr="00F26985" w:rsidRDefault="104567D9" w:rsidP="52E94C09">
      <w:pPr>
        <w:shd w:val="clear" w:color="auto" w:fill="FFFFFF" w:themeFill="background1"/>
        <w:spacing w:after="0"/>
        <w:rPr>
          <w:rFonts w:ascii="Aptos" w:eastAsia="Aptos" w:hAnsi="Aptos" w:cs="Aptos"/>
          <w:b/>
          <w:bCs/>
        </w:rPr>
      </w:pPr>
      <w:r w:rsidRPr="00F26985">
        <w:rPr>
          <w:rFonts w:ascii="Aptos" w:eastAsia="Aptos" w:hAnsi="Aptos" w:cs="Aptos"/>
          <w:b/>
          <w:bCs/>
        </w:rPr>
        <w:t xml:space="preserve">To enable quantification of </w:t>
      </w:r>
      <w:proofErr w:type="spellStart"/>
      <w:r w:rsidRPr="00F26985">
        <w:rPr>
          <w:rFonts w:ascii="Aptos" w:eastAsia="Aptos" w:hAnsi="Aptos" w:cs="Aptos"/>
          <w:b/>
          <w:bCs/>
        </w:rPr>
        <w:t>mobilisation</w:t>
      </w:r>
      <w:proofErr w:type="spellEnd"/>
      <w:r w:rsidRPr="00F26985">
        <w:rPr>
          <w:rFonts w:ascii="Aptos" w:eastAsia="Aptos" w:hAnsi="Aptos" w:cs="Aptos"/>
          <w:b/>
          <w:bCs/>
        </w:rPr>
        <w:t xml:space="preserve"> and </w:t>
      </w:r>
      <w:proofErr w:type="spellStart"/>
      <w:r w:rsidRPr="00F26985">
        <w:rPr>
          <w:rFonts w:ascii="Aptos" w:eastAsia="Aptos" w:hAnsi="Aptos" w:cs="Aptos"/>
          <w:b/>
          <w:bCs/>
        </w:rPr>
        <w:t>demobilisation</w:t>
      </w:r>
      <w:proofErr w:type="spellEnd"/>
      <w:r w:rsidRPr="00F26985">
        <w:rPr>
          <w:rFonts w:ascii="Aptos" w:eastAsia="Aptos" w:hAnsi="Aptos" w:cs="Aptos"/>
          <w:b/>
          <w:bCs/>
        </w:rPr>
        <w:t xml:space="preserve"> cost for UXO engineers: </w:t>
      </w:r>
    </w:p>
    <w:p w14:paraId="5E57F7CD" w14:textId="3B0ECD69" w:rsidR="104567D9" w:rsidRPr="00F26985" w:rsidRDefault="104567D9" w:rsidP="0D542109">
      <w:pPr>
        <w:pStyle w:val="ListParagraph"/>
        <w:shd w:val="clear" w:color="auto" w:fill="FFFFFF" w:themeFill="background1"/>
        <w:spacing w:after="0"/>
        <w:rPr>
          <w:rFonts w:ascii="Aptos" w:eastAsia="Aptos" w:hAnsi="Aptos" w:cs="Aptos"/>
          <w:b/>
          <w:bCs/>
        </w:rPr>
      </w:pPr>
    </w:p>
    <w:p w14:paraId="1A272F7D" w14:textId="3E0CBBBB" w:rsidR="104567D9" w:rsidRDefault="104567D9" w:rsidP="13094AB5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00F26985">
        <w:rPr>
          <w:rFonts w:ascii="Aptos" w:eastAsia="Aptos" w:hAnsi="Aptos" w:cs="Aptos"/>
          <w:b/>
          <w:bCs/>
        </w:rPr>
        <w:t xml:space="preserve">Please confirm the minimum number of days that a UXO Engineer </w:t>
      </w:r>
      <w:proofErr w:type="gramStart"/>
      <w:r w:rsidRPr="00F26985">
        <w:rPr>
          <w:rFonts w:ascii="Aptos" w:eastAsia="Aptos" w:hAnsi="Aptos" w:cs="Aptos"/>
          <w:b/>
          <w:bCs/>
        </w:rPr>
        <w:t>maybe</w:t>
      </w:r>
      <w:proofErr w:type="gramEnd"/>
      <w:r w:rsidRPr="00F26985">
        <w:rPr>
          <w:rFonts w:ascii="Aptos" w:eastAsia="Aptos" w:hAnsi="Aptos" w:cs="Aptos"/>
          <w:b/>
          <w:bCs/>
        </w:rPr>
        <w:t xml:space="preserve"> assigned to a specified monad?</w:t>
      </w:r>
    </w:p>
    <w:p w14:paraId="461F1B49" w14:textId="53171B09" w:rsidR="1B935CDE" w:rsidRDefault="1B935CDE" w:rsidP="20652EE5">
      <w:p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00F26985">
        <w:rPr>
          <w:rFonts w:ascii="Aptos" w:eastAsia="Aptos" w:hAnsi="Aptos" w:cs="Aptos"/>
        </w:rPr>
        <w:t xml:space="preserve">1 day minimum. </w:t>
      </w:r>
    </w:p>
    <w:p w14:paraId="030C68AA" w14:textId="77777777" w:rsidR="000B5396" w:rsidRPr="00001472" w:rsidRDefault="000B5396" w:rsidP="000B5396">
      <w:pPr>
        <w:spacing w:before="240" w:after="240"/>
        <w:rPr>
          <w:rFonts w:ascii="Aptos" w:eastAsia="Aptos" w:hAnsi="Aptos" w:cs="Aptos"/>
        </w:rPr>
      </w:pPr>
      <w:r w:rsidRPr="00001472">
        <w:rPr>
          <w:rFonts w:ascii="Aptos" w:eastAsia="Aptos" w:hAnsi="Aptos" w:cs="Aptos"/>
        </w:rPr>
        <w:t>Natural England has already received requests for UXO support on-site for early January 2025. To ensure the ongoing surveys are adequately supported at the start of the new year, availability must be confirmed for the following weeks:</w:t>
      </w:r>
    </w:p>
    <w:p w14:paraId="0E17F41D" w14:textId="77777777" w:rsidR="000B5396" w:rsidRPr="00001472" w:rsidRDefault="000B5396" w:rsidP="000B5396">
      <w:pPr>
        <w:pStyle w:val="ListParagraph"/>
        <w:spacing w:after="0"/>
        <w:rPr>
          <w:rFonts w:ascii="Aptos" w:eastAsia="Aptos" w:hAnsi="Aptos" w:cs="Aptos"/>
        </w:rPr>
      </w:pPr>
      <w:r w:rsidRPr="00001472">
        <w:rPr>
          <w:rFonts w:ascii="Aptos" w:eastAsia="Aptos" w:hAnsi="Aptos" w:cs="Aptos"/>
        </w:rPr>
        <w:t>Week commencing 06/01/2025: Up to 4 days of UXO support required for two monads (exact dates and location to be confirmed).</w:t>
      </w:r>
    </w:p>
    <w:p w14:paraId="47FCB269" w14:textId="77777777" w:rsidR="000B5396" w:rsidRPr="00001472" w:rsidRDefault="000B5396" w:rsidP="000B5396">
      <w:pPr>
        <w:pStyle w:val="ListParagraph"/>
        <w:spacing w:after="0"/>
        <w:rPr>
          <w:rFonts w:ascii="Aptos" w:eastAsia="Aptos" w:hAnsi="Aptos" w:cs="Aptos"/>
        </w:rPr>
      </w:pPr>
      <w:r w:rsidRPr="00001472">
        <w:rPr>
          <w:rFonts w:ascii="Aptos" w:eastAsia="Aptos" w:hAnsi="Aptos" w:cs="Aptos"/>
        </w:rPr>
        <w:t>Week commencing 13/01/2025: Up to 3 days of UXO support required for one monad (exact dates and location to be confirmed).</w:t>
      </w:r>
    </w:p>
    <w:p w14:paraId="2BD770BA" w14:textId="0F6C33D3" w:rsidR="000B5396" w:rsidRPr="00F26985" w:rsidRDefault="000B5396" w:rsidP="000B5396">
      <w:pPr>
        <w:pStyle w:val="ListParagraph"/>
        <w:spacing w:after="0"/>
        <w:rPr>
          <w:rFonts w:ascii="Aptos" w:eastAsia="Aptos" w:hAnsi="Aptos" w:cs="Aptos"/>
        </w:rPr>
      </w:pPr>
      <w:r w:rsidRPr="00001472">
        <w:rPr>
          <w:rFonts w:ascii="Aptos" w:eastAsia="Aptos" w:hAnsi="Aptos" w:cs="Aptos"/>
        </w:rPr>
        <w:t xml:space="preserve">Week commencing 20/01/2025: Up to 8 days of UXO support required for four monads (exact dates and location to be confirmed). </w:t>
      </w:r>
    </w:p>
    <w:p w14:paraId="346BDE47" w14:textId="3B76466E" w:rsidR="22A443E1" w:rsidRDefault="22A443E1" w:rsidP="0D542109">
      <w:pPr>
        <w:shd w:val="clear" w:color="auto" w:fill="FFFFFF" w:themeFill="background1"/>
        <w:spacing w:after="0"/>
        <w:rPr>
          <w:rFonts w:ascii="Aptos" w:eastAsia="Aptos" w:hAnsi="Aptos" w:cs="Aptos"/>
          <w:b/>
          <w:bCs/>
        </w:rPr>
      </w:pPr>
    </w:p>
    <w:p w14:paraId="2EC2146A" w14:textId="28443CF1" w:rsidR="104567D9" w:rsidRPr="00F26985" w:rsidRDefault="104567D9" w:rsidP="58556D29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b/>
          <w:bCs/>
        </w:rPr>
      </w:pPr>
      <w:r w:rsidRPr="00F26985">
        <w:rPr>
          <w:rFonts w:ascii="Aptos" w:eastAsia="Aptos" w:hAnsi="Aptos" w:cs="Aptos"/>
          <w:b/>
          <w:bCs/>
        </w:rPr>
        <w:t xml:space="preserve">Does this requirement only cover mainland England? Or does </w:t>
      </w:r>
      <w:r w:rsidR="00E92406">
        <w:rPr>
          <w:rFonts w:ascii="Aptos" w:eastAsia="Aptos" w:hAnsi="Aptos" w:cs="Aptos"/>
          <w:b/>
          <w:bCs/>
        </w:rPr>
        <w:t>the requirement</w:t>
      </w:r>
      <w:r w:rsidRPr="00F26985">
        <w:rPr>
          <w:rFonts w:ascii="Aptos" w:eastAsia="Aptos" w:hAnsi="Aptos" w:cs="Aptos"/>
          <w:b/>
          <w:bCs/>
        </w:rPr>
        <w:t xml:space="preserve"> include offshore islands, such as the Isle of White?</w:t>
      </w:r>
    </w:p>
    <w:p w14:paraId="5CC75632" w14:textId="0522FBAD" w:rsidR="0E21B94C" w:rsidRPr="00F26985" w:rsidRDefault="0E21B94C" w:rsidP="22A443E1">
      <w:p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00F26985">
        <w:rPr>
          <w:rFonts w:ascii="Aptos" w:eastAsia="Aptos" w:hAnsi="Aptos" w:cs="Aptos"/>
        </w:rPr>
        <w:t xml:space="preserve">Mainland England only. </w:t>
      </w:r>
    </w:p>
    <w:p w14:paraId="1246D890" w14:textId="05E0E974" w:rsidR="22A443E1" w:rsidRDefault="22A443E1" w:rsidP="0D542109">
      <w:pPr>
        <w:shd w:val="clear" w:color="auto" w:fill="FFFFFF" w:themeFill="background1"/>
        <w:spacing w:after="0"/>
        <w:rPr>
          <w:rFonts w:ascii="Aptos" w:eastAsia="Aptos" w:hAnsi="Aptos" w:cs="Aptos"/>
          <w:b/>
          <w:bCs/>
        </w:rPr>
      </w:pPr>
    </w:p>
    <w:p w14:paraId="6506A7FB" w14:textId="73F4E4CC" w:rsidR="104567D9" w:rsidRPr="00E92406" w:rsidRDefault="104567D9" w:rsidP="6F63405C">
      <w:pPr>
        <w:pStyle w:val="ListParagraph"/>
        <w:numPr>
          <w:ilvl w:val="1"/>
          <w:numId w:val="1"/>
        </w:numPr>
        <w:shd w:val="clear" w:color="auto" w:fill="FFFFFF" w:themeFill="background1"/>
        <w:spacing w:after="0"/>
        <w:rPr>
          <w:rFonts w:ascii="Aptos" w:eastAsia="Aptos" w:hAnsi="Aptos" w:cs="Aptos"/>
          <w:b/>
          <w:bCs/>
        </w:rPr>
      </w:pPr>
      <w:r w:rsidRPr="00E92406">
        <w:rPr>
          <w:rFonts w:ascii="Aptos" w:eastAsia="Aptos" w:hAnsi="Aptos" w:cs="Aptos"/>
          <w:b/>
          <w:bCs/>
        </w:rPr>
        <w:t>What will be the minimum time between notification of a watching brief being required and the engineer being required at site?</w:t>
      </w:r>
    </w:p>
    <w:p w14:paraId="39E215CD" w14:textId="5CAE3516" w:rsidR="730A4250" w:rsidRPr="00E92406" w:rsidRDefault="730A4250" w:rsidP="0D542109">
      <w:pPr>
        <w:shd w:val="clear" w:color="auto" w:fill="FFFFFF" w:themeFill="background1"/>
        <w:spacing w:after="0"/>
        <w:rPr>
          <w:rFonts w:ascii="Aptos" w:eastAsia="Aptos" w:hAnsi="Aptos" w:cs="Aptos"/>
        </w:rPr>
      </w:pPr>
      <w:r w:rsidRPr="00E92406">
        <w:rPr>
          <w:rFonts w:ascii="Aptos" w:eastAsia="Aptos" w:hAnsi="Aptos" w:cs="Aptos"/>
        </w:rPr>
        <w:t xml:space="preserve">We ask field surveys to give us at least two weeks’ notice </w:t>
      </w:r>
      <w:r w:rsidR="3061C33F" w:rsidRPr="00E92406">
        <w:rPr>
          <w:rFonts w:ascii="Aptos" w:eastAsia="Aptos" w:hAnsi="Aptos" w:cs="Aptos"/>
        </w:rPr>
        <w:t xml:space="preserve">of a requirement for a UXO watching brief. Upon contract award Natural England will be able to provide a list of requests received to date. </w:t>
      </w:r>
    </w:p>
    <w:p w14:paraId="4B7FEFA8" w14:textId="6AB3A480" w:rsidR="13C5260F" w:rsidRDefault="13C5260F" w:rsidP="0D542109">
      <w:pPr>
        <w:pStyle w:val="ListParagraph"/>
        <w:shd w:val="clear" w:color="auto" w:fill="FFFFFF" w:themeFill="background1"/>
        <w:spacing w:after="0"/>
        <w:ind w:left="1440"/>
        <w:rPr>
          <w:rFonts w:ascii="Aptos" w:eastAsia="Aptos" w:hAnsi="Aptos" w:cs="Aptos"/>
        </w:rPr>
      </w:pPr>
    </w:p>
    <w:p w14:paraId="3A22B576" w14:textId="348EF147" w:rsidR="09A8D07B" w:rsidRPr="00185EC8" w:rsidRDefault="09A8D07B" w:rsidP="0D54210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b/>
          <w:bCs/>
        </w:rPr>
      </w:pPr>
      <w:r w:rsidRPr="00185EC8">
        <w:rPr>
          <w:rFonts w:ascii="Calibri" w:eastAsia="Calibri" w:hAnsi="Calibri" w:cs="Calibri"/>
          <w:b/>
          <w:bCs/>
        </w:rPr>
        <w:t>Could you clarify if each area would need an individual report, how far apart they are i</w:t>
      </w:r>
      <w:r w:rsidR="00185EC8">
        <w:rPr>
          <w:rFonts w:ascii="Calibri" w:eastAsia="Calibri" w:hAnsi="Calibri" w:cs="Calibri"/>
          <w:b/>
          <w:bCs/>
        </w:rPr>
        <w:t>.</w:t>
      </w:r>
      <w:r w:rsidRPr="00185EC8">
        <w:rPr>
          <w:rFonts w:ascii="Calibri" w:eastAsia="Calibri" w:hAnsi="Calibri" w:cs="Calibri"/>
          <w:b/>
          <w:bCs/>
        </w:rPr>
        <w:t>e</w:t>
      </w:r>
      <w:r w:rsidR="00185EC8">
        <w:rPr>
          <w:rFonts w:ascii="Calibri" w:eastAsia="Calibri" w:hAnsi="Calibri" w:cs="Calibri"/>
          <w:b/>
          <w:bCs/>
        </w:rPr>
        <w:t>.</w:t>
      </w:r>
      <w:r w:rsidRPr="00185EC8">
        <w:rPr>
          <w:rFonts w:ascii="Calibri" w:eastAsia="Calibri" w:hAnsi="Calibri" w:cs="Calibri"/>
          <w:b/>
          <w:bCs/>
        </w:rPr>
        <w:t xml:space="preserve"> are some next to each other or spread across the country</w:t>
      </w:r>
    </w:p>
    <w:p w14:paraId="45A711A8" w14:textId="64F9B471" w:rsidR="13C5260F" w:rsidRPr="00185EC8" w:rsidRDefault="03F36BFD" w:rsidP="51F150E3">
      <w:pPr>
        <w:shd w:val="clear" w:color="auto" w:fill="FFFFFF" w:themeFill="background1"/>
        <w:spacing w:after="0"/>
        <w:rPr>
          <w:rFonts w:ascii="Calibri" w:eastAsia="Calibri" w:hAnsi="Calibri" w:cs="Calibri"/>
        </w:rPr>
      </w:pPr>
      <w:r w:rsidRPr="00185EC8">
        <w:rPr>
          <w:rFonts w:ascii="Calibri" w:eastAsia="Calibri" w:hAnsi="Calibri" w:cs="Calibri"/>
        </w:rPr>
        <w:t>We require one search per monad so 500 unique searches in total. The location of monads is randomly dis</w:t>
      </w:r>
      <w:r w:rsidR="08344859" w:rsidRPr="00185EC8">
        <w:rPr>
          <w:rFonts w:ascii="Calibri" w:eastAsia="Calibri" w:hAnsi="Calibri" w:cs="Calibri"/>
        </w:rPr>
        <w:t xml:space="preserve">tributed across England. </w:t>
      </w:r>
    </w:p>
    <w:p w14:paraId="55125036" w14:textId="1D953271" w:rsidR="7C81E2A1" w:rsidRDefault="7C81E2A1" w:rsidP="0D542109">
      <w:pPr>
        <w:shd w:val="clear" w:color="auto" w:fill="FFFFFF" w:themeFill="background1"/>
        <w:spacing w:after="0"/>
        <w:rPr>
          <w:rFonts w:ascii="Calibri" w:eastAsia="Calibri" w:hAnsi="Calibri" w:cs="Calibri"/>
        </w:rPr>
      </w:pPr>
    </w:p>
    <w:p w14:paraId="0BD4A996" w14:textId="44AB793A" w:rsidR="09A8D07B" w:rsidRPr="00C01227" w:rsidRDefault="09A8D07B" w:rsidP="0D542109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b/>
          <w:bCs/>
        </w:rPr>
      </w:pPr>
      <w:r w:rsidRPr="00C01227">
        <w:rPr>
          <w:rFonts w:ascii="Calibri" w:eastAsia="Calibri" w:hAnsi="Calibri" w:cs="Calibri"/>
          <w:b/>
          <w:bCs/>
        </w:rPr>
        <w:t>Would you be open to us suggesting a timeframe that the reports can be completed in</w:t>
      </w:r>
    </w:p>
    <w:p w14:paraId="2A094404" w14:textId="5E80839F" w:rsidR="51455C32" w:rsidRPr="00C01227" w:rsidRDefault="51455C32" w:rsidP="5F1E4546">
      <w:pPr>
        <w:shd w:val="clear" w:color="auto" w:fill="FFFFFF" w:themeFill="background1"/>
        <w:spacing w:after="0"/>
        <w:rPr>
          <w:rFonts w:ascii="Calibri" w:eastAsia="Calibri" w:hAnsi="Calibri" w:cs="Calibri"/>
          <w:color w:val="1F497D"/>
        </w:rPr>
      </w:pPr>
      <w:r w:rsidRPr="00C01227">
        <w:rPr>
          <w:rFonts w:ascii="Calibri" w:eastAsia="Calibri" w:hAnsi="Calibri" w:cs="Calibri"/>
        </w:rPr>
        <w:t>Yes</w:t>
      </w:r>
      <w:r w:rsidR="496DEF9F" w:rsidRPr="00C01227">
        <w:rPr>
          <w:rFonts w:ascii="Calibri" w:eastAsia="Calibri" w:hAnsi="Calibri" w:cs="Calibri"/>
        </w:rPr>
        <w:t>,</w:t>
      </w:r>
      <w:r w:rsidRPr="00C01227">
        <w:rPr>
          <w:rFonts w:ascii="Calibri" w:eastAsia="Calibri" w:hAnsi="Calibri" w:cs="Calibri"/>
        </w:rPr>
        <w:t xml:space="preserve"> we will still accept bids that propose </w:t>
      </w:r>
      <w:r w:rsidR="6CF3E609" w:rsidRPr="00C01227">
        <w:rPr>
          <w:rFonts w:ascii="Calibri" w:eastAsia="Calibri" w:hAnsi="Calibri" w:cs="Calibri"/>
        </w:rPr>
        <w:t xml:space="preserve">alterative timescales. </w:t>
      </w:r>
    </w:p>
    <w:p w14:paraId="15B1CDEF" w14:textId="63EAA5C2" w:rsidR="13C5260F" w:rsidRDefault="13C5260F" w:rsidP="0D542109">
      <w:pPr>
        <w:pStyle w:val="ListParagraph"/>
        <w:shd w:val="clear" w:color="auto" w:fill="FFFFFF" w:themeFill="background1"/>
        <w:spacing w:after="0"/>
        <w:rPr>
          <w:rFonts w:ascii="Calibri" w:eastAsia="Calibri" w:hAnsi="Calibri" w:cs="Calibri"/>
        </w:rPr>
      </w:pPr>
    </w:p>
    <w:p w14:paraId="503C88F7" w14:textId="275DC93A" w:rsidR="09A8D07B" w:rsidRPr="00C01227" w:rsidRDefault="09A8D07B" w:rsidP="5F1E4546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rPr>
          <w:rFonts w:ascii="Calibri" w:eastAsia="Calibri" w:hAnsi="Calibri" w:cs="Calibri"/>
          <w:b/>
          <w:bCs/>
        </w:rPr>
      </w:pPr>
      <w:r w:rsidRPr="00C01227">
        <w:rPr>
          <w:rFonts w:ascii="Calibri" w:eastAsia="Calibri" w:hAnsi="Calibri" w:cs="Calibri"/>
          <w:b/>
          <w:bCs/>
        </w:rPr>
        <w:t xml:space="preserve">Are you awarding to one supplier or multiple </w:t>
      </w:r>
    </w:p>
    <w:p w14:paraId="55A33E23" w14:textId="7571FEEF" w:rsidR="3C0B53D9" w:rsidRPr="00C01227" w:rsidRDefault="2D3B909C" w:rsidP="5F1E4546">
      <w:r w:rsidRPr="00C01227">
        <w:t xml:space="preserve">One contract will be awarded to a single supplier however we are happy to accept bids with consortium or sub-contracting arrangements. </w:t>
      </w:r>
    </w:p>
    <w:p w14:paraId="5FA8B3B6" w14:textId="497424E6" w:rsidR="00B24F4E" w:rsidRDefault="5E6B1CD6" w:rsidP="60D47DB6">
      <w:pPr>
        <w:pStyle w:val="ListParagraph"/>
        <w:numPr>
          <w:ilvl w:val="0"/>
          <w:numId w:val="1"/>
        </w:numPr>
        <w:rPr>
          <w:b/>
          <w:bCs/>
        </w:rPr>
      </w:pPr>
      <w:r w:rsidRPr="52E94C09">
        <w:rPr>
          <w:b/>
          <w:bCs/>
        </w:rPr>
        <w:t xml:space="preserve">A requirement in Question 3: Project Management is Clarification of how many searches will be delivered per week or per month as part of this contract. </w:t>
      </w:r>
      <w:r w:rsidR="001C64CF">
        <w:rPr>
          <w:b/>
          <w:bCs/>
        </w:rPr>
        <w:t xml:space="preserve">Please confirm what is meant by the term ‘searches’ </w:t>
      </w:r>
    </w:p>
    <w:p w14:paraId="5E7DB939" w14:textId="0EF6B4F6" w:rsidR="00A22F55" w:rsidRPr="00AD43FE" w:rsidRDefault="00AD43FE" w:rsidP="00AD43FE">
      <w:r>
        <w:t xml:space="preserve">This </w:t>
      </w:r>
      <w:r w:rsidR="00047CE6">
        <w:t xml:space="preserve">requirement </w:t>
      </w:r>
      <w:r w:rsidR="002724A2">
        <w:t xml:space="preserve">asks suppliers to clarify how many detailed desk studies they </w:t>
      </w:r>
      <w:r w:rsidR="009D3612">
        <w:t xml:space="preserve">anticipate they can deliver </w:t>
      </w:r>
      <w:r w:rsidR="00590714">
        <w:t xml:space="preserve">per week or per month – the supplier can </w:t>
      </w:r>
      <w:r w:rsidR="00657460">
        <w:t xml:space="preserve">choose </w:t>
      </w:r>
      <w:r w:rsidR="002C77DE">
        <w:t xml:space="preserve">which </w:t>
      </w:r>
      <w:proofErr w:type="gramStart"/>
      <w:r w:rsidR="00A22F55">
        <w:t>time period</w:t>
      </w:r>
      <w:proofErr w:type="gramEnd"/>
      <w:r w:rsidR="00A22F55">
        <w:t xml:space="preserve"> to use. </w:t>
      </w:r>
    </w:p>
    <w:p w14:paraId="064C0F33" w14:textId="4609D23D" w:rsidR="60D47DB6" w:rsidRDefault="60D47DB6" w:rsidP="008434A9"/>
    <w:sectPr w:rsidR="60D47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D3F3D"/>
    <w:multiLevelType w:val="hybridMultilevel"/>
    <w:tmpl w:val="FFFFFFFF"/>
    <w:lvl w:ilvl="0" w:tplc="769A8030">
      <w:start w:val="1"/>
      <w:numFmt w:val="decimal"/>
      <w:lvlText w:val="%1."/>
      <w:lvlJc w:val="left"/>
      <w:pPr>
        <w:ind w:left="720" w:hanging="360"/>
      </w:pPr>
    </w:lvl>
    <w:lvl w:ilvl="1" w:tplc="42D08270">
      <w:start w:val="1"/>
      <w:numFmt w:val="lowerLetter"/>
      <w:lvlText w:val="%2."/>
      <w:lvlJc w:val="left"/>
      <w:pPr>
        <w:ind w:left="1440" w:hanging="360"/>
      </w:pPr>
    </w:lvl>
    <w:lvl w:ilvl="2" w:tplc="6D84CBC0">
      <w:start w:val="1"/>
      <w:numFmt w:val="lowerRoman"/>
      <w:lvlText w:val="%3."/>
      <w:lvlJc w:val="right"/>
      <w:pPr>
        <w:ind w:left="2160" w:hanging="180"/>
      </w:pPr>
    </w:lvl>
    <w:lvl w:ilvl="3" w:tplc="15C22B20">
      <w:start w:val="1"/>
      <w:numFmt w:val="decimal"/>
      <w:lvlText w:val="%4."/>
      <w:lvlJc w:val="left"/>
      <w:pPr>
        <w:ind w:left="2880" w:hanging="360"/>
      </w:pPr>
    </w:lvl>
    <w:lvl w:ilvl="4" w:tplc="D6F29192">
      <w:start w:val="1"/>
      <w:numFmt w:val="lowerLetter"/>
      <w:lvlText w:val="%5."/>
      <w:lvlJc w:val="left"/>
      <w:pPr>
        <w:ind w:left="3600" w:hanging="360"/>
      </w:pPr>
    </w:lvl>
    <w:lvl w:ilvl="5" w:tplc="1F7C627A">
      <w:start w:val="1"/>
      <w:numFmt w:val="lowerRoman"/>
      <w:lvlText w:val="%6."/>
      <w:lvlJc w:val="right"/>
      <w:pPr>
        <w:ind w:left="4320" w:hanging="180"/>
      </w:pPr>
    </w:lvl>
    <w:lvl w:ilvl="6" w:tplc="5BD2FCEC">
      <w:start w:val="1"/>
      <w:numFmt w:val="decimal"/>
      <w:lvlText w:val="%7."/>
      <w:lvlJc w:val="left"/>
      <w:pPr>
        <w:ind w:left="5040" w:hanging="360"/>
      </w:pPr>
    </w:lvl>
    <w:lvl w:ilvl="7" w:tplc="816A6896">
      <w:start w:val="1"/>
      <w:numFmt w:val="lowerLetter"/>
      <w:lvlText w:val="%8."/>
      <w:lvlJc w:val="left"/>
      <w:pPr>
        <w:ind w:left="5760" w:hanging="360"/>
      </w:pPr>
    </w:lvl>
    <w:lvl w:ilvl="8" w:tplc="DFC896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D26DA"/>
    <w:multiLevelType w:val="hybridMultilevel"/>
    <w:tmpl w:val="FFFFFFFF"/>
    <w:lvl w:ilvl="0" w:tplc="AF2A63B2">
      <w:start w:val="3"/>
      <w:numFmt w:val="decimal"/>
      <w:lvlText w:val="%1."/>
      <w:lvlJc w:val="left"/>
      <w:pPr>
        <w:ind w:left="720" w:hanging="360"/>
      </w:pPr>
    </w:lvl>
    <w:lvl w:ilvl="1" w:tplc="3536A784">
      <w:start w:val="1"/>
      <w:numFmt w:val="lowerLetter"/>
      <w:lvlText w:val="%2."/>
      <w:lvlJc w:val="left"/>
      <w:pPr>
        <w:ind w:left="1440" w:hanging="360"/>
      </w:pPr>
    </w:lvl>
    <w:lvl w:ilvl="2" w:tplc="01A68B3E">
      <w:start w:val="1"/>
      <w:numFmt w:val="lowerRoman"/>
      <w:lvlText w:val="%3."/>
      <w:lvlJc w:val="right"/>
      <w:pPr>
        <w:ind w:left="2160" w:hanging="180"/>
      </w:pPr>
    </w:lvl>
    <w:lvl w:ilvl="3" w:tplc="45CC147A">
      <w:start w:val="1"/>
      <w:numFmt w:val="decimal"/>
      <w:lvlText w:val="%4."/>
      <w:lvlJc w:val="left"/>
      <w:pPr>
        <w:ind w:left="2880" w:hanging="360"/>
      </w:pPr>
    </w:lvl>
    <w:lvl w:ilvl="4" w:tplc="00865962">
      <w:start w:val="1"/>
      <w:numFmt w:val="lowerLetter"/>
      <w:lvlText w:val="%5."/>
      <w:lvlJc w:val="left"/>
      <w:pPr>
        <w:ind w:left="3600" w:hanging="360"/>
      </w:pPr>
    </w:lvl>
    <w:lvl w:ilvl="5" w:tplc="7BB8E292">
      <w:start w:val="1"/>
      <w:numFmt w:val="lowerRoman"/>
      <w:lvlText w:val="%6."/>
      <w:lvlJc w:val="right"/>
      <w:pPr>
        <w:ind w:left="4320" w:hanging="180"/>
      </w:pPr>
    </w:lvl>
    <w:lvl w:ilvl="6" w:tplc="BA42FA42">
      <w:start w:val="1"/>
      <w:numFmt w:val="decimal"/>
      <w:lvlText w:val="%7."/>
      <w:lvlJc w:val="left"/>
      <w:pPr>
        <w:ind w:left="5040" w:hanging="360"/>
      </w:pPr>
    </w:lvl>
    <w:lvl w:ilvl="7" w:tplc="7EA61848">
      <w:start w:val="1"/>
      <w:numFmt w:val="lowerLetter"/>
      <w:lvlText w:val="%8."/>
      <w:lvlJc w:val="left"/>
      <w:pPr>
        <w:ind w:left="5760" w:hanging="360"/>
      </w:pPr>
    </w:lvl>
    <w:lvl w:ilvl="8" w:tplc="04769BB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CA8D9"/>
    <w:multiLevelType w:val="hybridMultilevel"/>
    <w:tmpl w:val="FFFFFFFF"/>
    <w:lvl w:ilvl="0" w:tplc="BB30A7D0">
      <w:start w:val="2"/>
      <w:numFmt w:val="decimal"/>
      <w:lvlText w:val="%1."/>
      <w:lvlJc w:val="left"/>
      <w:pPr>
        <w:ind w:left="720" w:hanging="360"/>
      </w:pPr>
    </w:lvl>
    <w:lvl w:ilvl="1" w:tplc="516E3EA4">
      <w:start w:val="1"/>
      <w:numFmt w:val="lowerLetter"/>
      <w:lvlText w:val="%2."/>
      <w:lvlJc w:val="left"/>
      <w:pPr>
        <w:ind w:left="1440" w:hanging="360"/>
      </w:pPr>
    </w:lvl>
    <w:lvl w:ilvl="2" w:tplc="84BECEEE">
      <w:start w:val="1"/>
      <w:numFmt w:val="lowerRoman"/>
      <w:lvlText w:val="%3."/>
      <w:lvlJc w:val="right"/>
      <w:pPr>
        <w:ind w:left="2160" w:hanging="180"/>
      </w:pPr>
    </w:lvl>
    <w:lvl w:ilvl="3" w:tplc="2348FB40">
      <w:start w:val="1"/>
      <w:numFmt w:val="decimal"/>
      <w:lvlText w:val="%4."/>
      <w:lvlJc w:val="left"/>
      <w:pPr>
        <w:ind w:left="2880" w:hanging="360"/>
      </w:pPr>
    </w:lvl>
    <w:lvl w:ilvl="4" w:tplc="7996D258">
      <w:start w:val="1"/>
      <w:numFmt w:val="lowerLetter"/>
      <w:lvlText w:val="%5."/>
      <w:lvlJc w:val="left"/>
      <w:pPr>
        <w:ind w:left="3600" w:hanging="360"/>
      </w:pPr>
    </w:lvl>
    <w:lvl w:ilvl="5" w:tplc="0868F6F6">
      <w:start w:val="1"/>
      <w:numFmt w:val="lowerRoman"/>
      <w:lvlText w:val="%6."/>
      <w:lvlJc w:val="right"/>
      <w:pPr>
        <w:ind w:left="4320" w:hanging="180"/>
      </w:pPr>
    </w:lvl>
    <w:lvl w:ilvl="6" w:tplc="F006DBBE">
      <w:start w:val="1"/>
      <w:numFmt w:val="decimal"/>
      <w:lvlText w:val="%7."/>
      <w:lvlJc w:val="left"/>
      <w:pPr>
        <w:ind w:left="5040" w:hanging="360"/>
      </w:pPr>
    </w:lvl>
    <w:lvl w:ilvl="7" w:tplc="9382777C">
      <w:start w:val="1"/>
      <w:numFmt w:val="lowerLetter"/>
      <w:lvlText w:val="%8."/>
      <w:lvlJc w:val="left"/>
      <w:pPr>
        <w:ind w:left="5760" w:hanging="360"/>
      </w:pPr>
    </w:lvl>
    <w:lvl w:ilvl="8" w:tplc="31DAFB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12400"/>
    <w:multiLevelType w:val="hybridMultilevel"/>
    <w:tmpl w:val="FFFFFFFF"/>
    <w:lvl w:ilvl="0" w:tplc="5B5EAD08">
      <w:start w:val="1"/>
      <w:numFmt w:val="decimal"/>
      <w:lvlText w:val="%1."/>
      <w:lvlJc w:val="left"/>
      <w:pPr>
        <w:ind w:left="720" w:hanging="360"/>
      </w:pPr>
    </w:lvl>
    <w:lvl w:ilvl="1" w:tplc="7FFC7C84">
      <w:start w:val="1"/>
      <w:numFmt w:val="lowerLetter"/>
      <w:lvlText w:val="%2."/>
      <w:lvlJc w:val="left"/>
      <w:pPr>
        <w:ind w:left="1440" w:hanging="360"/>
      </w:pPr>
    </w:lvl>
    <w:lvl w:ilvl="2" w:tplc="31364468">
      <w:start w:val="1"/>
      <w:numFmt w:val="lowerRoman"/>
      <w:lvlText w:val="%3."/>
      <w:lvlJc w:val="right"/>
      <w:pPr>
        <w:ind w:left="2160" w:hanging="180"/>
      </w:pPr>
    </w:lvl>
    <w:lvl w:ilvl="3" w:tplc="D5269834">
      <w:start w:val="1"/>
      <w:numFmt w:val="decimal"/>
      <w:lvlText w:val="%4."/>
      <w:lvlJc w:val="left"/>
      <w:pPr>
        <w:ind w:left="2880" w:hanging="360"/>
      </w:pPr>
    </w:lvl>
    <w:lvl w:ilvl="4" w:tplc="945E4652">
      <w:start w:val="1"/>
      <w:numFmt w:val="lowerLetter"/>
      <w:lvlText w:val="%5."/>
      <w:lvlJc w:val="left"/>
      <w:pPr>
        <w:ind w:left="3600" w:hanging="360"/>
      </w:pPr>
    </w:lvl>
    <w:lvl w:ilvl="5" w:tplc="29C0FFBC">
      <w:start w:val="1"/>
      <w:numFmt w:val="lowerRoman"/>
      <w:lvlText w:val="%6."/>
      <w:lvlJc w:val="right"/>
      <w:pPr>
        <w:ind w:left="4320" w:hanging="180"/>
      </w:pPr>
    </w:lvl>
    <w:lvl w:ilvl="6" w:tplc="891C9044">
      <w:start w:val="1"/>
      <w:numFmt w:val="decimal"/>
      <w:lvlText w:val="%7."/>
      <w:lvlJc w:val="left"/>
      <w:pPr>
        <w:ind w:left="5040" w:hanging="360"/>
      </w:pPr>
    </w:lvl>
    <w:lvl w:ilvl="7" w:tplc="002E5DFA">
      <w:start w:val="1"/>
      <w:numFmt w:val="lowerLetter"/>
      <w:lvlText w:val="%8."/>
      <w:lvlJc w:val="left"/>
      <w:pPr>
        <w:ind w:left="5760" w:hanging="360"/>
      </w:pPr>
    </w:lvl>
    <w:lvl w:ilvl="8" w:tplc="D05CD824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98292">
    <w:abstractNumId w:val="0"/>
  </w:num>
  <w:num w:numId="2" w16cid:durableId="287324080">
    <w:abstractNumId w:val="3"/>
  </w:num>
  <w:num w:numId="3" w16cid:durableId="510073970">
    <w:abstractNumId w:val="1"/>
  </w:num>
  <w:num w:numId="4" w16cid:durableId="51083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6D"/>
    <w:rsid w:val="00001472"/>
    <w:rsid w:val="00047CE6"/>
    <w:rsid w:val="000B5396"/>
    <w:rsid w:val="00133540"/>
    <w:rsid w:val="00185EC8"/>
    <w:rsid w:val="001C64CF"/>
    <w:rsid w:val="00226195"/>
    <w:rsid w:val="00243968"/>
    <w:rsid w:val="002724A2"/>
    <w:rsid w:val="002C77DE"/>
    <w:rsid w:val="00391DE6"/>
    <w:rsid w:val="0042FAEC"/>
    <w:rsid w:val="004D3E49"/>
    <w:rsid w:val="005045AB"/>
    <w:rsid w:val="00590714"/>
    <w:rsid w:val="005E158B"/>
    <w:rsid w:val="00634A15"/>
    <w:rsid w:val="00657460"/>
    <w:rsid w:val="00677E63"/>
    <w:rsid w:val="00696301"/>
    <w:rsid w:val="006A3926"/>
    <w:rsid w:val="007549C6"/>
    <w:rsid w:val="007A4344"/>
    <w:rsid w:val="007C11C3"/>
    <w:rsid w:val="008434A9"/>
    <w:rsid w:val="008A0F5F"/>
    <w:rsid w:val="008E469D"/>
    <w:rsid w:val="008E5C6D"/>
    <w:rsid w:val="008F1F69"/>
    <w:rsid w:val="009B05F0"/>
    <w:rsid w:val="009D3612"/>
    <w:rsid w:val="00A22F55"/>
    <w:rsid w:val="00A945FA"/>
    <w:rsid w:val="00AC7F06"/>
    <w:rsid w:val="00AD43FE"/>
    <w:rsid w:val="00B24F4E"/>
    <w:rsid w:val="00B521C8"/>
    <w:rsid w:val="00C01227"/>
    <w:rsid w:val="00C26FFB"/>
    <w:rsid w:val="00C47D65"/>
    <w:rsid w:val="00C87D53"/>
    <w:rsid w:val="00CE1572"/>
    <w:rsid w:val="00CF1BF7"/>
    <w:rsid w:val="00D57167"/>
    <w:rsid w:val="00D95968"/>
    <w:rsid w:val="00E92406"/>
    <w:rsid w:val="00ED39FC"/>
    <w:rsid w:val="00F25C18"/>
    <w:rsid w:val="00F26985"/>
    <w:rsid w:val="00F27EC9"/>
    <w:rsid w:val="00F82988"/>
    <w:rsid w:val="03F36BFD"/>
    <w:rsid w:val="040D1901"/>
    <w:rsid w:val="06F5C6F0"/>
    <w:rsid w:val="08344859"/>
    <w:rsid w:val="08541993"/>
    <w:rsid w:val="09A8D07B"/>
    <w:rsid w:val="0A87F43C"/>
    <w:rsid w:val="0C4B9C3D"/>
    <w:rsid w:val="0D542109"/>
    <w:rsid w:val="0D9103DF"/>
    <w:rsid w:val="0E21B94C"/>
    <w:rsid w:val="104567D9"/>
    <w:rsid w:val="10F12530"/>
    <w:rsid w:val="12EBB06A"/>
    <w:rsid w:val="13094AB5"/>
    <w:rsid w:val="13C5260F"/>
    <w:rsid w:val="1449FAEC"/>
    <w:rsid w:val="16191C09"/>
    <w:rsid w:val="1728B567"/>
    <w:rsid w:val="189479A2"/>
    <w:rsid w:val="18A1D58C"/>
    <w:rsid w:val="19281BC7"/>
    <w:rsid w:val="1AAD23AA"/>
    <w:rsid w:val="1B935CDE"/>
    <w:rsid w:val="1BFEF8FB"/>
    <w:rsid w:val="1DBF0FFA"/>
    <w:rsid w:val="200674DA"/>
    <w:rsid w:val="20652EE5"/>
    <w:rsid w:val="20F75E67"/>
    <w:rsid w:val="22A443E1"/>
    <w:rsid w:val="2468C04B"/>
    <w:rsid w:val="250A46E6"/>
    <w:rsid w:val="25567194"/>
    <w:rsid w:val="2738272C"/>
    <w:rsid w:val="2903A862"/>
    <w:rsid w:val="2AD6599B"/>
    <w:rsid w:val="2BB78FF1"/>
    <w:rsid w:val="2D33004B"/>
    <w:rsid w:val="2D3B909C"/>
    <w:rsid w:val="2EFC9A4E"/>
    <w:rsid w:val="2F08BB55"/>
    <w:rsid w:val="3061C33F"/>
    <w:rsid w:val="31248C82"/>
    <w:rsid w:val="31AF7518"/>
    <w:rsid w:val="325E5A17"/>
    <w:rsid w:val="327E2C62"/>
    <w:rsid w:val="3970E07D"/>
    <w:rsid w:val="39B34371"/>
    <w:rsid w:val="3B17A07C"/>
    <w:rsid w:val="3C0B53D9"/>
    <w:rsid w:val="3CB7AAD9"/>
    <w:rsid w:val="3D9A95CE"/>
    <w:rsid w:val="3DFD5023"/>
    <w:rsid w:val="3E345DB7"/>
    <w:rsid w:val="3EB326BA"/>
    <w:rsid w:val="3EB587E1"/>
    <w:rsid w:val="3F208F59"/>
    <w:rsid w:val="3F2D9116"/>
    <w:rsid w:val="41C463FD"/>
    <w:rsid w:val="42AA0ECE"/>
    <w:rsid w:val="44197E53"/>
    <w:rsid w:val="466A8D42"/>
    <w:rsid w:val="48D5E46D"/>
    <w:rsid w:val="496DEF9F"/>
    <w:rsid w:val="4B33AD83"/>
    <w:rsid w:val="4E526242"/>
    <w:rsid w:val="51455C32"/>
    <w:rsid w:val="514ADE0C"/>
    <w:rsid w:val="51F150E3"/>
    <w:rsid w:val="5246BEF2"/>
    <w:rsid w:val="52E94C09"/>
    <w:rsid w:val="575D89CD"/>
    <w:rsid w:val="581C4059"/>
    <w:rsid w:val="58556D29"/>
    <w:rsid w:val="5954EDA3"/>
    <w:rsid w:val="59BF040C"/>
    <w:rsid w:val="5C19A4D4"/>
    <w:rsid w:val="5C44CB1F"/>
    <w:rsid w:val="5CF1534A"/>
    <w:rsid w:val="5D6519B8"/>
    <w:rsid w:val="5E6B1CD6"/>
    <w:rsid w:val="5F0B6FE0"/>
    <w:rsid w:val="5F0CC154"/>
    <w:rsid w:val="5F1E4546"/>
    <w:rsid w:val="5F294863"/>
    <w:rsid w:val="603E0EAC"/>
    <w:rsid w:val="604491BC"/>
    <w:rsid w:val="60D47DB6"/>
    <w:rsid w:val="61B7DF7C"/>
    <w:rsid w:val="6296EEBA"/>
    <w:rsid w:val="62E479CF"/>
    <w:rsid w:val="6500C8DD"/>
    <w:rsid w:val="65277BBD"/>
    <w:rsid w:val="66C39AF0"/>
    <w:rsid w:val="673EF574"/>
    <w:rsid w:val="67689833"/>
    <w:rsid w:val="67E7178F"/>
    <w:rsid w:val="6A3BD91C"/>
    <w:rsid w:val="6B78C9C9"/>
    <w:rsid w:val="6CECCD53"/>
    <w:rsid w:val="6CF3E609"/>
    <w:rsid w:val="6D0A3CDE"/>
    <w:rsid w:val="6F3E19BC"/>
    <w:rsid w:val="6F63405C"/>
    <w:rsid w:val="708A83EF"/>
    <w:rsid w:val="70CA393B"/>
    <w:rsid w:val="7159660F"/>
    <w:rsid w:val="71930441"/>
    <w:rsid w:val="723F94E3"/>
    <w:rsid w:val="730A4250"/>
    <w:rsid w:val="74A4A6F4"/>
    <w:rsid w:val="778E8B00"/>
    <w:rsid w:val="788532F2"/>
    <w:rsid w:val="7C554A06"/>
    <w:rsid w:val="7C81E2A1"/>
    <w:rsid w:val="7CBADF4F"/>
    <w:rsid w:val="7F572116"/>
    <w:rsid w:val="7FB5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3F05"/>
  <w15:docId w15:val="{D7653B6B-D4D0-4B46-AB78-83D7C1AA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ED3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Natural Capital  Ecosystem Assessment NCEA Pilot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  <lcf76f155ced4ddcb4097134ff3c332f xmlns="127b2f72-c355-4aed-a00f-7a92c9c89c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175A7F53544844E9A9F63898D3DAC41" ma:contentTypeVersion="23" ma:contentTypeDescription="Create a new document." ma:contentTypeScope="" ma:versionID="a8a200a2878f4e9b2dbd49aa4e2ad26f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127b2f72-c355-4aed-a00f-7a92c9c89c4b" xmlns:ns4="dedfcf1f-2de5-42da-89db-7ad95f22089e" targetNamespace="http://schemas.microsoft.com/office/2006/metadata/properties" ma:root="true" ma:fieldsID="90d728eda3f03bbdf06e6a7bbcc8a9c4" ns1:_="" ns2:_="" ns3:_="" ns4:_="">
    <xsd:import namespace="http://schemas.microsoft.com/sharepoint/v3"/>
    <xsd:import namespace="662745e8-e224-48e8-a2e3-254862b8c2f5"/>
    <xsd:import namespace="127b2f72-c355-4aed-a00f-7a92c9c89c4b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P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b2f72-c355-4aed-a00f-7a92c9c89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21677E-B613-4F88-BAFF-26A40CC88CE7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  <ds:schemaRef ds:uri="127b2f72-c355-4aed-a00f-7a92c9c89c4b"/>
  </ds:schemaRefs>
</ds:datastoreItem>
</file>

<file path=customXml/itemProps2.xml><?xml version="1.0" encoding="utf-8"?>
<ds:datastoreItem xmlns:ds="http://schemas.openxmlformats.org/officeDocument/2006/customXml" ds:itemID="{5480BF87-E273-48F6-B185-D5985CDCB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0CCE2-031C-4D58-B9CE-EBE081762AF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57707F7-6062-45AB-911C-FF68D3DE0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127b2f72-c355-4aed-a00f-7a92c9c89c4b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522</Words>
  <Characters>2982</Characters>
  <Application>Microsoft Office Word</Application>
  <DocSecurity>4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Thomas, Heather</cp:lastModifiedBy>
  <cp:revision>102</cp:revision>
  <dcterms:created xsi:type="dcterms:W3CDTF">2024-11-14T16:19:00Z</dcterms:created>
  <dcterms:modified xsi:type="dcterms:W3CDTF">2024-11-22T10:16:00Z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0x010100A5BF1C78D9F64B679A5EBDE1C6598EBC01007175A7F53544844E9A9F63898D3DAC41</vt:lpwstr>
  </property>
  <property fmtid="{D5CDD505-2E9C-101B-9397-08002B2CF9AE}" pid="3" name="HOGovernmentSecurityClassification">
    <vt:lpwstr>6;#Official|14c80daa-741b-422c-9722-f71693c9ede4</vt:lpwstr>
  </property>
  <property fmtid="{D5CDD505-2E9C-101B-9397-08002B2CF9AE}" pid="4" name="InformationType">
    <vt:lpwstr/>
  </property>
  <property fmtid="{D5CDD505-2E9C-101B-9397-08002B2CF9AE}" pid="5" name="HOSiteType">
    <vt:lpwstr>10;#Work Delivery|388f4f80-46e6-4bcd-8bd1-cea0059da8bd</vt:lpwstr>
  </property>
  <property fmtid="{D5CDD505-2E9C-101B-9397-08002B2CF9AE}" pid="6" name="Distribution">
    <vt:lpwstr>9;#Internal Core Defra|836ac8df-3ab9-4c95-a1f0-07f825804935</vt:lpwstr>
  </property>
  <property fmtid="{D5CDD505-2E9C-101B-9397-08002B2CF9AE}" pid="7" name="OrganisationalUnit">
    <vt:lpwstr>8;#NE|275df9ce-cd92-4318-adfe-db572e51c7ff</vt:lpwstr>
  </property>
  <property fmtid="{D5CDD505-2E9C-101B-9397-08002B2CF9AE}" pid="8" name="HOCopyrightLevel">
    <vt:lpwstr>7;#Crown|69589897-2828-4761-976e-717fd8e631c9</vt:lpwstr>
  </property>
  <property fmtid="{D5CDD505-2E9C-101B-9397-08002B2CF9AE}" pid="9" name="MediaServiceImageTags">
    <vt:lpwstr/>
  </property>
</Properties>
</file>