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0BB92" w14:textId="77777777" w:rsidR="002C34D4" w:rsidRDefault="002C34D4" w:rsidP="00620F36">
      <w:r>
        <w:rPr>
          <w:noProof/>
        </w:rPr>
        <w:drawing>
          <wp:inline distT="0" distB="0" distL="0" distR="0" wp14:anchorId="73F144AE" wp14:editId="09E4B1EA">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898B6EB" w14:textId="77777777" w:rsidR="005C0B41" w:rsidRPr="00B818C3" w:rsidRDefault="00A57128" w:rsidP="00B818C3">
      <w:pPr>
        <w:pStyle w:val="Heading1"/>
        <w:jc w:val="center"/>
        <w:rPr>
          <w:sz w:val="44"/>
          <w:szCs w:val="44"/>
        </w:rPr>
      </w:pPr>
      <w:r w:rsidRPr="00B818C3">
        <w:rPr>
          <w:sz w:val="44"/>
          <w:szCs w:val="44"/>
        </w:rPr>
        <w:t>Expression of interest</w:t>
      </w:r>
    </w:p>
    <w:p w14:paraId="35AE17FC" w14:textId="77777777" w:rsidR="00A57128" w:rsidRDefault="00A57128" w:rsidP="00A57128"/>
    <w:p w14:paraId="72DAE461" w14:textId="77777777" w:rsidR="00A57128" w:rsidRDefault="00A57128" w:rsidP="00EE71A2">
      <w:pPr>
        <w:pStyle w:val="Heading1"/>
        <w:rPr>
          <w:b w:val="0"/>
        </w:rPr>
      </w:pPr>
      <w:r w:rsidRPr="007E0083">
        <w:t>Title:</w:t>
      </w:r>
      <w:r w:rsidR="00337720">
        <w:t xml:space="preserve"> </w:t>
      </w:r>
      <w:r w:rsidR="00841BD9">
        <w:rPr>
          <w:b w:val="0"/>
        </w:rPr>
        <w:t>Understanding the absolute and relative cost of different modes and levels of HE provision</w:t>
      </w:r>
    </w:p>
    <w:p w14:paraId="5278422A" w14:textId="0C9D0344" w:rsidR="00A57128" w:rsidRPr="000576BF" w:rsidRDefault="00A57128" w:rsidP="00A57128">
      <w:r w:rsidRPr="007E0083">
        <w:rPr>
          <w:b/>
        </w:rPr>
        <w:t xml:space="preserve">Project reference: </w:t>
      </w:r>
      <w:r w:rsidR="00446178" w:rsidRPr="000576BF">
        <w:t xml:space="preserve">DFERPPU </w:t>
      </w:r>
      <w:r w:rsidR="000576BF" w:rsidRPr="000576BF">
        <w:t>2018</w:t>
      </w:r>
      <w:r w:rsidR="00566568" w:rsidRPr="000576BF">
        <w:t>017</w:t>
      </w:r>
    </w:p>
    <w:p w14:paraId="6A8F38DF" w14:textId="0D57B7C3" w:rsidR="00A57128" w:rsidRPr="00446178" w:rsidRDefault="00A57128" w:rsidP="00A57128">
      <w:r w:rsidRPr="007E0083">
        <w:rPr>
          <w:b/>
        </w:rPr>
        <w:t>Deadline for expressions of interest:</w:t>
      </w:r>
      <w:r w:rsidR="00337720">
        <w:rPr>
          <w:b/>
        </w:rPr>
        <w:t xml:space="preserve"> </w:t>
      </w:r>
      <w:r w:rsidR="00446178" w:rsidRPr="00446178">
        <w:t xml:space="preserve">6pm, Monday </w:t>
      </w:r>
      <w:proofErr w:type="gramStart"/>
      <w:r w:rsidR="00D27255" w:rsidRPr="00446178">
        <w:t>9</w:t>
      </w:r>
      <w:r w:rsidR="00D27255" w:rsidRPr="00446178">
        <w:rPr>
          <w:vertAlign w:val="superscript"/>
        </w:rPr>
        <w:t>th</w:t>
      </w:r>
      <w:r w:rsidR="00D27255" w:rsidRPr="00446178">
        <w:t xml:space="preserve"> </w:t>
      </w:r>
      <w:r w:rsidR="00C20764" w:rsidRPr="00446178">
        <w:t xml:space="preserve"> April</w:t>
      </w:r>
      <w:proofErr w:type="gramEnd"/>
      <w:r w:rsidR="00B1449C" w:rsidRPr="00446178">
        <w:t xml:space="preserve"> 2018 </w:t>
      </w:r>
    </w:p>
    <w:p w14:paraId="1385A745" w14:textId="77777777" w:rsidR="00A57128" w:rsidRPr="001F2CE2" w:rsidRDefault="00A57128" w:rsidP="001F2CE2">
      <w:pPr>
        <w:pStyle w:val="Heading2"/>
      </w:pPr>
      <w:r w:rsidRPr="001F2CE2">
        <w:t>Summary</w:t>
      </w:r>
      <w:bookmarkStart w:id="0" w:name="_GoBack"/>
      <w:bookmarkEnd w:id="0"/>
    </w:p>
    <w:p w14:paraId="096EB6E5" w14:textId="7CC6C48E" w:rsidR="00841BD9" w:rsidRPr="00841BD9" w:rsidRDefault="00A57128" w:rsidP="00364628">
      <w:pPr>
        <w:jc w:val="both"/>
        <w:rPr>
          <w:rFonts w:cs="Arial"/>
        </w:rPr>
      </w:pPr>
      <w:r w:rsidRPr="003E05F9">
        <w:rPr>
          <w:szCs w:val="22"/>
        </w:rPr>
        <w:t>Expressions of interest are sought</w:t>
      </w:r>
      <w:r w:rsidR="00A1068E">
        <w:rPr>
          <w:szCs w:val="22"/>
        </w:rPr>
        <w:t xml:space="preserve"> to understand</w:t>
      </w:r>
      <w:r w:rsidR="00841BD9">
        <w:rPr>
          <w:szCs w:val="22"/>
        </w:rPr>
        <w:t xml:space="preserve"> </w:t>
      </w:r>
      <w:r w:rsidR="00841BD9">
        <w:rPr>
          <w:rFonts w:cs="Arial"/>
        </w:rPr>
        <w:t xml:space="preserve">the </w:t>
      </w:r>
      <w:r w:rsidR="003707B9">
        <w:rPr>
          <w:rFonts w:cs="Arial"/>
        </w:rPr>
        <w:t xml:space="preserve">full economic </w:t>
      </w:r>
      <w:r w:rsidR="00841BD9">
        <w:rPr>
          <w:rFonts w:cs="Arial"/>
        </w:rPr>
        <w:t>cost</w:t>
      </w:r>
      <w:r w:rsidR="00C968A2">
        <w:rPr>
          <w:rFonts w:cs="Arial"/>
        </w:rPr>
        <w:t>s</w:t>
      </w:r>
      <w:r w:rsidR="00841BD9">
        <w:rPr>
          <w:rFonts w:cs="Arial"/>
        </w:rPr>
        <w:t xml:space="preserve"> of</w:t>
      </w:r>
      <w:r w:rsidR="00C968A2">
        <w:rPr>
          <w:rFonts w:cs="Arial"/>
        </w:rPr>
        <w:t xml:space="preserve"> provision associated with</w:t>
      </w:r>
      <w:r w:rsidR="00841BD9">
        <w:rPr>
          <w:rFonts w:cs="Arial"/>
        </w:rPr>
        <w:t xml:space="preserve"> key full-time and part-time undergraduate subjects</w:t>
      </w:r>
      <w:r w:rsidR="006B1BFA">
        <w:rPr>
          <w:rFonts w:cs="Arial"/>
        </w:rPr>
        <w:t>,</w:t>
      </w:r>
      <w:r w:rsidR="00841BD9">
        <w:rPr>
          <w:rFonts w:cs="Arial"/>
        </w:rPr>
        <w:t xml:space="preserve"> the main factors </w:t>
      </w:r>
      <w:r w:rsidR="0042468D">
        <w:rPr>
          <w:rFonts w:cs="Arial"/>
        </w:rPr>
        <w:t xml:space="preserve">that </w:t>
      </w:r>
      <w:r w:rsidR="00841BD9">
        <w:rPr>
          <w:rFonts w:cs="Arial"/>
        </w:rPr>
        <w:t>determine these costs a</w:t>
      </w:r>
      <w:r w:rsidR="006B1BFA">
        <w:rPr>
          <w:rFonts w:cs="Arial"/>
        </w:rPr>
        <w:t>nd</w:t>
      </w:r>
      <w:r w:rsidR="00841BD9">
        <w:rPr>
          <w:rFonts w:cs="Arial"/>
        </w:rPr>
        <w:t xml:space="preserve"> the reasons for differences across subjects and institutions, as well as levels and modes of study.</w:t>
      </w:r>
    </w:p>
    <w:p w14:paraId="776B24D6" w14:textId="77777777" w:rsidR="00A57128" w:rsidRDefault="00A57128" w:rsidP="001F2CE2">
      <w:pPr>
        <w:pStyle w:val="Heading2"/>
      </w:pPr>
      <w:r>
        <w:t>Background</w:t>
      </w:r>
    </w:p>
    <w:p w14:paraId="6471280A" w14:textId="68DE9321" w:rsidR="0017026A" w:rsidRPr="00D74FA9" w:rsidRDefault="00841BD9" w:rsidP="00364628">
      <w:pPr>
        <w:jc w:val="both"/>
        <w:rPr>
          <w:rFonts w:cs="Arial"/>
        </w:rPr>
      </w:pPr>
      <w:r w:rsidRPr="0037418F">
        <w:rPr>
          <w:rFonts w:cs="Arial"/>
        </w:rPr>
        <w:t xml:space="preserve">This analysis will inform the </w:t>
      </w:r>
      <w:r w:rsidRPr="0037418F">
        <w:rPr>
          <w:rFonts w:cs="Arial"/>
          <w:i/>
        </w:rPr>
        <w:t>Post-18 education and funding review</w:t>
      </w:r>
      <w:r w:rsidR="00D74FA9">
        <w:rPr>
          <w:rFonts w:cs="Arial"/>
          <w:i/>
        </w:rPr>
        <w:t xml:space="preserve"> </w:t>
      </w:r>
      <w:r w:rsidR="00D74FA9" w:rsidRPr="00364628">
        <w:rPr>
          <w:rFonts w:cs="Arial"/>
        </w:rPr>
        <w:t xml:space="preserve">announced by the Prime Minister on </w:t>
      </w:r>
      <w:r w:rsidR="00C968A2">
        <w:rPr>
          <w:rFonts w:cs="Arial"/>
        </w:rPr>
        <w:t>19th February 2018.</w:t>
      </w:r>
      <w:r w:rsidR="00C968A2">
        <w:rPr>
          <w:rStyle w:val="FootnoteReference"/>
          <w:rFonts w:cs="Arial"/>
        </w:rPr>
        <w:footnoteReference w:id="1"/>
      </w:r>
      <w:r w:rsidR="00D74FA9">
        <w:rPr>
          <w:rFonts w:cs="Arial"/>
        </w:rPr>
        <w:t xml:space="preserve"> </w:t>
      </w:r>
    </w:p>
    <w:p w14:paraId="641A030A" w14:textId="77777777" w:rsidR="00841BD9" w:rsidRPr="0037418F" w:rsidRDefault="00841BD9" w:rsidP="00364628">
      <w:pPr>
        <w:jc w:val="both"/>
        <w:rPr>
          <w:szCs w:val="22"/>
        </w:rPr>
      </w:pPr>
      <w:r w:rsidRPr="0037418F">
        <w:rPr>
          <w:rFonts w:cs="Arial"/>
        </w:rPr>
        <w:t xml:space="preserve">This </w:t>
      </w:r>
      <w:r w:rsidRPr="0037418F">
        <w:rPr>
          <w:szCs w:val="22"/>
        </w:rPr>
        <w:t>major review, across post-18 education and funding, is being conducted to ensure a joined-up system that works for everyone. As significant reforms move into implementation, this review will look at how we can ensure that the education system for those aged 18 years and over is accessible to all, is supported by a funding system that provides value for money and works for students and taxpayers, incentivises choice and competition across the sector, and encourages the development of the skills that we need as a country.</w:t>
      </w:r>
      <w:r w:rsidR="0017026A" w:rsidRPr="0037418F">
        <w:rPr>
          <w:szCs w:val="22"/>
        </w:rPr>
        <w:t xml:space="preserve"> </w:t>
      </w:r>
    </w:p>
    <w:p w14:paraId="7103F5E1" w14:textId="77777777" w:rsidR="00B93F46" w:rsidRPr="00841BD9" w:rsidRDefault="0017026A" w:rsidP="00B93F46">
      <w:pPr>
        <w:jc w:val="both"/>
        <w:rPr>
          <w:rFonts w:cs="Arial"/>
        </w:rPr>
      </w:pPr>
      <w:r w:rsidRPr="0037418F">
        <w:rPr>
          <w:szCs w:val="22"/>
        </w:rPr>
        <w:t>This analysis will support the review</w:t>
      </w:r>
      <w:r w:rsidRPr="0037418F">
        <w:rPr>
          <w:rFonts w:cs="Arial"/>
        </w:rPr>
        <w:t xml:space="preserve"> by informing our understanding on how tuition fees and (institutional) funding compare to the real costs of </w:t>
      </w:r>
      <w:r w:rsidR="0050147E">
        <w:rPr>
          <w:rFonts w:cs="Arial"/>
        </w:rPr>
        <w:t xml:space="preserve">subject </w:t>
      </w:r>
      <w:r w:rsidRPr="0037418F">
        <w:rPr>
          <w:rFonts w:cs="Arial"/>
        </w:rPr>
        <w:t>provision</w:t>
      </w:r>
      <w:r w:rsidR="00D74FA9">
        <w:rPr>
          <w:rFonts w:cs="Arial"/>
        </w:rPr>
        <w:t>;</w:t>
      </w:r>
      <w:r w:rsidR="00C81B0E">
        <w:rPr>
          <w:rFonts w:cs="Arial"/>
        </w:rPr>
        <w:t xml:space="preserve"> </w:t>
      </w:r>
      <w:r w:rsidRPr="0037418F">
        <w:rPr>
          <w:rFonts w:cs="Arial"/>
        </w:rPr>
        <w:t>what variation exists across the sector</w:t>
      </w:r>
      <w:r w:rsidR="00D74FA9">
        <w:rPr>
          <w:rFonts w:cs="Arial"/>
        </w:rPr>
        <w:t xml:space="preserve"> and subjects; and how this influences institution decisions around pricing, teaching quality and course mix</w:t>
      </w:r>
      <w:r w:rsidRPr="0037418F">
        <w:rPr>
          <w:rFonts w:cs="Arial"/>
        </w:rPr>
        <w:t>.</w:t>
      </w:r>
      <w:r w:rsidRPr="0037418F" w:rsidDel="00307846">
        <w:rPr>
          <w:rFonts w:cs="Arial"/>
        </w:rPr>
        <w:t xml:space="preserve"> </w:t>
      </w:r>
      <w:r w:rsidRPr="0037418F">
        <w:rPr>
          <w:szCs w:val="22"/>
        </w:rPr>
        <w:t xml:space="preserve"> </w:t>
      </w:r>
      <w:r w:rsidR="00B93F46">
        <w:rPr>
          <w:szCs w:val="22"/>
        </w:rPr>
        <w:t>It is part of a wider programme of evidence gathering across post-18 education to inform the review.</w:t>
      </w:r>
    </w:p>
    <w:p w14:paraId="54F376B1" w14:textId="3DBF3DD8" w:rsidR="0017026A" w:rsidRPr="00841BD9" w:rsidRDefault="0017026A" w:rsidP="00364628">
      <w:pPr>
        <w:jc w:val="both"/>
        <w:rPr>
          <w:rFonts w:cs="Arial"/>
        </w:rPr>
      </w:pPr>
    </w:p>
    <w:p w14:paraId="1B1D38E6" w14:textId="77777777" w:rsidR="00A57128" w:rsidRDefault="00E60B60" w:rsidP="001F2CE2">
      <w:pPr>
        <w:pStyle w:val="Heading2"/>
      </w:pPr>
      <w:r>
        <w:lastRenderedPageBreak/>
        <w:t>Research</w:t>
      </w:r>
      <w:r w:rsidR="00A57128" w:rsidRPr="003E05F9">
        <w:t xml:space="preserve"> aims</w:t>
      </w:r>
    </w:p>
    <w:p w14:paraId="4B1C85CD" w14:textId="77777777" w:rsidR="00841BD9" w:rsidRDefault="00841BD9" w:rsidP="00841BD9">
      <w:pPr>
        <w:rPr>
          <w:rFonts w:cs="Arial"/>
        </w:rPr>
      </w:pPr>
      <w:r>
        <w:rPr>
          <w:rFonts w:cs="Arial"/>
        </w:rPr>
        <w:t>The key questions to be considered as part of this project are:</w:t>
      </w:r>
    </w:p>
    <w:p w14:paraId="2045F6CC" w14:textId="5C14C741" w:rsidR="00841BD9" w:rsidRPr="00F479CE" w:rsidRDefault="00841BD9" w:rsidP="00364628">
      <w:pPr>
        <w:pStyle w:val="ListParagraph"/>
        <w:numPr>
          <w:ilvl w:val="0"/>
          <w:numId w:val="27"/>
        </w:numPr>
        <w:spacing w:after="160" w:line="259" w:lineRule="auto"/>
        <w:ind w:left="357" w:hanging="357"/>
        <w:jc w:val="both"/>
        <w:rPr>
          <w:rFonts w:cs="Arial"/>
        </w:rPr>
      </w:pPr>
      <w:r w:rsidRPr="00F479CE">
        <w:rPr>
          <w:rFonts w:cs="Arial"/>
        </w:rPr>
        <w:t xml:space="preserve">What is the estimated </w:t>
      </w:r>
      <w:r>
        <w:rPr>
          <w:rFonts w:cs="Arial"/>
        </w:rPr>
        <w:t xml:space="preserve">average full economic </w:t>
      </w:r>
      <w:r w:rsidRPr="00F479CE">
        <w:rPr>
          <w:rFonts w:cs="Arial"/>
        </w:rPr>
        <w:t>cost</w:t>
      </w:r>
      <w:r>
        <w:rPr>
          <w:rFonts w:cs="Arial"/>
        </w:rPr>
        <w:t xml:space="preserve"> </w:t>
      </w:r>
      <w:r w:rsidR="00480A7E">
        <w:rPr>
          <w:rFonts w:cs="Arial"/>
        </w:rPr>
        <w:t>incurred by a</w:t>
      </w:r>
      <w:r w:rsidR="00D74FA9">
        <w:rPr>
          <w:rFonts w:cs="Arial"/>
        </w:rPr>
        <w:t xml:space="preserve"> representative sample of</w:t>
      </w:r>
      <w:r w:rsidR="008152A7">
        <w:rPr>
          <w:rFonts w:cs="Arial"/>
        </w:rPr>
        <w:t xml:space="preserve"> </w:t>
      </w:r>
      <w:r w:rsidRPr="00F479CE">
        <w:rPr>
          <w:rFonts w:cs="Arial"/>
        </w:rPr>
        <w:t>HEFCE-funded higher education institutions (HEIs)</w:t>
      </w:r>
      <w:r>
        <w:rPr>
          <w:rFonts w:cs="Arial"/>
        </w:rPr>
        <w:t xml:space="preserve">, broken down by </w:t>
      </w:r>
      <w:r w:rsidR="003038D0">
        <w:rPr>
          <w:rFonts w:cs="Arial"/>
        </w:rPr>
        <w:t>subject groupings</w:t>
      </w:r>
      <w:r w:rsidRPr="00F479CE">
        <w:rPr>
          <w:rFonts w:cs="Arial"/>
        </w:rPr>
        <w:t>:</w:t>
      </w:r>
    </w:p>
    <w:p w14:paraId="3719A41C" w14:textId="242CE78D" w:rsidR="00841BD9" w:rsidRDefault="00841BD9" w:rsidP="00364628">
      <w:pPr>
        <w:pStyle w:val="ListParagraph"/>
        <w:numPr>
          <w:ilvl w:val="0"/>
          <w:numId w:val="0"/>
        </w:numPr>
        <w:ind w:left="720"/>
        <w:jc w:val="both"/>
        <w:rPr>
          <w:rFonts w:cs="Arial"/>
        </w:rPr>
      </w:pPr>
    </w:p>
    <w:p w14:paraId="6DB9A242" w14:textId="77777777" w:rsidR="00841BD9" w:rsidRDefault="00841BD9" w:rsidP="00364628">
      <w:pPr>
        <w:pStyle w:val="ListParagraph"/>
        <w:numPr>
          <w:ilvl w:val="0"/>
          <w:numId w:val="28"/>
        </w:numPr>
        <w:spacing w:after="0" w:line="259" w:lineRule="auto"/>
        <w:ind w:left="714" w:hanging="357"/>
        <w:contextualSpacing w:val="0"/>
        <w:jc w:val="both"/>
        <w:rPr>
          <w:rFonts w:cs="Arial"/>
        </w:rPr>
      </w:pPr>
      <w:r>
        <w:rPr>
          <w:rFonts w:cs="Arial"/>
        </w:rPr>
        <w:t>Full and part-time first degree undergraduate subjects;</w:t>
      </w:r>
      <w:r w:rsidR="00BE7C8B">
        <w:rPr>
          <w:rFonts w:cs="Arial"/>
        </w:rPr>
        <w:t xml:space="preserve"> and</w:t>
      </w:r>
    </w:p>
    <w:p w14:paraId="0592A0E3" w14:textId="77777777" w:rsidR="00841BD9" w:rsidRDefault="00841BD9" w:rsidP="00364628">
      <w:pPr>
        <w:pStyle w:val="ListParagraph"/>
        <w:numPr>
          <w:ilvl w:val="0"/>
          <w:numId w:val="28"/>
        </w:numPr>
        <w:spacing w:after="0" w:line="259" w:lineRule="auto"/>
        <w:ind w:left="714" w:hanging="357"/>
        <w:contextualSpacing w:val="0"/>
        <w:jc w:val="both"/>
      </w:pPr>
      <w:r>
        <w:rPr>
          <w:rFonts w:cs="Arial"/>
        </w:rPr>
        <w:t>Full and part-time other undergraduate degree subjects (e.g. Foundation, HNCs and HNDs)</w:t>
      </w:r>
      <w:r w:rsidR="00BE7C8B">
        <w:rPr>
          <w:rFonts w:cs="Arial"/>
        </w:rPr>
        <w:t>.</w:t>
      </w:r>
      <w:r w:rsidR="00BE7C8B">
        <w:t xml:space="preserve"> </w:t>
      </w:r>
    </w:p>
    <w:p w14:paraId="6532CEF2" w14:textId="77777777" w:rsidR="00BE7C8B" w:rsidRDefault="00BE7C8B" w:rsidP="00364628">
      <w:pPr>
        <w:pStyle w:val="ListParagraph"/>
        <w:numPr>
          <w:ilvl w:val="0"/>
          <w:numId w:val="0"/>
        </w:numPr>
        <w:spacing w:after="120" w:line="259" w:lineRule="auto"/>
        <w:ind w:left="357"/>
        <w:jc w:val="both"/>
        <w:rPr>
          <w:rFonts w:cs="Arial"/>
        </w:rPr>
      </w:pPr>
    </w:p>
    <w:p w14:paraId="693A19BD" w14:textId="69AA7BC4" w:rsidR="000D4C4E" w:rsidRDefault="00E74937" w:rsidP="00364628">
      <w:pPr>
        <w:pStyle w:val="ListParagraph"/>
        <w:numPr>
          <w:ilvl w:val="0"/>
          <w:numId w:val="0"/>
        </w:numPr>
        <w:ind w:left="357"/>
        <w:jc w:val="both"/>
        <w:rPr>
          <w:rFonts w:cs="Arial"/>
        </w:rPr>
      </w:pPr>
      <w:r w:rsidRPr="00E74937">
        <w:rPr>
          <w:rFonts w:cs="Arial"/>
        </w:rPr>
        <w:t xml:space="preserve">The study will need to consider the most appropriate </w:t>
      </w:r>
      <w:r w:rsidR="00E61F6B">
        <w:rPr>
          <w:rFonts w:cs="Arial"/>
        </w:rPr>
        <w:t>measure</w:t>
      </w:r>
      <w:r w:rsidR="00E61F6B" w:rsidRPr="00E74937">
        <w:rPr>
          <w:rFonts w:cs="Arial"/>
        </w:rPr>
        <w:t xml:space="preserve"> </w:t>
      </w:r>
      <w:r w:rsidRPr="00E74937">
        <w:rPr>
          <w:rFonts w:cs="Arial"/>
        </w:rPr>
        <w:t>of</w:t>
      </w:r>
      <w:r w:rsidR="00E61F6B">
        <w:rPr>
          <w:rFonts w:cs="Arial"/>
        </w:rPr>
        <w:t xml:space="preserve"> the overall full- and part-time student</w:t>
      </w:r>
      <w:r w:rsidRPr="00E74937">
        <w:rPr>
          <w:rFonts w:cs="Arial"/>
        </w:rPr>
        <w:t xml:space="preserve"> cost of provision</w:t>
      </w:r>
      <w:r w:rsidR="00E61F6B">
        <w:rPr>
          <w:rFonts w:cs="Arial"/>
        </w:rPr>
        <w:t xml:space="preserve"> </w:t>
      </w:r>
      <w:r w:rsidR="00D27255">
        <w:rPr>
          <w:rFonts w:cs="Arial"/>
        </w:rPr>
        <w:t>that</w:t>
      </w:r>
      <w:r w:rsidR="00E61F6B">
        <w:rPr>
          <w:rFonts w:cs="Arial"/>
        </w:rPr>
        <w:t xml:space="preserve"> takes into account all of the relevant costs of provision.</w:t>
      </w:r>
      <w:r w:rsidR="00B313BD">
        <w:rPr>
          <w:rFonts w:cs="Arial"/>
        </w:rPr>
        <w:t xml:space="preserve"> </w:t>
      </w:r>
    </w:p>
    <w:p w14:paraId="74FA6337" w14:textId="77777777" w:rsidR="000D4C4E" w:rsidRDefault="000D4C4E" w:rsidP="00364628">
      <w:pPr>
        <w:pStyle w:val="ListParagraph"/>
        <w:numPr>
          <w:ilvl w:val="0"/>
          <w:numId w:val="0"/>
        </w:numPr>
        <w:ind w:left="357"/>
        <w:jc w:val="both"/>
        <w:rPr>
          <w:rFonts w:cs="Arial"/>
        </w:rPr>
      </w:pPr>
    </w:p>
    <w:p w14:paraId="44BD22FA" w14:textId="677D91CC" w:rsidR="00841BD9" w:rsidRDefault="00B313BD" w:rsidP="00364628">
      <w:pPr>
        <w:pStyle w:val="ListParagraph"/>
        <w:numPr>
          <w:ilvl w:val="0"/>
          <w:numId w:val="0"/>
        </w:numPr>
        <w:ind w:left="357"/>
        <w:jc w:val="both"/>
        <w:rPr>
          <w:rFonts w:cs="Arial"/>
        </w:rPr>
      </w:pPr>
      <w:r>
        <w:rPr>
          <w:rFonts w:cs="Arial"/>
        </w:rPr>
        <w:t>It will also need to consider any significant changes</w:t>
      </w:r>
      <w:r w:rsidR="0027219A">
        <w:rPr>
          <w:rFonts w:cs="Arial"/>
        </w:rPr>
        <w:t xml:space="preserve"> in the cost of provision </w:t>
      </w:r>
      <w:r>
        <w:rPr>
          <w:rFonts w:cs="Arial"/>
        </w:rPr>
        <w:t>since the implementation of the 2012/13 reforms and the increase in fees up to the maximum cap of £9,250.</w:t>
      </w:r>
      <w:r w:rsidR="0013190E">
        <w:rPr>
          <w:rFonts w:cs="Arial"/>
        </w:rPr>
        <w:t xml:space="preserve"> We therefore look for a comparative analysis of the latest academic year costs data with </w:t>
      </w:r>
      <w:r w:rsidR="000F2EDB">
        <w:rPr>
          <w:rFonts w:cs="Arial"/>
        </w:rPr>
        <w:t xml:space="preserve">the </w:t>
      </w:r>
      <w:r w:rsidR="0013190E">
        <w:rPr>
          <w:rFonts w:cs="Arial"/>
        </w:rPr>
        <w:t>2010/11 academic year.</w:t>
      </w:r>
    </w:p>
    <w:p w14:paraId="6AE17E58" w14:textId="77777777" w:rsidR="00B61613" w:rsidRPr="00841BD9" w:rsidRDefault="00B61613" w:rsidP="00841BD9">
      <w:pPr>
        <w:pStyle w:val="ListParagraph"/>
        <w:numPr>
          <w:ilvl w:val="0"/>
          <w:numId w:val="0"/>
        </w:numPr>
        <w:ind w:left="720"/>
        <w:rPr>
          <w:rFonts w:cs="Arial"/>
        </w:rPr>
      </w:pPr>
    </w:p>
    <w:p w14:paraId="67B8DC3E" w14:textId="77777777" w:rsidR="00841BD9" w:rsidRDefault="00841BD9" w:rsidP="00364628">
      <w:pPr>
        <w:pStyle w:val="ListParagraph"/>
        <w:numPr>
          <w:ilvl w:val="0"/>
          <w:numId w:val="27"/>
        </w:numPr>
        <w:spacing w:after="120" w:line="259" w:lineRule="auto"/>
        <w:ind w:left="357" w:hanging="357"/>
        <w:jc w:val="both"/>
        <w:rPr>
          <w:rFonts w:cs="Arial"/>
        </w:rPr>
      </w:pPr>
      <w:r>
        <w:rPr>
          <w:rFonts w:cs="Arial"/>
        </w:rPr>
        <w:t xml:space="preserve">What contribution do the following categories of cost make to the total average full economic cost of full- and part-time </w:t>
      </w:r>
      <w:r w:rsidR="003038D0">
        <w:rPr>
          <w:rFonts w:cs="Arial"/>
        </w:rPr>
        <w:t>undergraduate</w:t>
      </w:r>
      <w:r>
        <w:rPr>
          <w:rFonts w:cs="Arial"/>
        </w:rPr>
        <w:t xml:space="preserve"> subjects:</w:t>
      </w:r>
    </w:p>
    <w:p w14:paraId="39E6347B" w14:textId="77777777" w:rsidR="00841BD9" w:rsidRDefault="00841BD9" w:rsidP="00364628">
      <w:pPr>
        <w:pStyle w:val="ListParagraph"/>
        <w:numPr>
          <w:ilvl w:val="0"/>
          <w:numId w:val="0"/>
        </w:numPr>
        <w:ind w:left="357"/>
        <w:jc w:val="both"/>
        <w:rPr>
          <w:rFonts w:cs="Arial"/>
        </w:rPr>
      </w:pPr>
    </w:p>
    <w:p w14:paraId="4F78131F" w14:textId="77777777" w:rsidR="00841BD9" w:rsidRDefault="00841BD9" w:rsidP="00364628">
      <w:pPr>
        <w:pStyle w:val="ListParagraph"/>
        <w:numPr>
          <w:ilvl w:val="0"/>
          <w:numId w:val="29"/>
        </w:numPr>
        <w:spacing w:after="0" w:line="259" w:lineRule="auto"/>
        <w:ind w:left="714" w:hanging="357"/>
        <w:contextualSpacing w:val="0"/>
        <w:jc w:val="both"/>
        <w:rPr>
          <w:rFonts w:cs="Arial"/>
        </w:rPr>
      </w:pPr>
      <w:r>
        <w:rPr>
          <w:rFonts w:cs="Arial"/>
        </w:rPr>
        <w:t>Direct staff costs (split into academic and non-academic costs if possible);</w:t>
      </w:r>
    </w:p>
    <w:p w14:paraId="4C826E31" w14:textId="77777777" w:rsidR="00841BD9" w:rsidRDefault="00841BD9" w:rsidP="00364628">
      <w:pPr>
        <w:pStyle w:val="ListParagraph"/>
        <w:numPr>
          <w:ilvl w:val="0"/>
          <w:numId w:val="29"/>
        </w:numPr>
        <w:spacing w:after="0" w:line="259" w:lineRule="auto"/>
        <w:ind w:left="714" w:hanging="357"/>
        <w:contextualSpacing w:val="0"/>
        <w:jc w:val="both"/>
        <w:rPr>
          <w:rFonts w:cs="Arial"/>
        </w:rPr>
      </w:pPr>
      <w:r>
        <w:rPr>
          <w:rFonts w:cs="Arial"/>
        </w:rPr>
        <w:t>Wider academic departmental expenditure;</w:t>
      </w:r>
    </w:p>
    <w:p w14:paraId="42CA3726" w14:textId="77777777" w:rsidR="00841BD9" w:rsidRDefault="00841BD9" w:rsidP="00364628">
      <w:pPr>
        <w:pStyle w:val="ListParagraph"/>
        <w:numPr>
          <w:ilvl w:val="0"/>
          <w:numId w:val="29"/>
        </w:numPr>
        <w:spacing w:after="0" w:line="259" w:lineRule="auto"/>
        <w:ind w:left="714" w:hanging="357"/>
        <w:contextualSpacing w:val="0"/>
        <w:jc w:val="both"/>
        <w:rPr>
          <w:rFonts w:cs="Arial"/>
        </w:rPr>
      </w:pPr>
      <w:r>
        <w:rPr>
          <w:rFonts w:cs="Arial"/>
        </w:rPr>
        <w:t xml:space="preserve">Centrally allocated services and functions (i.e. </w:t>
      </w:r>
      <w:r w:rsidR="00DB000D">
        <w:rPr>
          <w:rFonts w:cs="Arial"/>
        </w:rPr>
        <w:t xml:space="preserve">central administrative staff,  marketing, legal fees, </w:t>
      </w:r>
      <w:proofErr w:type="spellStart"/>
      <w:r w:rsidR="00DB000D">
        <w:rPr>
          <w:rFonts w:cs="Arial"/>
        </w:rPr>
        <w:t>etc</w:t>
      </w:r>
      <w:proofErr w:type="spellEnd"/>
      <w:r>
        <w:rPr>
          <w:rFonts w:cs="Arial"/>
        </w:rPr>
        <w:t>)</w:t>
      </w:r>
    </w:p>
    <w:p w14:paraId="62B2957A" w14:textId="77777777" w:rsidR="00841BD9" w:rsidRDefault="00841BD9" w:rsidP="00364628">
      <w:pPr>
        <w:pStyle w:val="ListParagraph"/>
        <w:numPr>
          <w:ilvl w:val="0"/>
          <w:numId w:val="29"/>
        </w:numPr>
        <w:spacing w:after="0" w:line="259" w:lineRule="auto"/>
        <w:ind w:left="714" w:hanging="357"/>
        <w:contextualSpacing w:val="0"/>
        <w:jc w:val="both"/>
        <w:rPr>
          <w:rFonts w:cs="Arial"/>
        </w:rPr>
      </w:pPr>
      <w:r>
        <w:rPr>
          <w:rFonts w:cs="Arial"/>
        </w:rPr>
        <w:t>Estate</w:t>
      </w:r>
      <w:r w:rsidR="003038D0">
        <w:rPr>
          <w:rFonts w:cs="Arial"/>
        </w:rPr>
        <w:t xml:space="preserve"> (residential and non-residential)</w:t>
      </w:r>
      <w:r>
        <w:rPr>
          <w:rFonts w:cs="Arial"/>
        </w:rPr>
        <w:t xml:space="preserve">; </w:t>
      </w:r>
    </w:p>
    <w:p w14:paraId="781D6001" w14:textId="77777777" w:rsidR="00841BD9" w:rsidRDefault="00841BD9" w:rsidP="00364628">
      <w:pPr>
        <w:pStyle w:val="ListParagraph"/>
        <w:numPr>
          <w:ilvl w:val="0"/>
          <w:numId w:val="29"/>
        </w:numPr>
        <w:spacing w:after="0" w:line="259" w:lineRule="auto"/>
        <w:ind w:left="714" w:hanging="357"/>
        <w:contextualSpacing w:val="0"/>
        <w:jc w:val="both"/>
        <w:rPr>
          <w:rFonts w:cs="Arial"/>
        </w:rPr>
      </w:pPr>
      <w:r>
        <w:rPr>
          <w:rFonts w:cs="Arial"/>
        </w:rPr>
        <w:t>Margin</w:t>
      </w:r>
      <w:r w:rsidR="00E861E5">
        <w:rPr>
          <w:rFonts w:cs="Arial"/>
        </w:rPr>
        <w:t xml:space="preserve"> for</w:t>
      </w:r>
      <w:r>
        <w:rPr>
          <w:rFonts w:cs="Arial"/>
        </w:rPr>
        <w:t xml:space="preserve"> sustainability </w:t>
      </w:r>
      <w:r w:rsidR="00E861E5">
        <w:rPr>
          <w:rFonts w:cs="Arial"/>
        </w:rPr>
        <w:t>and</w:t>
      </w:r>
      <w:r>
        <w:rPr>
          <w:rFonts w:cs="Arial"/>
        </w:rPr>
        <w:t xml:space="preserve"> investment (MSI) adjustment</w:t>
      </w:r>
      <w:r w:rsidR="00E861E5">
        <w:rPr>
          <w:rFonts w:cs="Arial"/>
        </w:rPr>
        <w:t xml:space="preserve"> (or the Return for Financing &amp; Investment (RFI) and infrastructure adjustment up to AY2015/16)</w:t>
      </w:r>
      <w:r>
        <w:rPr>
          <w:rFonts w:cs="Arial"/>
        </w:rPr>
        <w:t xml:space="preserve">; </w:t>
      </w:r>
    </w:p>
    <w:p w14:paraId="19F8FBC7" w14:textId="77777777" w:rsidR="00841BD9" w:rsidRDefault="00841BD9" w:rsidP="00364628">
      <w:pPr>
        <w:pStyle w:val="ListParagraph"/>
        <w:numPr>
          <w:ilvl w:val="0"/>
          <w:numId w:val="29"/>
        </w:numPr>
        <w:spacing w:after="0" w:line="259" w:lineRule="auto"/>
        <w:ind w:left="714" w:hanging="357"/>
        <w:contextualSpacing w:val="0"/>
        <w:jc w:val="both"/>
        <w:rPr>
          <w:rFonts w:cs="Arial"/>
        </w:rPr>
      </w:pPr>
      <w:r>
        <w:rPr>
          <w:rFonts w:cs="Arial"/>
        </w:rPr>
        <w:t>Other</w:t>
      </w:r>
      <w:r w:rsidR="009A52EB">
        <w:rPr>
          <w:rFonts w:cs="Arial"/>
        </w:rPr>
        <w:t xml:space="preserve"> (e.g. widening participation expenditure)</w:t>
      </w:r>
    </w:p>
    <w:p w14:paraId="7FDFCD0B" w14:textId="77777777" w:rsidR="00841BD9" w:rsidRDefault="00841BD9" w:rsidP="00841BD9">
      <w:pPr>
        <w:pStyle w:val="ListParagraph"/>
        <w:numPr>
          <w:ilvl w:val="0"/>
          <w:numId w:val="0"/>
        </w:numPr>
        <w:ind w:left="357"/>
        <w:rPr>
          <w:rFonts w:cs="Arial"/>
        </w:rPr>
      </w:pPr>
    </w:p>
    <w:p w14:paraId="47CA1156" w14:textId="4C5AF993" w:rsidR="00841BD9" w:rsidRDefault="00841BD9" w:rsidP="00364628">
      <w:pPr>
        <w:pStyle w:val="ListParagraph"/>
        <w:numPr>
          <w:ilvl w:val="0"/>
          <w:numId w:val="27"/>
        </w:numPr>
        <w:spacing w:after="160" w:line="259" w:lineRule="auto"/>
        <w:ind w:left="357" w:hanging="357"/>
        <w:jc w:val="both"/>
        <w:rPr>
          <w:rFonts w:cs="Arial"/>
        </w:rPr>
      </w:pPr>
      <w:r>
        <w:rPr>
          <w:rFonts w:cs="Arial"/>
        </w:rPr>
        <w:t xml:space="preserve">What factors drive the absolute average full economic cost of different full- and part-time </w:t>
      </w:r>
      <w:r w:rsidR="003038D0">
        <w:rPr>
          <w:rFonts w:cs="Arial"/>
        </w:rPr>
        <w:t>undergraduate</w:t>
      </w:r>
      <w:r>
        <w:rPr>
          <w:rFonts w:cs="Arial"/>
        </w:rPr>
        <w:t xml:space="preserve"> subjects and explain the differences between them</w:t>
      </w:r>
      <w:r w:rsidR="00146F76">
        <w:rPr>
          <w:rFonts w:cs="Arial"/>
        </w:rPr>
        <w:t xml:space="preserve"> and over time</w:t>
      </w:r>
      <w:r>
        <w:rPr>
          <w:rFonts w:cs="Arial"/>
        </w:rPr>
        <w:t xml:space="preserve">. These could include, but </w:t>
      </w:r>
      <w:r w:rsidR="0042468D">
        <w:rPr>
          <w:rFonts w:cs="Arial"/>
        </w:rPr>
        <w:t xml:space="preserve">are </w:t>
      </w:r>
      <w:r>
        <w:rPr>
          <w:rFonts w:cs="Arial"/>
        </w:rPr>
        <w:t>not limited, to:</w:t>
      </w:r>
    </w:p>
    <w:p w14:paraId="2E07F147" w14:textId="77777777" w:rsidR="00841BD9" w:rsidRDefault="00841BD9" w:rsidP="00841BD9">
      <w:pPr>
        <w:pStyle w:val="ListParagraph"/>
        <w:numPr>
          <w:ilvl w:val="0"/>
          <w:numId w:val="0"/>
        </w:numPr>
        <w:ind w:left="357"/>
        <w:rPr>
          <w:rFonts w:cs="Arial"/>
        </w:rPr>
      </w:pPr>
    </w:p>
    <w:p w14:paraId="01BFECE4" w14:textId="77777777" w:rsidR="00841BD9" w:rsidRPr="00ED3874" w:rsidRDefault="00841BD9" w:rsidP="00841BD9">
      <w:pPr>
        <w:pStyle w:val="ListParagraph"/>
        <w:numPr>
          <w:ilvl w:val="0"/>
          <w:numId w:val="0"/>
        </w:numPr>
        <w:ind w:left="357"/>
        <w:rPr>
          <w:rFonts w:cs="Arial"/>
          <w:i/>
        </w:rPr>
      </w:pPr>
      <w:r w:rsidRPr="00ED3874">
        <w:rPr>
          <w:rFonts w:cs="Arial"/>
          <w:i/>
        </w:rPr>
        <w:t>Direct course costs:</w:t>
      </w:r>
    </w:p>
    <w:p w14:paraId="3AEF8DDE" w14:textId="77777777" w:rsidR="00841BD9" w:rsidRDefault="00841BD9" w:rsidP="00841BD9">
      <w:pPr>
        <w:pStyle w:val="ListParagraph"/>
        <w:numPr>
          <w:ilvl w:val="0"/>
          <w:numId w:val="0"/>
        </w:numPr>
        <w:ind w:left="357"/>
        <w:rPr>
          <w:rFonts w:cs="Arial"/>
        </w:rPr>
      </w:pPr>
    </w:p>
    <w:p w14:paraId="1322497B" w14:textId="77777777" w:rsidR="00841BD9" w:rsidRDefault="00841BD9" w:rsidP="00501FFB">
      <w:pPr>
        <w:pStyle w:val="ListParagraph"/>
        <w:numPr>
          <w:ilvl w:val="0"/>
          <w:numId w:val="30"/>
        </w:numPr>
        <w:spacing w:after="0" w:line="259" w:lineRule="auto"/>
        <w:ind w:left="1071" w:hanging="357"/>
        <w:contextualSpacing w:val="0"/>
        <w:rPr>
          <w:rFonts w:cs="Arial"/>
        </w:rPr>
      </w:pPr>
      <w:r>
        <w:rPr>
          <w:rFonts w:cs="Arial"/>
        </w:rPr>
        <w:t>Course duration;</w:t>
      </w:r>
    </w:p>
    <w:p w14:paraId="2569B745" w14:textId="77777777" w:rsidR="00841BD9" w:rsidRDefault="00841BD9" w:rsidP="00501FFB">
      <w:pPr>
        <w:pStyle w:val="ListParagraph"/>
        <w:numPr>
          <w:ilvl w:val="0"/>
          <w:numId w:val="30"/>
        </w:numPr>
        <w:spacing w:after="0" w:line="259" w:lineRule="auto"/>
        <w:contextualSpacing w:val="0"/>
        <w:rPr>
          <w:rFonts w:cs="Arial"/>
        </w:rPr>
      </w:pPr>
      <w:r>
        <w:rPr>
          <w:rFonts w:cs="Arial"/>
        </w:rPr>
        <w:t>Course delivery (e.g. distance learning versus face-to-face);</w:t>
      </w:r>
    </w:p>
    <w:p w14:paraId="63A8A5C2" w14:textId="77777777" w:rsidR="00841BD9" w:rsidRDefault="00841BD9" w:rsidP="00501FFB">
      <w:pPr>
        <w:pStyle w:val="ListParagraph"/>
        <w:numPr>
          <w:ilvl w:val="0"/>
          <w:numId w:val="30"/>
        </w:numPr>
        <w:spacing w:after="0" w:line="259" w:lineRule="auto"/>
        <w:contextualSpacing w:val="0"/>
        <w:rPr>
          <w:rFonts w:cs="Arial"/>
        </w:rPr>
      </w:pPr>
      <w:r>
        <w:rPr>
          <w:rFonts w:cs="Arial"/>
        </w:rPr>
        <w:t>Class size (number of students);</w:t>
      </w:r>
    </w:p>
    <w:p w14:paraId="57EBFF8F" w14:textId="77777777" w:rsidR="009A52EB" w:rsidRDefault="009A52EB" w:rsidP="00501FFB">
      <w:pPr>
        <w:pStyle w:val="ListParagraph"/>
        <w:numPr>
          <w:ilvl w:val="0"/>
          <w:numId w:val="30"/>
        </w:numPr>
        <w:spacing w:after="0" w:line="259" w:lineRule="auto"/>
        <w:contextualSpacing w:val="0"/>
        <w:rPr>
          <w:rFonts w:cs="Arial"/>
        </w:rPr>
      </w:pPr>
      <w:r>
        <w:rPr>
          <w:rFonts w:cs="Arial"/>
        </w:rPr>
        <w:t>Personal characteristics of students (e.g. POLAR)</w:t>
      </w:r>
      <w:r w:rsidR="00D27255">
        <w:rPr>
          <w:rFonts w:cs="Arial"/>
        </w:rPr>
        <w:t>;</w:t>
      </w:r>
    </w:p>
    <w:p w14:paraId="13B7E300" w14:textId="77777777" w:rsidR="00841BD9" w:rsidRDefault="00841BD9" w:rsidP="00501FFB">
      <w:pPr>
        <w:pStyle w:val="ListParagraph"/>
        <w:numPr>
          <w:ilvl w:val="0"/>
          <w:numId w:val="30"/>
        </w:numPr>
        <w:spacing w:after="0" w:line="259" w:lineRule="auto"/>
        <w:contextualSpacing w:val="0"/>
        <w:rPr>
          <w:rFonts w:cs="Arial"/>
        </w:rPr>
      </w:pPr>
      <w:r>
        <w:rPr>
          <w:rFonts w:cs="Arial"/>
        </w:rPr>
        <w:t>Institution size (number of students);</w:t>
      </w:r>
    </w:p>
    <w:p w14:paraId="108C2682" w14:textId="77777777" w:rsidR="00841BD9" w:rsidRDefault="00841BD9" w:rsidP="00501FFB">
      <w:pPr>
        <w:pStyle w:val="ListParagraph"/>
        <w:numPr>
          <w:ilvl w:val="0"/>
          <w:numId w:val="30"/>
        </w:numPr>
        <w:spacing w:after="0" w:line="259" w:lineRule="auto"/>
        <w:contextualSpacing w:val="0"/>
        <w:rPr>
          <w:rFonts w:cs="Arial"/>
        </w:rPr>
      </w:pPr>
      <w:r>
        <w:rPr>
          <w:rFonts w:cs="Arial"/>
        </w:rPr>
        <w:t>Specialisation of institution;</w:t>
      </w:r>
    </w:p>
    <w:p w14:paraId="6BAE02D8" w14:textId="77777777" w:rsidR="00841BD9" w:rsidRDefault="00841BD9" w:rsidP="00501FFB">
      <w:pPr>
        <w:pStyle w:val="ListParagraph"/>
        <w:numPr>
          <w:ilvl w:val="0"/>
          <w:numId w:val="30"/>
        </w:numPr>
        <w:spacing w:after="0" w:line="259" w:lineRule="auto"/>
        <w:contextualSpacing w:val="0"/>
        <w:rPr>
          <w:rFonts w:cs="Arial"/>
        </w:rPr>
      </w:pPr>
      <w:r>
        <w:rPr>
          <w:rFonts w:cs="Arial"/>
        </w:rPr>
        <w:t>Nature of teaching (e.g. specialised/ nuanced);</w:t>
      </w:r>
    </w:p>
    <w:p w14:paraId="0DB00C76" w14:textId="77777777" w:rsidR="00841BD9" w:rsidRDefault="00841BD9" w:rsidP="00501FFB">
      <w:pPr>
        <w:pStyle w:val="ListParagraph"/>
        <w:numPr>
          <w:ilvl w:val="0"/>
          <w:numId w:val="30"/>
        </w:numPr>
        <w:spacing w:after="0" w:line="259" w:lineRule="auto"/>
        <w:contextualSpacing w:val="0"/>
        <w:rPr>
          <w:rFonts w:cs="Arial"/>
        </w:rPr>
      </w:pPr>
      <w:r>
        <w:rPr>
          <w:rFonts w:cs="Arial"/>
        </w:rPr>
        <w:t>Type of course (i.e. laboratory versus class-room based);</w:t>
      </w:r>
    </w:p>
    <w:p w14:paraId="35DAC53D" w14:textId="77777777" w:rsidR="00841BD9" w:rsidRDefault="00841BD9" w:rsidP="00501FFB">
      <w:pPr>
        <w:pStyle w:val="ListParagraph"/>
        <w:numPr>
          <w:ilvl w:val="0"/>
          <w:numId w:val="30"/>
        </w:numPr>
        <w:spacing w:after="0" w:line="259" w:lineRule="auto"/>
        <w:contextualSpacing w:val="0"/>
        <w:rPr>
          <w:rFonts w:cs="Arial"/>
        </w:rPr>
      </w:pPr>
      <w:r>
        <w:rPr>
          <w:rFonts w:cs="Arial"/>
        </w:rPr>
        <w:t>Number of staff hours;</w:t>
      </w:r>
    </w:p>
    <w:p w14:paraId="24CD7BBF" w14:textId="77777777" w:rsidR="00841BD9" w:rsidRDefault="00841BD9" w:rsidP="00501FFB">
      <w:pPr>
        <w:pStyle w:val="ListParagraph"/>
        <w:numPr>
          <w:ilvl w:val="0"/>
          <w:numId w:val="30"/>
        </w:numPr>
        <w:spacing w:after="0" w:line="259" w:lineRule="auto"/>
        <w:contextualSpacing w:val="0"/>
        <w:rPr>
          <w:rFonts w:cs="Arial"/>
        </w:rPr>
      </w:pPr>
      <w:r>
        <w:rPr>
          <w:rFonts w:cs="Arial"/>
        </w:rPr>
        <w:t>Seniority/ experience/ expertise of staff;</w:t>
      </w:r>
    </w:p>
    <w:p w14:paraId="7A1105E8" w14:textId="77777777" w:rsidR="00841BD9" w:rsidRDefault="00841BD9" w:rsidP="00501FFB">
      <w:pPr>
        <w:pStyle w:val="ListParagraph"/>
        <w:numPr>
          <w:ilvl w:val="0"/>
          <w:numId w:val="30"/>
        </w:numPr>
        <w:spacing w:after="0" w:line="259" w:lineRule="auto"/>
        <w:contextualSpacing w:val="0"/>
        <w:rPr>
          <w:rFonts w:cs="Arial"/>
        </w:rPr>
      </w:pPr>
      <w:r>
        <w:rPr>
          <w:rFonts w:cs="Arial"/>
        </w:rPr>
        <w:t>Students expectations regarding teaching/ course quality;</w:t>
      </w:r>
    </w:p>
    <w:p w14:paraId="7A1C85F8" w14:textId="77777777" w:rsidR="00841BD9" w:rsidRDefault="00841BD9" w:rsidP="00841BD9">
      <w:pPr>
        <w:spacing w:after="120"/>
        <w:ind w:left="717"/>
        <w:rPr>
          <w:rFonts w:cs="Arial"/>
        </w:rPr>
      </w:pPr>
    </w:p>
    <w:p w14:paraId="334C827E" w14:textId="77777777" w:rsidR="00D27255" w:rsidRDefault="00D27255" w:rsidP="00841BD9">
      <w:pPr>
        <w:spacing w:after="120"/>
        <w:ind w:left="717"/>
        <w:rPr>
          <w:rFonts w:cs="Arial"/>
        </w:rPr>
      </w:pPr>
    </w:p>
    <w:p w14:paraId="1936D7F2" w14:textId="77777777" w:rsidR="00D27255" w:rsidRDefault="00D27255" w:rsidP="00841BD9">
      <w:pPr>
        <w:spacing w:after="120"/>
        <w:ind w:left="717"/>
        <w:rPr>
          <w:rFonts w:cs="Arial"/>
        </w:rPr>
      </w:pPr>
    </w:p>
    <w:p w14:paraId="68070CEB" w14:textId="77777777" w:rsidR="00D27255" w:rsidRDefault="00D27255" w:rsidP="00841BD9">
      <w:pPr>
        <w:spacing w:after="120"/>
        <w:ind w:left="717"/>
        <w:rPr>
          <w:rFonts w:cs="Arial"/>
        </w:rPr>
      </w:pPr>
    </w:p>
    <w:p w14:paraId="71878170" w14:textId="59256168" w:rsidR="00841BD9" w:rsidRPr="00ED3874" w:rsidRDefault="00841BD9" w:rsidP="00841BD9">
      <w:pPr>
        <w:spacing w:after="120"/>
        <w:ind w:left="357"/>
        <w:rPr>
          <w:rFonts w:cs="Arial"/>
          <w:i/>
        </w:rPr>
      </w:pPr>
      <w:r w:rsidRPr="00ED3874">
        <w:rPr>
          <w:rFonts w:cs="Arial"/>
          <w:i/>
        </w:rPr>
        <w:t xml:space="preserve">Indirect </w:t>
      </w:r>
      <w:r w:rsidR="00E61F6B">
        <w:rPr>
          <w:rFonts w:cs="Arial"/>
          <w:i/>
        </w:rPr>
        <w:t>course</w:t>
      </w:r>
      <w:r w:rsidR="00E61F6B" w:rsidRPr="00ED3874">
        <w:rPr>
          <w:rFonts w:cs="Arial"/>
          <w:i/>
        </w:rPr>
        <w:t xml:space="preserve"> </w:t>
      </w:r>
      <w:r w:rsidRPr="00ED3874">
        <w:rPr>
          <w:rFonts w:cs="Arial"/>
          <w:i/>
        </w:rPr>
        <w:t>costs:</w:t>
      </w:r>
    </w:p>
    <w:p w14:paraId="767D9F5E" w14:textId="77777777" w:rsidR="00841BD9" w:rsidRDefault="00841BD9" w:rsidP="00501FFB">
      <w:pPr>
        <w:pStyle w:val="ListParagraph"/>
        <w:numPr>
          <w:ilvl w:val="0"/>
          <w:numId w:val="30"/>
        </w:numPr>
        <w:spacing w:after="0" w:line="259" w:lineRule="auto"/>
        <w:contextualSpacing w:val="0"/>
        <w:rPr>
          <w:rFonts w:cs="Arial"/>
        </w:rPr>
      </w:pPr>
      <w:r>
        <w:rPr>
          <w:rFonts w:cs="Arial"/>
        </w:rPr>
        <w:t>Intensity of use of central support services (e.g. library services);</w:t>
      </w:r>
    </w:p>
    <w:p w14:paraId="4C57D8C0" w14:textId="77777777" w:rsidR="00FD374C" w:rsidRDefault="00841BD9" w:rsidP="00501FFB">
      <w:pPr>
        <w:pStyle w:val="ListParagraph"/>
        <w:numPr>
          <w:ilvl w:val="0"/>
          <w:numId w:val="30"/>
        </w:numPr>
        <w:spacing w:after="0" w:line="259" w:lineRule="auto"/>
        <w:contextualSpacing w:val="0"/>
        <w:rPr>
          <w:rFonts w:cs="Arial"/>
        </w:rPr>
      </w:pPr>
      <w:r>
        <w:rPr>
          <w:rFonts w:cs="Arial"/>
        </w:rPr>
        <w:t>Wider department activity (e.g. research activity)</w:t>
      </w:r>
      <w:r w:rsidR="00501FFB">
        <w:rPr>
          <w:rFonts w:cs="Arial"/>
        </w:rPr>
        <w:t xml:space="preserve">; </w:t>
      </w:r>
    </w:p>
    <w:p w14:paraId="6123247A" w14:textId="77777777" w:rsidR="00FD374C" w:rsidRDefault="00FD374C" w:rsidP="00501FFB">
      <w:pPr>
        <w:pStyle w:val="ListParagraph"/>
        <w:numPr>
          <w:ilvl w:val="0"/>
          <w:numId w:val="30"/>
        </w:numPr>
        <w:spacing w:after="0" w:line="259" w:lineRule="auto"/>
        <w:contextualSpacing w:val="0"/>
        <w:rPr>
          <w:rFonts w:cs="Arial"/>
        </w:rPr>
      </w:pPr>
      <w:r>
        <w:rPr>
          <w:rFonts w:cs="Arial"/>
        </w:rPr>
        <w:t>Corporate management structure and governance;</w:t>
      </w:r>
    </w:p>
    <w:p w14:paraId="1C3B3749" w14:textId="0A16A6EE" w:rsidR="00841BD9" w:rsidRDefault="00FD374C" w:rsidP="00501FFB">
      <w:pPr>
        <w:pStyle w:val="ListParagraph"/>
        <w:numPr>
          <w:ilvl w:val="0"/>
          <w:numId w:val="30"/>
        </w:numPr>
        <w:spacing w:after="0" w:line="259" w:lineRule="auto"/>
        <w:contextualSpacing w:val="0"/>
        <w:rPr>
          <w:rFonts w:cs="Arial"/>
        </w:rPr>
      </w:pPr>
      <w:r>
        <w:rPr>
          <w:rFonts w:cs="Arial"/>
        </w:rPr>
        <w:t>Business strategy and implementation (e.g. marketing);</w:t>
      </w:r>
    </w:p>
    <w:p w14:paraId="26C4B2A1" w14:textId="7FE0034B" w:rsidR="00841BD9" w:rsidRPr="00FD374C" w:rsidRDefault="00FD374C">
      <w:pPr>
        <w:pStyle w:val="ListParagraph"/>
        <w:numPr>
          <w:ilvl w:val="0"/>
          <w:numId w:val="30"/>
        </w:numPr>
        <w:spacing w:after="0" w:line="259" w:lineRule="auto"/>
        <w:contextualSpacing w:val="0"/>
        <w:rPr>
          <w:rFonts w:cs="Arial"/>
        </w:rPr>
      </w:pPr>
      <w:r w:rsidRPr="00FD374C">
        <w:rPr>
          <w:rFonts w:cs="Arial"/>
        </w:rPr>
        <w:t>C</w:t>
      </w:r>
      <w:r w:rsidR="00841BD9" w:rsidRPr="00FD374C">
        <w:rPr>
          <w:rFonts w:cs="Arial"/>
        </w:rPr>
        <w:t xml:space="preserve">apital investment </w:t>
      </w:r>
      <w:r>
        <w:rPr>
          <w:rFonts w:cs="Arial"/>
        </w:rPr>
        <w:t>(</w:t>
      </w:r>
      <w:r w:rsidR="00841BD9" w:rsidRPr="00FD374C">
        <w:rPr>
          <w:rFonts w:cs="Arial"/>
        </w:rPr>
        <w:t>for residential and non-residential purposes)</w:t>
      </w:r>
      <w:r>
        <w:rPr>
          <w:rFonts w:cs="Arial"/>
        </w:rPr>
        <w:t>;</w:t>
      </w:r>
    </w:p>
    <w:p w14:paraId="66E90571" w14:textId="77777777" w:rsidR="00841BD9" w:rsidRDefault="00841BD9" w:rsidP="00841BD9">
      <w:pPr>
        <w:pStyle w:val="ListParagraph"/>
        <w:numPr>
          <w:ilvl w:val="0"/>
          <w:numId w:val="0"/>
        </w:numPr>
        <w:ind w:left="1077"/>
        <w:rPr>
          <w:rFonts w:cs="Arial"/>
        </w:rPr>
      </w:pPr>
    </w:p>
    <w:p w14:paraId="1482A3B5" w14:textId="6CBFE7E7" w:rsidR="00841BD9" w:rsidRDefault="00841BD9" w:rsidP="00364628">
      <w:pPr>
        <w:pStyle w:val="ListParagraph"/>
        <w:numPr>
          <w:ilvl w:val="0"/>
          <w:numId w:val="27"/>
        </w:numPr>
        <w:spacing w:after="160" w:line="259" w:lineRule="auto"/>
        <w:ind w:left="357" w:hanging="357"/>
        <w:jc w:val="both"/>
        <w:rPr>
          <w:rFonts w:cs="Arial"/>
        </w:rPr>
      </w:pPr>
      <w:r w:rsidRPr="003103EA">
        <w:rPr>
          <w:rFonts w:cs="Arial"/>
        </w:rPr>
        <w:t xml:space="preserve">What factors help explain variations </w:t>
      </w:r>
      <w:r w:rsidR="004F3A3E">
        <w:rPr>
          <w:rFonts w:cs="Arial"/>
        </w:rPr>
        <w:t xml:space="preserve">between institutions </w:t>
      </w:r>
      <w:r w:rsidRPr="003103EA">
        <w:rPr>
          <w:rFonts w:cs="Arial"/>
        </w:rPr>
        <w:t xml:space="preserve">in the average full economic cost </w:t>
      </w:r>
      <w:r w:rsidR="00624A2E">
        <w:rPr>
          <w:rFonts w:cs="Arial"/>
        </w:rPr>
        <w:t xml:space="preserve">per student </w:t>
      </w:r>
      <w:r w:rsidRPr="003103EA">
        <w:rPr>
          <w:rFonts w:cs="Arial"/>
        </w:rPr>
        <w:t xml:space="preserve">of a particular </w:t>
      </w:r>
      <w:proofErr w:type="gramStart"/>
      <w:r w:rsidRPr="003103EA">
        <w:rPr>
          <w:rFonts w:cs="Arial"/>
        </w:rPr>
        <w:t>subject ,</w:t>
      </w:r>
      <w:proofErr w:type="gramEnd"/>
      <w:r w:rsidRPr="003103EA">
        <w:rPr>
          <w:rFonts w:cs="Arial"/>
        </w:rPr>
        <w:t xml:space="preserve"> allowing for level and model of delivery</w:t>
      </w:r>
      <w:r>
        <w:rPr>
          <w:rFonts w:cs="Arial"/>
        </w:rPr>
        <w:t>?</w:t>
      </w:r>
      <w:r w:rsidR="00DB000D">
        <w:rPr>
          <w:rFonts w:cs="Arial"/>
        </w:rPr>
        <w:t xml:space="preserve"> How might these factors change and what are the key drivers?</w:t>
      </w:r>
    </w:p>
    <w:p w14:paraId="72CF208E" w14:textId="77777777" w:rsidR="00D412B6" w:rsidRDefault="00D412B6" w:rsidP="00364628">
      <w:pPr>
        <w:pStyle w:val="ListParagraph"/>
        <w:numPr>
          <w:ilvl w:val="0"/>
          <w:numId w:val="0"/>
        </w:numPr>
        <w:spacing w:after="160" w:line="259" w:lineRule="auto"/>
        <w:ind w:left="357"/>
        <w:jc w:val="both"/>
        <w:rPr>
          <w:rFonts w:cs="Arial"/>
        </w:rPr>
      </w:pPr>
    </w:p>
    <w:p w14:paraId="0F20E492" w14:textId="050BBBC8" w:rsidR="00D412B6" w:rsidRDefault="00D412B6" w:rsidP="00364628">
      <w:pPr>
        <w:pStyle w:val="ListParagraph"/>
        <w:numPr>
          <w:ilvl w:val="0"/>
          <w:numId w:val="27"/>
        </w:numPr>
        <w:spacing w:after="160" w:line="259" w:lineRule="auto"/>
        <w:ind w:left="357" w:hanging="357"/>
        <w:jc w:val="both"/>
        <w:rPr>
          <w:rFonts w:cs="Arial"/>
        </w:rPr>
      </w:pPr>
      <w:r>
        <w:rPr>
          <w:rFonts w:cs="Arial"/>
        </w:rPr>
        <w:t>How the costs associated with different subjects, in the context of institutions</w:t>
      </w:r>
      <w:r w:rsidR="00D27255">
        <w:rPr>
          <w:rFonts w:cs="Arial"/>
        </w:rPr>
        <w:t>’</w:t>
      </w:r>
      <w:r>
        <w:rPr>
          <w:rFonts w:cs="Arial"/>
        </w:rPr>
        <w:t xml:space="preserve"> business models and market pressures, influence institutional decision making (e.g. with respect to pricing, teaching quality and course mix) given current fee and funding arrang</w:t>
      </w:r>
      <w:r w:rsidR="00146628">
        <w:rPr>
          <w:rFonts w:cs="Arial"/>
        </w:rPr>
        <w:t>e</w:t>
      </w:r>
      <w:r>
        <w:rPr>
          <w:rFonts w:cs="Arial"/>
        </w:rPr>
        <w:t>ments.</w:t>
      </w:r>
      <w:r w:rsidRPr="0037418F" w:rsidDel="00307846">
        <w:rPr>
          <w:rFonts w:cs="Arial"/>
        </w:rPr>
        <w:t xml:space="preserve"> </w:t>
      </w:r>
      <w:r w:rsidRPr="0037418F">
        <w:rPr>
          <w:szCs w:val="22"/>
        </w:rPr>
        <w:t xml:space="preserve"> </w:t>
      </w:r>
    </w:p>
    <w:p w14:paraId="7BED679D" w14:textId="77777777" w:rsidR="004A600B" w:rsidRPr="004A600B" w:rsidRDefault="004A600B" w:rsidP="001F2CE2">
      <w:pPr>
        <w:pStyle w:val="Heading2"/>
      </w:pPr>
      <w:r>
        <w:t>Methodology</w:t>
      </w:r>
    </w:p>
    <w:p w14:paraId="5DACE32D" w14:textId="77777777" w:rsidR="00841BD9" w:rsidRPr="00160817" w:rsidRDefault="00841BD9" w:rsidP="00841BD9">
      <w:pPr>
        <w:rPr>
          <w:rFonts w:cs="Arial"/>
          <w:b/>
        </w:rPr>
      </w:pPr>
      <w:r w:rsidRPr="00160817">
        <w:rPr>
          <w:rFonts w:cs="Arial"/>
          <w:b/>
        </w:rPr>
        <w:t>Approach</w:t>
      </w:r>
    </w:p>
    <w:p w14:paraId="4C9419FA" w14:textId="172BA885" w:rsidR="00841BD9" w:rsidRDefault="00841BD9" w:rsidP="00364628">
      <w:pPr>
        <w:jc w:val="both"/>
        <w:rPr>
          <w:rFonts w:cs="Arial"/>
        </w:rPr>
      </w:pPr>
      <w:r>
        <w:rPr>
          <w:rFonts w:cs="Arial"/>
        </w:rPr>
        <w:t>A key requirement will be to develop and test</w:t>
      </w:r>
      <w:r w:rsidR="009411D2">
        <w:rPr>
          <w:rFonts w:cs="Arial"/>
        </w:rPr>
        <w:t xml:space="preserve"> the</w:t>
      </w:r>
      <w:r>
        <w:rPr>
          <w:rFonts w:cs="Arial"/>
        </w:rPr>
        <w:t xml:space="preserve"> feasibility of a methodology for collecting, collating and analysing cost data at </w:t>
      </w:r>
      <w:r w:rsidR="00624A2E">
        <w:rPr>
          <w:rFonts w:cs="Arial"/>
        </w:rPr>
        <w:t xml:space="preserve">departmental and institutional </w:t>
      </w:r>
      <w:r>
        <w:rPr>
          <w:rFonts w:cs="Arial"/>
        </w:rPr>
        <w:t xml:space="preserve">level </w:t>
      </w:r>
      <w:r w:rsidR="00624A2E">
        <w:rPr>
          <w:rFonts w:cs="Arial"/>
        </w:rPr>
        <w:t xml:space="preserve">that </w:t>
      </w:r>
      <w:r>
        <w:rPr>
          <w:rFonts w:cs="Arial"/>
        </w:rPr>
        <w:t>is compatible with HEFCE</w:t>
      </w:r>
      <w:r w:rsidR="00DF0428">
        <w:rPr>
          <w:rFonts w:cs="Arial"/>
        </w:rPr>
        <w:t>/</w:t>
      </w:r>
      <w:proofErr w:type="spellStart"/>
      <w:r w:rsidR="00DF0428">
        <w:rPr>
          <w:rFonts w:cs="Arial"/>
        </w:rPr>
        <w:t>OfS</w:t>
      </w:r>
      <w:r>
        <w:rPr>
          <w:rFonts w:cs="Arial"/>
        </w:rPr>
        <w:t>’s</w:t>
      </w:r>
      <w:proofErr w:type="spellEnd"/>
      <w:r w:rsidR="00DF0428">
        <w:rPr>
          <w:rStyle w:val="FootnoteReference"/>
          <w:rFonts w:cs="Arial"/>
        </w:rPr>
        <w:footnoteReference w:id="2"/>
      </w:r>
      <w:r>
        <w:rPr>
          <w:rFonts w:cs="Arial"/>
        </w:rPr>
        <w:t xml:space="preserve"> Transparent Approach to Costing (TRAC), and specifically the TRAC(T) framework used to estimate the cost of</w:t>
      </w:r>
      <w:r w:rsidR="00624A2E">
        <w:rPr>
          <w:rFonts w:cs="Arial"/>
        </w:rPr>
        <w:t xml:space="preserve"> </w:t>
      </w:r>
      <w:r>
        <w:rPr>
          <w:rFonts w:cs="Arial"/>
        </w:rPr>
        <w:t>teaching</w:t>
      </w:r>
      <w:r w:rsidR="00624A2E">
        <w:rPr>
          <w:rFonts w:cs="Arial"/>
        </w:rPr>
        <w:t xml:space="preserve"> and its immediate support services</w:t>
      </w:r>
      <w:r>
        <w:rPr>
          <w:rFonts w:cs="Arial"/>
        </w:rPr>
        <w:t>. This is to enable quantitative and qualitative results obtained from this project to be compared with those from earlier studies carried out for HEFCE in this area. These include the 2014 study on the cost of postgraduate taught provision, and more recently, the 2017 study on the cost of pre-registration nursing, midwifery and allied health professions. More information on these reports, as well as the TRAC guidance can be found on the HEFCE website</w:t>
      </w:r>
      <w:r w:rsidR="00766365">
        <w:rPr>
          <w:rStyle w:val="FootnoteReference"/>
          <w:rFonts w:cs="Arial"/>
        </w:rPr>
        <w:footnoteReference w:id="3"/>
      </w:r>
      <w:r>
        <w:rPr>
          <w:rFonts w:cs="Arial"/>
        </w:rPr>
        <w:t>.</w:t>
      </w:r>
    </w:p>
    <w:p w14:paraId="11B679D2" w14:textId="2D972F55" w:rsidR="002D1D48" w:rsidRDefault="00DF0428" w:rsidP="00364628">
      <w:pPr>
        <w:jc w:val="both"/>
        <w:rPr>
          <w:rFonts w:cs="Arial"/>
        </w:rPr>
      </w:pPr>
      <w:r>
        <w:rPr>
          <w:rFonts w:cs="Arial"/>
        </w:rPr>
        <w:t xml:space="preserve">While it is expected that the analysis will be routed in the costing methodology developed by HEFCE, the Department for Education is open to alternative ideas the contractor may have to modify or extend the TRAC methodology in order to achieve the research aims and objectives. It is expected that the methodology will be agreed with the Department for Education before the work </w:t>
      </w:r>
      <w:proofErr w:type="spellStart"/>
      <w:r>
        <w:rPr>
          <w:rFonts w:cs="Arial"/>
        </w:rPr>
        <w:t>commences.</w:t>
      </w:r>
      <w:r w:rsidR="00D55D62" w:rsidRPr="00EF1238">
        <w:rPr>
          <w:rFonts w:cs="Arial"/>
        </w:rPr>
        <w:t>As</w:t>
      </w:r>
      <w:proofErr w:type="spellEnd"/>
      <w:r w:rsidR="00D55D62" w:rsidRPr="00EF1238">
        <w:rPr>
          <w:rFonts w:cs="Arial"/>
        </w:rPr>
        <w:t xml:space="preserve"> noted above, </w:t>
      </w:r>
      <w:r w:rsidR="00D55D62" w:rsidRPr="00364628">
        <w:rPr>
          <w:rFonts w:cs="Arial"/>
        </w:rPr>
        <w:t>t</w:t>
      </w:r>
      <w:r w:rsidR="00D55D62" w:rsidRPr="00EF1238">
        <w:rPr>
          <w:rFonts w:cs="Arial"/>
        </w:rPr>
        <w:t>he study will need to consider the most appropriate measure of the overall full- and part-time student cost of provision.</w:t>
      </w:r>
      <w:r w:rsidR="00EF1238" w:rsidRPr="00364628">
        <w:rPr>
          <w:rFonts w:cs="Arial"/>
        </w:rPr>
        <w:t xml:space="preserve"> The aforementioned studies have focused on subject</w:t>
      </w:r>
      <w:r w:rsidR="00EF1238">
        <w:rPr>
          <w:rFonts w:cs="Arial"/>
        </w:rPr>
        <w:t>-</w:t>
      </w:r>
      <w:r w:rsidR="00EF1238" w:rsidRPr="00364628">
        <w:rPr>
          <w:rFonts w:cs="Arial"/>
        </w:rPr>
        <w:t>related cost</w:t>
      </w:r>
      <w:r w:rsidR="002D1D48">
        <w:rPr>
          <w:rFonts w:cs="Arial"/>
        </w:rPr>
        <w:t>s</w:t>
      </w:r>
      <w:r w:rsidR="00EF1238" w:rsidRPr="00364628">
        <w:rPr>
          <w:rFonts w:cs="Arial"/>
        </w:rPr>
        <w:t xml:space="preserve"> of teaching a HEFCE-fundable student FTE</w:t>
      </w:r>
      <w:r w:rsidR="00D27255">
        <w:rPr>
          <w:rFonts w:cs="Arial"/>
        </w:rPr>
        <w:t>,</w:t>
      </w:r>
      <w:r w:rsidR="002D1D48">
        <w:rPr>
          <w:rFonts w:cs="Arial"/>
        </w:rPr>
        <w:t xml:space="preserve"> which do not cover all relevant costs. We therefore invite proposals for a broader definition of publicly funded costs of provision.</w:t>
      </w:r>
    </w:p>
    <w:p w14:paraId="6FCA2A05" w14:textId="77777777" w:rsidR="00D27255" w:rsidRDefault="00D27255" w:rsidP="00364628">
      <w:pPr>
        <w:rPr>
          <w:rFonts w:cs="Arial"/>
          <w:b/>
        </w:rPr>
      </w:pPr>
    </w:p>
    <w:p w14:paraId="39BAE6F8" w14:textId="77777777" w:rsidR="00841BD9" w:rsidRPr="00ED3874" w:rsidRDefault="00841BD9" w:rsidP="0017026A">
      <w:pPr>
        <w:pStyle w:val="ListParagraph"/>
        <w:numPr>
          <w:ilvl w:val="0"/>
          <w:numId w:val="0"/>
        </w:numPr>
        <w:autoSpaceDE w:val="0"/>
        <w:autoSpaceDN w:val="0"/>
        <w:spacing w:after="200" w:line="276" w:lineRule="auto"/>
        <w:rPr>
          <w:rFonts w:cs="Arial"/>
          <w:b/>
        </w:rPr>
      </w:pPr>
      <w:r w:rsidRPr="00ED3874">
        <w:rPr>
          <w:rFonts w:cs="Arial"/>
          <w:b/>
        </w:rPr>
        <w:t>Data collection and validation activities</w:t>
      </w:r>
    </w:p>
    <w:p w14:paraId="523B9A53" w14:textId="0F429C38" w:rsidR="00841BD9" w:rsidRDefault="00841BD9" w:rsidP="00364628">
      <w:pPr>
        <w:autoSpaceDE w:val="0"/>
        <w:autoSpaceDN w:val="0"/>
        <w:jc w:val="both"/>
        <w:rPr>
          <w:rFonts w:cs="Arial"/>
        </w:rPr>
      </w:pPr>
      <w:r>
        <w:rPr>
          <w:rFonts w:cs="Arial"/>
        </w:rPr>
        <w:t xml:space="preserve">The contractor would be expected to develop and test a rigorous but proportionate method for collecting and validating the necessary information and cost data for a representative sample of subjects, covering key subject classifications (to be agreed, possibly using the </w:t>
      </w:r>
      <w:r w:rsidR="008C009F">
        <w:rPr>
          <w:rFonts w:cs="Arial"/>
        </w:rPr>
        <w:t>TRAC(T) cost centres</w:t>
      </w:r>
      <w:r>
        <w:rPr>
          <w:rFonts w:cs="Arial"/>
        </w:rPr>
        <w:t>) from a representative sample of institutions (see “sampling of providers” below). While we are open to alternative approaches and look to the contractor to recommend what is feasible within the challenging timeframe, we envisage that the project would involve the following activities:</w:t>
      </w:r>
    </w:p>
    <w:p w14:paraId="539C4103" w14:textId="3BF7D73E" w:rsidR="00841BD9" w:rsidRDefault="00841BD9" w:rsidP="00364628">
      <w:pPr>
        <w:pStyle w:val="ListParagraph"/>
        <w:numPr>
          <w:ilvl w:val="0"/>
          <w:numId w:val="32"/>
        </w:numPr>
        <w:autoSpaceDE w:val="0"/>
        <w:autoSpaceDN w:val="0"/>
        <w:spacing w:after="160"/>
        <w:ind w:left="714" w:hanging="357"/>
        <w:jc w:val="both"/>
        <w:rPr>
          <w:rFonts w:cs="Arial"/>
        </w:rPr>
      </w:pPr>
      <w:r>
        <w:rPr>
          <w:rFonts w:cs="Arial"/>
        </w:rPr>
        <w:t>The use of a data collection template with accompanying guidance</w:t>
      </w:r>
      <w:r w:rsidR="005F40BD">
        <w:rPr>
          <w:rFonts w:cs="Arial"/>
        </w:rPr>
        <w:t xml:space="preserve"> for completing it</w:t>
      </w:r>
      <w:r>
        <w:rPr>
          <w:rFonts w:cs="Arial"/>
        </w:rPr>
        <w:t xml:space="preserve">, and support to ensure that participating providers submit the requested information in a standardised and consistent format and in a way which is appropriately evidence-based (to be developed with DfE, </w:t>
      </w:r>
      <w:r w:rsidR="001717CE">
        <w:rPr>
          <w:rFonts w:cs="Arial"/>
        </w:rPr>
        <w:t xml:space="preserve">complementary to </w:t>
      </w:r>
      <w:r>
        <w:rPr>
          <w:rFonts w:cs="Arial"/>
        </w:rPr>
        <w:t xml:space="preserve">the existing </w:t>
      </w:r>
      <w:proofErr w:type="gramStart"/>
      <w:r>
        <w:rPr>
          <w:rFonts w:cs="Arial"/>
        </w:rPr>
        <w:t>TRAC(</w:t>
      </w:r>
      <w:proofErr w:type="gramEnd"/>
      <w:r>
        <w:rPr>
          <w:rFonts w:cs="Arial"/>
        </w:rPr>
        <w:t>T) approach)</w:t>
      </w:r>
      <w:r w:rsidR="000356E8">
        <w:rPr>
          <w:rFonts w:cs="Arial"/>
        </w:rPr>
        <w:t>. HEIs that have carried out internal analyses comparable to those requested of the contractor may be able to provide details of their methodology as baseline examples.</w:t>
      </w:r>
      <w:r>
        <w:rPr>
          <w:rFonts w:cs="Arial"/>
        </w:rPr>
        <w:t xml:space="preserve"> </w:t>
      </w:r>
    </w:p>
    <w:p w14:paraId="2C76E848" w14:textId="77777777" w:rsidR="00841BD9" w:rsidRDefault="00841BD9" w:rsidP="00364628">
      <w:pPr>
        <w:pStyle w:val="ListParagraph"/>
        <w:numPr>
          <w:ilvl w:val="0"/>
          <w:numId w:val="0"/>
        </w:numPr>
        <w:autoSpaceDE w:val="0"/>
        <w:autoSpaceDN w:val="0"/>
        <w:ind w:left="720"/>
        <w:jc w:val="both"/>
        <w:rPr>
          <w:rFonts w:cs="Arial"/>
        </w:rPr>
      </w:pPr>
    </w:p>
    <w:p w14:paraId="68B9E3FA" w14:textId="77777777" w:rsidR="00841BD9" w:rsidRDefault="00841BD9" w:rsidP="00364628">
      <w:pPr>
        <w:pStyle w:val="ListParagraph"/>
        <w:numPr>
          <w:ilvl w:val="0"/>
          <w:numId w:val="32"/>
        </w:numPr>
        <w:autoSpaceDE w:val="0"/>
        <w:autoSpaceDN w:val="0"/>
        <w:spacing w:after="160" w:line="259" w:lineRule="auto"/>
        <w:jc w:val="both"/>
        <w:rPr>
          <w:rFonts w:cs="Arial"/>
        </w:rPr>
      </w:pPr>
      <w:r>
        <w:rPr>
          <w:rFonts w:cs="Arial"/>
        </w:rPr>
        <w:t>Appropriate quality assurance checks to ensure the correct and consistent treatment of costs with</w:t>
      </w:r>
      <w:r w:rsidR="001717CE">
        <w:rPr>
          <w:rFonts w:cs="Arial"/>
        </w:rPr>
        <w:t>in the</w:t>
      </w:r>
      <w:r>
        <w:rPr>
          <w:rFonts w:cs="Arial"/>
        </w:rPr>
        <w:t xml:space="preserve"> TRAC methodology. This could include:</w:t>
      </w:r>
    </w:p>
    <w:p w14:paraId="3E6BD526" w14:textId="77777777" w:rsidR="00841BD9" w:rsidRPr="00ED3874" w:rsidRDefault="00841BD9" w:rsidP="00364628">
      <w:pPr>
        <w:pStyle w:val="ListParagraph"/>
        <w:numPr>
          <w:ilvl w:val="0"/>
          <w:numId w:val="0"/>
        </w:numPr>
        <w:ind w:left="720"/>
        <w:jc w:val="both"/>
        <w:rPr>
          <w:rFonts w:cs="Arial"/>
        </w:rPr>
      </w:pPr>
    </w:p>
    <w:p w14:paraId="49DCD8CA" w14:textId="77777777" w:rsidR="00841BD9" w:rsidRDefault="00841BD9" w:rsidP="00364628">
      <w:pPr>
        <w:pStyle w:val="ListParagraph"/>
        <w:numPr>
          <w:ilvl w:val="0"/>
          <w:numId w:val="32"/>
        </w:numPr>
        <w:autoSpaceDE w:val="0"/>
        <w:autoSpaceDN w:val="0"/>
        <w:spacing w:after="160" w:line="259" w:lineRule="auto"/>
        <w:ind w:left="1071" w:hanging="357"/>
        <w:jc w:val="both"/>
        <w:rPr>
          <w:rFonts w:cs="Arial"/>
        </w:rPr>
      </w:pPr>
      <w:r>
        <w:rPr>
          <w:rFonts w:cs="Arial"/>
        </w:rPr>
        <w:t>The use of desk-top reviews of each submission to validate the data supplied by each participating provider and ensure it is consistent with other participants’ submissions as well as the data submitted by all providers on costs and student numbers in their HESA returns;</w:t>
      </w:r>
    </w:p>
    <w:p w14:paraId="387589E3" w14:textId="77777777" w:rsidR="00841BD9" w:rsidRPr="00ED3874" w:rsidRDefault="00841BD9" w:rsidP="00364628">
      <w:pPr>
        <w:pStyle w:val="ListParagraph"/>
        <w:numPr>
          <w:ilvl w:val="0"/>
          <w:numId w:val="0"/>
        </w:numPr>
        <w:ind w:left="720"/>
        <w:jc w:val="both"/>
        <w:rPr>
          <w:rFonts w:cs="Arial"/>
        </w:rPr>
      </w:pPr>
    </w:p>
    <w:p w14:paraId="10378E67" w14:textId="77777777" w:rsidR="00841BD9" w:rsidRDefault="00841BD9" w:rsidP="00364628">
      <w:pPr>
        <w:pStyle w:val="ListParagraph"/>
        <w:numPr>
          <w:ilvl w:val="0"/>
          <w:numId w:val="32"/>
        </w:numPr>
        <w:autoSpaceDE w:val="0"/>
        <w:autoSpaceDN w:val="0"/>
        <w:spacing w:after="160" w:line="259" w:lineRule="auto"/>
        <w:ind w:left="1071" w:hanging="357"/>
        <w:jc w:val="both"/>
        <w:rPr>
          <w:rFonts w:cs="Arial"/>
        </w:rPr>
      </w:pPr>
      <w:r w:rsidRPr="00271AF7">
        <w:rPr>
          <w:rFonts w:cs="Arial"/>
        </w:rPr>
        <w:t>F</w:t>
      </w:r>
      <w:r w:rsidRPr="00ED3874">
        <w:rPr>
          <w:rFonts w:cs="Arial"/>
        </w:rPr>
        <w:t xml:space="preserve">ollow-up communications with participating providers in instances where data is incomplete or </w:t>
      </w:r>
      <w:r w:rsidRPr="00271AF7">
        <w:rPr>
          <w:rFonts w:cs="Arial"/>
        </w:rPr>
        <w:t>cases where outliers are identified to establish the particular reasons behind</w:t>
      </w:r>
      <w:r>
        <w:rPr>
          <w:rFonts w:cs="Arial"/>
        </w:rPr>
        <w:t xml:space="preserve"> it</w:t>
      </w:r>
      <w:r w:rsidR="000356E8">
        <w:rPr>
          <w:rFonts w:cs="Arial"/>
        </w:rPr>
        <w:t>.</w:t>
      </w:r>
    </w:p>
    <w:p w14:paraId="3E5EBD17" w14:textId="77777777" w:rsidR="00841BD9" w:rsidRPr="00ED3874" w:rsidRDefault="00841BD9" w:rsidP="00364628">
      <w:pPr>
        <w:pStyle w:val="ListParagraph"/>
        <w:numPr>
          <w:ilvl w:val="0"/>
          <w:numId w:val="0"/>
        </w:numPr>
        <w:ind w:left="720"/>
        <w:jc w:val="both"/>
        <w:rPr>
          <w:rFonts w:cs="Arial"/>
        </w:rPr>
      </w:pPr>
    </w:p>
    <w:p w14:paraId="5388F39F" w14:textId="77777777" w:rsidR="00841BD9" w:rsidRDefault="00841BD9" w:rsidP="00364628">
      <w:pPr>
        <w:pStyle w:val="ListParagraph"/>
        <w:numPr>
          <w:ilvl w:val="0"/>
          <w:numId w:val="32"/>
        </w:numPr>
        <w:autoSpaceDE w:val="0"/>
        <w:autoSpaceDN w:val="0"/>
        <w:spacing w:after="160" w:line="259" w:lineRule="auto"/>
        <w:ind w:left="714" w:hanging="357"/>
        <w:jc w:val="both"/>
        <w:rPr>
          <w:rFonts w:cs="Arial"/>
        </w:rPr>
      </w:pPr>
      <w:r>
        <w:rPr>
          <w:rFonts w:cs="Arial"/>
        </w:rPr>
        <w:t>Workshops (or focus groups) with participating providers to discuss arising methodological and data issues and agree appropriate solutions. These may include:</w:t>
      </w:r>
    </w:p>
    <w:p w14:paraId="47F6F38D" w14:textId="77777777" w:rsidR="00841BD9" w:rsidRPr="00ED3874" w:rsidRDefault="00841BD9" w:rsidP="00364628">
      <w:pPr>
        <w:pStyle w:val="ListParagraph"/>
        <w:numPr>
          <w:ilvl w:val="0"/>
          <w:numId w:val="0"/>
        </w:numPr>
        <w:ind w:left="720"/>
        <w:jc w:val="both"/>
        <w:rPr>
          <w:rFonts w:cs="Arial"/>
        </w:rPr>
      </w:pPr>
    </w:p>
    <w:p w14:paraId="67EA4B6D" w14:textId="77777777" w:rsidR="00841BD9" w:rsidRDefault="00841BD9" w:rsidP="00364628">
      <w:pPr>
        <w:pStyle w:val="ListParagraph"/>
        <w:numPr>
          <w:ilvl w:val="0"/>
          <w:numId w:val="32"/>
        </w:numPr>
        <w:autoSpaceDE w:val="0"/>
        <w:autoSpaceDN w:val="0"/>
        <w:spacing w:after="160" w:line="259" w:lineRule="auto"/>
        <w:ind w:left="1071" w:hanging="357"/>
        <w:jc w:val="both"/>
        <w:rPr>
          <w:rFonts w:cs="Arial"/>
        </w:rPr>
      </w:pPr>
      <w:r>
        <w:rPr>
          <w:rFonts w:cs="Arial"/>
        </w:rPr>
        <w:t>The most appropriate definition of ‘cost’ to use and how to calculate it;</w:t>
      </w:r>
    </w:p>
    <w:p w14:paraId="225C8152" w14:textId="3C27096C" w:rsidR="00841BD9" w:rsidRDefault="00D27255" w:rsidP="00364628">
      <w:pPr>
        <w:pStyle w:val="ListParagraph"/>
        <w:numPr>
          <w:ilvl w:val="0"/>
          <w:numId w:val="32"/>
        </w:numPr>
        <w:autoSpaceDE w:val="0"/>
        <w:autoSpaceDN w:val="0"/>
        <w:spacing w:after="160" w:line="259" w:lineRule="auto"/>
        <w:ind w:left="1071" w:hanging="357"/>
        <w:jc w:val="both"/>
        <w:rPr>
          <w:rFonts w:cs="Arial"/>
        </w:rPr>
      </w:pPr>
      <w:r>
        <w:rPr>
          <w:rFonts w:cs="Arial"/>
        </w:rPr>
        <w:t>How we should</w:t>
      </w:r>
      <w:r w:rsidR="00841BD9" w:rsidRPr="00ED3874">
        <w:rPr>
          <w:rFonts w:cs="Arial"/>
        </w:rPr>
        <w:t xml:space="preserve"> define the different components of costs </w:t>
      </w:r>
      <w:r w:rsidR="00841BD9">
        <w:rPr>
          <w:rFonts w:cs="Arial"/>
        </w:rPr>
        <w:t>as described above</w:t>
      </w:r>
    </w:p>
    <w:p w14:paraId="51D9EFC5" w14:textId="77777777" w:rsidR="00841BD9" w:rsidRDefault="00841BD9" w:rsidP="00364628">
      <w:pPr>
        <w:pStyle w:val="ListParagraph"/>
        <w:numPr>
          <w:ilvl w:val="0"/>
          <w:numId w:val="32"/>
        </w:numPr>
        <w:autoSpaceDE w:val="0"/>
        <w:autoSpaceDN w:val="0"/>
        <w:spacing w:after="160" w:line="259" w:lineRule="auto"/>
        <w:ind w:left="1071" w:hanging="357"/>
        <w:jc w:val="both"/>
        <w:rPr>
          <w:rFonts w:cs="Arial"/>
        </w:rPr>
      </w:pPr>
      <w:r>
        <w:rPr>
          <w:rFonts w:cs="Arial"/>
        </w:rPr>
        <w:t>The main factors which influence the cost of providing different types of course</w:t>
      </w:r>
    </w:p>
    <w:p w14:paraId="30D02F42" w14:textId="77777777" w:rsidR="00841BD9" w:rsidRDefault="00841BD9" w:rsidP="00364628">
      <w:pPr>
        <w:pStyle w:val="ListParagraph"/>
        <w:numPr>
          <w:ilvl w:val="0"/>
          <w:numId w:val="32"/>
        </w:numPr>
        <w:autoSpaceDE w:val="0"/>
        <w:autoSpaceDN w:val="0"/>
        <w:spacing w:after="160" w:line="259" w:lineRule="auto"/>
        <w:ind w:left="1071" w:hanging="357"/>
        <w:jc w:val="both"/>
        <w:rPr>
          <w:rFonts w:cs="Arial"/>
        </w:rPr>
      </w:pPr>
      <w:r>
        <w:rPr>
          <w:rFonts w:cs="Arial"/>
        </w:rPr>
        <w:t>The cost drivers which should be used to disaggregate costs</w:t>
      </w:r>
    </w:p>
    <w:p w14:paraId="3DB1D6E3" w14:textId="77777777" w:rsidR="00841BD9" w:rsidRPr="00ED3874" w:rsidRDefault="00841BD9" w:rsidP="00364628">
      <w:pPr>
        <w:pStyle w:val="ListParagraph"/>
        <w:numPr>
          <w:ilvl w:val="0"/>
          <w:numId w:val="32"/>
        </w:numPr>
        <w:autoSpaceDE w:val="0"/>
        <w:autoSpaceDN w:val="0"/>
        <w:spacing w:after="160" w:line="259" w:lineRule="auto"/>
        <w:ind w:left="1071" w:hanging="357"/>
        <w:jc w:val="both"/>
        <w:rPr>
          <w:rFonts w:cs="Arial"/>
        </w:rPr>
      </w:pPr>
      <w:r>
        <w:rPr>
          <w:rFonts w:cs="Arial"/>
        </w:rPr>
        <w:t>Validation and quality assurance methods for ensuring data is consistent and comparable</w:t>
      </w:r>
    </w:p>
    <w:p w14:paraId="7F5E8287" w14:textId="77777777" w:rsidR="003407C4" w:rsidRDefault="003407C4" w:rsidP="004165C6">
      <w:pPr>
        <w:autoSpaceDE w:val="0"/>
        <w:autoSpaceDN w:val="0"/>
        <w:ind w:left="360"/>
        <w:jc w:val="both"/>
        <w:rPr>
          <w:rFonts w:cs="Arial"/>
        </w:rPr>
      </w:pPr>
    </w:p>
    <w:p w14:paraId="601F011D" w14:textId="0FCAB472" w:rsidR="003407C4" w:rsidRPr="004165C6" w:rsidRDefault="003407C4" w:rsidP="004165C6">
      <w:pPr>
        <w:autoSpaceDE w:val="0"/>
        <w:autoSpaceDN w:val="0"/>
        <w:ind w:left="360"/>
        <w:jc w:val="both"/>
        <w:rPr>
          <w:rFonts w:cs="Arial"/>
        </w:rPr>
      </w:pPr>
      <w:r w:rsidRPr="003407C4">
        <w:rPr>
          <w:rFonts w:cs="Arial"/>
        </w:rPr>
        <w:t>The Department for Education is in discussion with HEFCE/</w:t>
      </w:r>
      <w:proofErr w:type="spellStart"/>
      <w:r w:rsidRPr="003407C4">
        <w:rPr>
          <w:rFonts w:cs="Arial"/>
        </w:rPr>
        <w:t>OfS</w:t>
      </w:r>
      <w:proofErr w:type="spellEnd"/>
      <w:r w:rsidRPr="003407C4">
        <w:rPr>
          <w:rFonts w:cs="Arial"/>
        </w:rPr>
        <w:t xml:space="preserve"> to ensure the contractor is able to access</w:t>
      </w:r>
      <w:r w:rsidRPr="0028061C">
        <w:rPr>
          <w:rFonts w:cs="Arial"/>
        </w:rPr>
        <w:t xml:space="preserve"> – </w:t>
      </w:r>
      <w:r w:rsidRPr="004165C6">
        <w:rPr>
          <w:rFonts w:cs="Arial"/>
          <w:b/>
          <w:u w:val="single"/>
        </w:rPr>
        <w:t>on a strictly confidential basis and through an agreement direct with HEFCE/</w:t>
      </w:r>
      <w:proofErr w:type="spellStart"/>
      <w:r w:rsidRPr="004165C6">
        <w:rPr>
          <w:rFonts w:cs="Arial"/>
          <w:b/>
          <w:u w:val="single"/>
        </w:rPr>
        <w:t>OfS</w:t>
      </w:r>
      <w:proofErr w:type="spellEnd"/>
      <w:r w:rsidRPr="0028061C">
        <w:rPr>
          <w:rFonts w:cs="Arial"/>
        </w:rPr>
        <w:t xml:space="preserve"> </w:t>
      </w:r>
      <w:r w:rsidRPr="00B93F46">
        <w:rPr>
          <w:rFonts w:cs="Arial"/>
        </w:rPr>
        <w:t>–</w:t>
      </w:r>
      <w:r w:rsidR="004165C6">
        <w:rPr>
          <w:rFonts w:cs="Arial"/>
        </w:rPr>
        <w:t xml:space="preserve"> </w:t>
      </w:r>
      <w:r w:rsidRPr="00B93F46">
        <w:rPr>
          <w:rFonts w:cs="Arial"/>
        </w:rPr>
        <w:t xml:space="preserve">individual provider </w:t>
      </w:r>
      <w:proofErr w:type="gramStart"/>
      <w:r w:rsidRPr="00B93F46">
        <w:rPr>
          <w:rFonts w:cs="Arial"/>
        </w:rPr>
        <w:t>TRAC(</w:t>
      </w:r>
      <w:proofErr w:type="gramEnd"/>
      <w:r w:rsidRPr="00B93F46">
        <w:rPr>
          <w:rFonts w:cs="Arial"/>
        </w:rPr>
        <w:t>T) data. Identifiable provider data will not form part of the repo</w:t>
      </w:r>
      <w:r w:rsidRPr="004165C6">
        <w:rPr>
          <w:rFonts w:cs="Arial"/>
        </w:rPr>
        <w:t>rt to the Department for Education or in the published report, but should enable the contractor to provide more robust conclusions and descriptions of trends within the sector. Bidders should present their approach on the basis of this data being available, but also provide options for if this does not prove possible, with any consequences for timetable, cost and the project’s aims and objectives.</w:t>
      </w:r>
    </w:p>
    <w:p w14:paraId="6A8D891F" w14:textId="77777777" w:rsidR="00841BD9" w:rsidRDefault="00841BD9" w:rsidP="002F02E5">
      <w:pPr>
        <w:pStyle w:val="ListParagraph"/>
        <w:numPr>
          <w:ilvl w:val="0"/>
          <w:numId w:val="0"/>
        </w:numPr>
        <w:autoSpaceDE w:val="0"/>
        <w:autoSpaceDN w:val="0"/>
        <w:ind w:left="714"/>
        <w:rPr>
          <w:rFonts w:cs="Arial"/>
        </w:rPr>
      </w:pPr>
    </w:p>
    <w:p w14:paraId="52D24F1D" w14:textId="77777777" w:rsidR="00D27255" w:rsidRDefault="00D27255" w:rsidP="00364628">
      <w:pPr>
        <w:pStyle w:val="ListParagraph"/>
        <w:keepNext/>
        <w:keepLines/>
        <w:numPr>
          <w:ilvl w:val="0"/>
          <w:numId w:val="0"/>
        </w:numPr>
        <w:autoSpaceDE w:val="0"/>
        <w:autoSpaceDN w:val="0"/>
        <w:spacing w:after="150" w:line="259" w:lineRule="auto"/>
        <w:rPr>
          <w:rFonts w:cs="Arial"/>
          <w:b/>
        </w:rPr>
      </w:pPr>
    </w:p>
    <w:p w14:paraId="6931F81B" w14:textId="77777777" w:rsidR="00C326E9" w:rsidRPr="00364628" w:rsidRDefault="00C326E9" w:rsidP="00364628">
      <w:pPr>
        <w:pStyle w:val="ListParagraph"/>
        <w:keepNext/>
        <w:keepLines/>
        <w:numPr>
          <w:ilvl w:val="0"/>
          <w:numId w:val="0"/>
        </w:numPr>
        <w:autoSpaceDE w:val="0"/>
        <w:autoSpaceDN w:val="0"/>
        <w:spacing w:after="150" w:line="259" w:lineRule="auto"/>
        <w:rPr>
          <w:rFonts w:cs="Arial"/>
          <w:b/>
        </w:rPr>
      </w:pPr>
      <w:r w:rsidRPr="00364628">
        <w:rPr>
          <w:rFonts w:cs="Arial"/>
          <w:b/>
        </w:rPr>
        <w:t>Interviews with finance directors</w:t>
      </w:r>
    </w:p>
    <w:p w14:paraId="3D080537" w14:textId="77777777" w:rsidR="00C326E9" w:rsidRDefault="00C326E9" w:rsidP="00364628">
      <w:pPr>
        <w:pStyle w:val="ListParagraph"/>
        <w:keepNext/>
        <w:keepLines/>
        <w:numPr>
          <w:ilvl w:val="0"/>
          <w:numId w:val="0"/>
        </w:numPr>
        <w:autoSpaceDE w:val="0"/>
        <w:autoSpaceDN w:val="0"/>
        <w:spacing w:after="150" w:line="259" w:lineRule="auto"/>
        <w:ind w:left="714"/>
        <w:jc w:val="both"/>
        <w:rPr>
          <w:rFonts w:cs="Arial"/>
        </w:rPr>
      </w:pPr>
    </w:p>
    <w:p w14:paraId="427E33D1" w14:textId="77777777" w:rsidR="0028061C" w:rsidRDefault="00841BD9" w:rsidP="00364628">
      <w:pPr>
        <w:pStyle w:val="ListParagraph"/>
        <w:keepNext/>
        <w:keepLines/>
        <w:numPr>
          <w:ilvl w:val="0"/>
          <w:numId w:val="0"/>
        </w:numPr>
        <w:autoSpaceDE w:val="0"/>
        <w:autoSpaceDN w:val="0"/>
        <w:spacing w:after="150" w:line="259" w:lineRule="auto"/>
        <w:jc w:val="both"/>
        <w:rPr>
          <w:rFonts w:cs="Arial"/>
        </w:rPr>
      </w:pPr>
      <w:r w:rsidRPr="00EE417B">
        <w:rPr>
          <w:rFonts w:cs="Arial"/>
        </w:rPr>
        <w:t>Following the desktop review,</w:t>
      </w:r>
      <w:r w:rsidR="00C326E9">
        <w:rPr>
          <w:rFonts w:cs="Arial"/>
        </w:rPr>
        <w:t xml:space="preserve"> it is expected that the contractor will conduct a programme of </w:t>
      </w:r>
      <w:r w:rsidRPr="00EE417B">
        <w:rPr>
          <w:rFonts w:cs="Arial"/>
        </w:rPr>
        <w:t xml:space="preserve">semi-structured interviews with </w:t>
      </w:r>
      <w:r w:rsidR="00624A2E">
        <w:rPr>
          <w:rFonts w:cs="Arial"/>
        </w:rPr>
        <w:t>F</w:t>
      </w:r>
      <w:r w:rsidRPr="00EE417B">
        <w:rPr>
          <w:rFonts w:cs="Arial"/>
        </w:rPr>
        <w:t xml:space="preserve">inance </w:t>
      </w:r>
      <w:r w:rsidR="00624A2E">
        <w:rPr>
          <w:rFonts w:cs="Arial"/>
        </w:rPr>
        <w:t>Directors</w:t>
      </w:r>
      <w:r w:rsidR="00D92038">
        <w:rPr>
          <w:rFonts w:cs="Arial"/>
        </w:rPr>
        <w:t xml:space="preserve"> at some or potentiall</w:t>
      </w:r>
      <w:r w:rsidR="00D27255">
        <w:rPr>
          <w:rFonts w:cs="Arial"/>
        </w:rPr>
        <w:t>y</w:t>
      </w:r>
      <w:r w:rsidR="00D92038">
        <w:rPr>
          <w:rFonts w:cs="Arial"/>
        </w:rPr>
        <w:t xml:space="preserve"> all</w:t>
      </w:r>
      <w:r w:rsidR="00624A2E" w:rsidRPr="00EE417B">
        <w:rPr>
          <w:rFonts w:cs="Arial"/>
        </w:rPr>
        <w:t xml:space="preserve"> </w:t>
      </w:r>
      <w:r w:rsidR="00D92038">
        <w:rPr>
          <w:rFonts w:cs="Arial"/>
        </w:rPr>
        <w:t xml:space="preserve">of those </w:t>
      </w:r>
      <w:r w:rsidRPr="00EE417B">
        <w:rPr>
          <w:rFonts w:cs="Arial"/>
        </w:rPr>
        <w:t>providers</w:t>
      </w:r>
      <w:r w:rsidR="00D92038">
        <w:rPr>
          <w:rFonts w:cs="Arial"/>
        </w:rPr>
        <w:t xml:space="preserve"> taking part in the cost survey</w:t>
      </w:r>
      <w:r w:rsidRPr="00EE417B">
        <w:rPr>
          <w:rFonts w:cs="Arial"/>
        </w:rPr>
        <w:t>.</w:t>
      </w:r>
      <w:r w:rsidR="00D92038">
        <w:rPr>
          <w:rFonts w:cs="Arial"/>
        </w:rPr>
        <w:t xml:space="preserve"> We would be grateful for bidders</w:t>
      </w:r>
      <w:r w:rsidR="00D27255">
        <w:rPr>
          <w:rFonts w:cs="Arial"/>
        </w:rPr>
        <w:t>’</w:t>
      </w:r>
      <w:r w:rsidR="00D92038">
        <w:rPr>
          <w:rFonts w:cs="Arial"/>
        </w:rPr>
        <w:t xml:space="preserve"> views on how extensive this part of the research should be in order to achieve it</w:t>
      </w:r>
      <w:r w:rsidR="00D27255">
        <w:rPr>
          <w:rFonts w:cs="Arial"/>
        </w:rPr>
        <w:t>s</w:t>
      </w:r>
      <w:r w:rsidR="00D92038">
        <w:rPr>
          <w:rFonts w:cs="Arial"/>
        </w:rPr>
        <w:t xml:space="preserve"> aims. We see the purpose of these</w:t>
      </w:r>
      <w:r w:rsidRPr="00EE417B">
        <w:rPr>
          <w:rFonts w:cs="Arial"/>
        </w:rPr>
        <w:t xml:space="preserve"> discussions </w:t>
      </w:r>
      <w:r w:rsidR="00D27255">
        <w:rPr>
          <w:rFonts w:cs="Arial"/>
        </w:rPr>
        <w:t>being</w:t>
      </w:r>
      <w:r w:rsidR="00D92038">
        <w:rPr>
          <w:rFonts w:cs="Arial"/>
        </w:rPr>
        <w:t xml:space="preserve"> to provide a greater qualitative understanding of the cost data and how it influences provider decision making</w:t>
      </w:r>
      <w:r w:rsidR="00146F76">
        <w:rPr>
          <w:rFonts w:cs="Arial"/>
        </w:rPr>
        <w:t xml:space="preserve"> and over time</w:t>
      </w:r>
      <w:r w:rsidR="00D92038">
        <w:rPr>
          <w:rFonts w:cs="Arial"/>
        </w:rPr>
        <w:t xml:space="preserve">. </w:t>
      </w:r>
    </w:p>
    <w:p w14:paraId="292ED88F" w14:textId="77777777" w:rsidR="0028061C" w:rsidRDefault="0028061C" w:rsidP="00364628">
      <w:pPr>
        <w:pStyle w:val="ListParagraph"/>
        <w:keepNext/>
        <w:keepLines/>
        <w:numPr>
          <w:ilvl w:val="0"/>
          <w:numId w:val="0"/>
        </w:numPr>
        <w:autoSpaceDE w:val="0"/>
        <w:autoSpaceDN w:val="0"/>
        <w:spacing w:after="150" w:line="259" w:lineRule="auto"/>
        <w:jc w:val="both"/>
        <w:rPr>
          <w:rFonts w:cs="Arial"/>
        </w:rPr>
      </w:pPr>
    </w:p>
    <w:p w14:paraId="77BCEDE9" w14:textId="1A22193C" w:rsidR="00841BD9" w:rsidRPr="00EE417B" w:rsidRDefault="00D92038" w:rsidP="00364628">
      <w:pPr>
        <w:pStyle w:val="ListParagraph"/>
        <w:keepNext/>
        <w:keepLines/>
        <w:numPr>
          <w:ilvl w:val="0"/>
          <w:numId w:val="0"/>
        </w:numPr>
        <w:autoSpaceDE w:val="0"/>
        <w:autoSpaceDN w:val="0"/>
        <w:spacing w:after="150" w:line="259" w:lineRule="auto"/>
        <w:jc w:val="both"/>
        <w:rPr>
          <w:rFonts w:cs="Arial"/>
        </w:rPr>
      </w:pPr>
      <w:r>
        <w:rPr>
          <w:rFonts w:cs="Arial"/>
        </w:rPr>
        <w:t xml:space="preserve">We </w:t>
      </w:r>
      <w:r w:rsidR="00841BD9" w:rsidRPr="00EE417B">
        <w:rPr>
          <w:rFonts w:cs="Arial"/>
        </w:rPr>
        <w:t>would</w:t>
      </w:r>
      <w:r>
        <w:rPr>
          <w:rFonts w:cs="Arial"/>
        </w:rPr>
        <w:t xml:space="preserve"> anticipate them</w:t>
      </w:r>
      <w:r w:rsidR="00841BD9" w:rsidRPr="00EE417B">
        <w:rPr>
          <w:rFonts w:cs="Arial"/>
        </w:rPr>
        <w:t xml:space="preserve"> explor</w:t>
      </w:r>
      <w:r>
        <w:rPr>
          <w:rFonts w:cs="Arial"/>
        </w:rPr>
        <w:t>ing</w:t>
      </w:r>
      <w:r w:rsidR="00841BD9" w:rsidRPr="00EE417B">
        <w:rPr>
          <w:rFonts w:cs="Arial"/>
        </w:rPr>
        <w:t xml:space="preserve"> the methods and cost drivers used to allocate the costs,</w:t>
      </w:r>
      <w:r>
        <w:rPr>
          <w:rFonts w:cs="Arial"/>
        </w:rPr>
        <w:t xml:space="preserve"> including its strengths and weaknesses in the context of the research’s aims; how such data is used in insti</w:t>
      </w:r>
      <w:r w:rsidR="00620B4B">
        <w:rPr>
          <w:rFonts w:cs="Arial"/>
        </w:rPr>
        <w:t>t</w:t>
      </w:r>
      <w:r>
        <w:rPr>
          <w:rFonts w:cs="Arial"/>
        </w:rPr>
        <w:t>utions</w:t>
      </w:r>
      <w:r w:rsidR="00620B4B">
        <w:rPr>
          <w:rFonts w:cs="Arial"/>
        </w:rPr>
        <w:t>’</w:t>
      </w:r>
      <w:r>
        <w:rPr>
          <w:rFonts w:cs="Arial"/>
        </w:rPr>
        <w:t xml:space="preserve"> own strategic decision making –</w:t>
      </w:r>
      <w:r w:rsidR="00D27255">
        <w:rPr>
          <w:rFonts w:cs="Arial"/>
        </w:rPr>
        <w:t xml:space="preserve"> </w:t>
      </w:r>
      <w:r>
        <w:rPr>
          <w:rFonts w:cs="Arial"/>
        </w:rPr>
        <w:t>including subject mix offered; pricing strategy and the quality of teaching provision – recognising the interplay with both the ins</w:t>
      </w:r>
      <w:r w:rsidR="00620B4B">
        <w:rPr>
          <w:rFonts w:cs="Arial"/>
        </w:rPr>
        <w:t>t</w:t>
      </w:r>
      <w:r>
        <w:rPr>
          <w:rFonts w:cs="Arial"/>
        </w:rPr>
        <w:t>itutions</w:t>
      </w:r>
      <w:r w:rsidR="00620B4B">
        <w:rPr>
          <w:rFonts w:cs="Arial"/>
        </w:rPr>
        <w:t>’</w:t>
      </w:r>
      <w:r>
        <w:rPr>
          <w:rFonts w:cs="Arial"/>
        </w:rPr>
        <w:t xml:space="preserve"> own business model and market pressures; </w:t>
      </w:r>
      <w:r w:rsidR="00841BD9" w:rsidRPr="00EE417B">
        <w:rPr>
          <w:rFonts w:cs="Arial"/>
        </w:rPr>
        <w:t xml:space="preserve">and explore the factors behind the costs that in absolute or comparative terms </w:t>
      </w:r>
      <w:r w:rsidR="00841BD9">
        <w:rPr>
          <w:rFonts w:cs="Arial"/>
        </w:rPr>
        <w:t>are</w:t>
      </w:r>
      <w:r w:rsidR="00841BD9" w:rsidRPr="00EE417B">
        <w:rPr>
          <w:rFonts w:cs="Arial"/>
        </w:rPr>
        <w:t xml:space="preserve"> particularly high or low. </w:t>
      </w:r>
    </w:p>
    <w:p w14:paraId="6A6C8478" w14:textId="77777777" w:rsidR="00D27255" w:rsidRDefault="00D27255" w:rsidP="00841BD9">
      <w:pPr>
        <w:rPr>
          <w:rFonts w:cs="Arial"/>
        </w:rPr>
      </w:pPr>
    </w:p>
    <w:p w14:paraId="6022E53B" w14:textId="77777777" w:rsidR="00841BD9" w:rsidRDefault="00841BD9" w:rsidP="00841BD9">
      <w:pPr>
        <w:keepNext/>
        <w:keepLines/>
        <w:spacing w:after="120"/>
        <w:rPr>
          <w:rFonts w:cs="Arial"/>
          <w:b/>
        </w:rPr>
      </w:pPr>
      <w:r>
        <w:rPr>
          <w:rFonts w:cs="Arial"/>
          <w:b/>
        </w:rPr>
        <w:t>Selection of subject categories</w:t>
      </w:r>
    </w:p>
    <w:p w14:paraId="35C0E904" w14:textId="702ACE23" w:rsidR="00841BD9" w:rsidRDefault="008C009F" w:rsidP="00364628">
      <w:pPr>
        <w:jc w:val="both"/>
        <w:rPr>
          <w:rFonts w:cs="Arial"/>
        </w:rPr>
      </w:pPr>
      <w:r>
        <w:rPr>
          <w:rFonts w:cs="Arial"/>
        </w:rPr>
        <w:t>I</w:t>
      </w:r>
      <w:r w:rsidR="00841BD9">
        <w:rPr>
          <w:rFonts w:cs="Arial"/>
        </w:rPr>
        <w:t xml:space="preserve">n order to make the exercise manageable we aim to focus the work on </w:t>
      </w:r>
      <w:r w:rsidR="00501FFB">
        <w:rPr>
          <w:rFonts w:cs="Arial"/>
        </w:rPr>
        <w:t xml:space="preserve">an agreed range of subjects, </w:t>
      </w:r>
      <w:r w:rsidR="00841BD9">
        <w:rPr>
          <w:rFonts w:cs="Arial"/>
        </w:rPr>
        <w:t>no</w:t>
      </w:r>
      <w:r w:rsidR="00501FFB">
        <w:rPr>
          <w:rFonts w:cs="Arial"/>
        </w:rPr>
        <w:t xml:space="preserve">t anticipated to be </w:t>
      </w:r>
      <w:r w:rsidR="00841BD9">
        <w:rPr>
          <w:rFonts w:cs="Arial"/>
        </w:rPr>
        <w:t xml:space="preserve">more that 20-25 subject areas, spanning all </w:t>
      </w:r>
      <w:r w:rsidR="002326E1">
        <w:rPr>
          <w:rFonts w:cs="Arial"/>
        </w:rPr>
        <w:t xml:space="preserve">45 </w:t>
      </w:r>
      <w:proofErr w:type="gramStart"/>
      <w:r w:rsidR="00501FFB">
        <w:rPr>
          <w:rFonts w:cs="Arial"/>
        </w:rPr>
        <w:t>TRAC(</w:t>
      </w:r>
      <w:proofErr w:type="gramEnd"/>
      <w:r w:rsidR="00501FFB">
        <w:rPr>
          <w:rFonts w:cs="Arial"/>
        </w:rPr>
        <w:t>T) cost centres</w:t>
      </w:r>
      <w:r w:rsidR="00841BD9">
        <w:rPr>
          <w:rFonts w:cs="Arial"/>
        </w:rPr>
        <w:t xml:space="preserve">. The exact subject </w:t>
      </w:r>
      <w:r w:rsidR="00501FFB">
        <w:rPr>
          <w:rFonts w:cs="Arial"/>
        </w:rPr>
        <w:t xml:space="preserve">types </w:t>
      </w:r>
      <w:r w:rsidR="00841BD9">
        <w:rPr>
          <w:rFonts w:cs="Arial"/>
        </w:rPr>
        <w:t>will be agreed in consultation with the contractor.</w:t>
      </w:r>
    </w:p>
    <w:p w14:paraId="44B81D76" w14:textId="77777777" w:rsidR="00AC094A" w:rsidRPr="00EE417B" w:rsidRDefault="00AC094A" w:rsidP="00841BD9">
      <w:pPr>
        <w:autoSpaceDE w:val="0"/>
        <w:autoSpaceDN w:val="0"/>
        <w:rPr>
          <w:rFonts w:cs="Arial"/>
        </w:rPr>
      </w:pPr>
    </w:p>
    <w:p w14:paraId="664F1DFE" w14:textId="77777777" w:rsidR="00841BD9" w:rsidRPr="00ED3874" w:rsidRDefault="003F44B9" w:rsidP="00364628">
      <w:pPr>
        <w:keepNext/>
        <w:autoSpaceDE w:val="0"/>
        <w:autoSpaceDN w:val="0"/>
        <w:spacing w:after="200" w:line="276" w:lineRule="auto"/>
        <w:rPr>
          <w:rFonts w:cs="Arial"/>
          <w:b/>
        </w:rPr>
      </w:pPr>
      <w:r>
        <w:rPr>
          <w:rFonts w:cs="Arial"/>
          <w:b/>
        </w:rPr>
        <w:t xml:space="preserve">Understanding of </w:t>
      </w:r>
      <w:r w:rsidR="005C723D">
        <w:rPr>
          <w:rFonts w:cs="Arial"/>
          <w:b/>
        </w:rPr>
        <w:t>c</w:t>
      </w:r>
      <w:r>
        <w:rPr>
          <w:rFonts w:cs="Arial"/>
          <w:b/>
        </w:rPr>
        <w:t xml:space="preserve">ost </w:t>
      </w:r>
      <w:r w:rsidR="005C723D">
        <w:rPr>
          <w:rFonts w:cs="Arial"/>
          <w:b/>
        </w:rPr>
        <w:t>d</w:t>
      </w:r>
      <w:r>
        <w:rPr>
          <w:rFonts w:cs="Arial"/>
          <w:b/>
        </w:rPr>
        <w:t>rivers</w:t>
      </w:r>
      <w:r w:rsidR="00841BD9" w:rsidRPr="00ED3874">
        <w:rPr>
          <w:rFonts w:cs="Arial"/>
          <w:b/>
        </w:rPr>
        <w:t xml:space="preserve"> </w:t>
      </w:r>
    </w:p>
    <w:p w14:paraId="6E22EB0E" w14:textId="17FB2B87" w:rsidR="00841BD9" w:rsidRPr="00364628" w:rsidRDefault="003F44B9" w:rsidP="00364628">
      <w:pPr>
        <w:keepNext/>
        <w:keepLines/>
        <w:spacing w:after="120"/>
        <w:jc w:val="both"/>
        <w:rPr>
          <w:rFonts w:cs="Arial"/>
        </w:rPr>
      </w:pPr>
      <w:r>
        <w:rPr>
          <w:rFonts w:cs="Arial"/>
        </w:rPr>
        <w:t>Following the data collection, t</w:t>
      </w:r>
      <w:r w:rsidRPr="00EE417B">
        <w:rPr>
          <w:rFonts w:cs="Arial"/>
        </w:rPr>
        <w:t xml:space="preserve">he </w:t>
      </w:r>
      <w:r w:rsidR="00841BD9" w:rsidRPr="00EE417B">
        <w:rPr>
          <w:rFonts w:cs="Arial"/>
        </w:rPr>
        <w:t xml:space="preserve">contractor </w:t>
      </w:r>
      <w:r w:rsidR="00841BD9">
        <w:rPr>
          <w:rFonts w:cs="Arial"/>
        </w:rPr>
        <w:t>would be expected</w:t>
      </w:r>
      <w:r w:rsidR="00841BD9" w:rsidRPr="00EE417B">
        <w:rPr>
          <w:rFonts w:cs="Arial"/>
        </w:rPr>
        <w:t xml:space="preserve"> to </w:t>
      </w:r>
      <w:r>
        <w:rPr>
          <w:rFonts w:cs="Arial"/>
        </w:rPr>
        <w:t>explore the direct and indirect costs associated with providing different subject types in</w:t>
      </w:r>
      <w:r w:rsidR="00841BD9" w:rsidRPr="00EE417B">
        <w:rPr>
          <w:rFonts w:cs="Arial"/>
        </w:rPr>
        <w:t xml:space="preserve"> </w:t>
      </w:r>
      <w:r w:rsidR="00841BD9">
        <w:rPr>
          <w:rFonts w:cs="Arial"/>
        </w:rPr>
        <w:t>more depth</w:t>
      </w:r>
      <w:r>
        <w:rPr>
          <w:rFonts w:cs="Arial"/>
        </w:rPr>
        <w:t>; in particular exploring the reasons for differences in cost that exist across institutions.</w:t>
      </w:r>
      <w:r w:rsidR="00841BD9">
        <w:rPr>
          <w:rFonts w:cs="Arial"/>
        </w:rPr>
        <w:t xml:space="preserve"> </w:t>
      </w:r>
      <w:r w:rsidR="0028061C">
        <w:rPr>
          <w:rFonts w:cs="Arial"/>
        </w:rPr>
        <w:t xml:space="preserve">It is expected the additional information and evidence gathered from the </w:t>
      </w:r>
      <w:r w:rsidR="0080473D">
        <w:rPr>
          <w:rFonts w:cs="Arial"/>
        </w:rPr>
        <w:t>programme of semi-structured interviews with Finance Director</w:t>
      </w:r>
      <w:r w:rsidR="004165C6">
        <w:rPr>
          <w:rFonts w:cs="Arial"/>
        </w:rPr>
        <w:t>s</w:t>
      </w:r>
      <w:r w:rsidR="0080473D">
        <w:rPr>
          <w:rFonts w:cs="Arial"/>
        </w:rPr>
        <w:t xml:space="preserve"> will complement the quantitative data collection and analysis.</w:t>
      </w:r>
    </w:p>
    <w:p w14:paraId="4CA05D63" w14:textId="77777777" w:rsidR="00D27255" w:rsidRDefault="00D27255" w:rsidP="00841BD9">
      <w:pPr>
        <w:keepNext/>
        <w:keepLines/>
        <w:spacing w:after="120"/>
        <w:rPr>
          <w:rFonts w:cs="Arial"/>
          <w:b/>
        </w:rPr>
      </w:pPr>
    </w:p>
    <w:p w14:paraId="3F2B8EFC" w14:textId="77777777" w:rsidR="00841BD9" w:rsidRDefault="00841BD9" w:rsidP="00841BD9">
      <w:pPr>
        <w:keepNext/>
        <w:keepLines/>
        <w:spacing w:after="120"/>
        <w:rPr>
          <w:rFonts w:cs="Arial"/>
          <w:b/>
        </w:rPr>
      </w:pPr>
      <w:r w:rsidRPr="00160817">
        <w:rPr>
          <w:rFonts w:cs="Arial"/>
          <w:b/>
        </w:rPr>
        <w:t>Sampling of providers</w:t>
      </w:r>
    </w:p>
    <w:p w14:paraId="0519223B" w14:textId="77777777" w:rsidR="00841BD9" w:rsidRDefault="00841BD9" w:rsidP="00364628">
      <w:pPr>
        <w:jc w:val="both"/>
        <w:rPr>
          <w:rFonts w:cs="Arial"/>
        </w:rPr>
      </w:pPr>
      <w:r>
        <w:rPr>
          <w:rFonts w:cs="Arial"/>
        </w:rPr>
        <w:t xml:space="preserve">The contractor should advise on the sampling strategy for HE providers for data collection and analysis. </w:t>
      </w:r>
      <w:proofErr w:type="gramStart"/>
      <w:r>
        <w:rPr>
          <w:rFonts w:cs="Arial"/>
        </w:rPr>
        <w:t>to</w:t>
      </w:r>
      <w:proofErr w:type="gramEnd"/>
      <w:r>
        <w:rPr>
          <w:rFonts w:cs="Arial"/>
        </w:rPr>
        <w:t xml:space="preserve"> ensure a representative sample reflecting</w:t>
      </w:r>
      <w:r w:rsidR="001911F8">
        <w:rPr>
          <w:rFonts w:cs="Arial"/>
        </w:rPr>
        <w:t xml:space="preserve"> factors such as</w:t>
      </w:r>
      <w:r>
        <w:rPr>
          <w:rFonts w:cs="Arial"/>
        </w:rPr>
        <w:t>:</w:t>
      </w:r>
    </w:p>
    <w:p w14:paraId="3042EC41" w14:textId="77777777" w:rsidR="00841BD9" w:rsidRDefault="00841BD9" w:rsidP="00364628">
      <w:pPr>
        <w:pStyle w:val="ListParagraph"/>
        <w:numPr>
          <w:ilvl w:val="0"/>
          <w:numId w:val="31"/>
        </w:numPr>
        <w:spacing w:after="200" w:line="276" w:lineRule="auto"/>
        <w:jc w:val="both"/>
        <w:rPr>
          <w:rFonts w:cs="Arial"/>
        </w:rPr>
      </w:pPr>
      <w:r>
        <w:rPr>
          <w:rFonts w:cs="Arial"/>
        </w:rPr>
        <w:t>Type of institution (HEFCE-funded HEI, privately funded Alternative Provider)</w:t>
      </w:r>
    </w:p>
    <w:p w14:paraId="126E43A5" w14:textId="77777777" w:rsidR="00841BD9" w:rsidRDefault="00841BD9" w:rsidP="00364628">
      <w:pPr>
        <w:pStyle w:val="ListParagraph"/>
        <w:numPr>
          <w:ilvl w:val="0"/>
          <w:numId w:val="31"/>
        </w:numPr>
        <w:spacing w:after="200" w:line="276" w:lineRule="auto"/>
        <w:jc w:val="both"/>
        <w:rPr>
          <w:rFonts w:cs="Arial"/>
        </w:rPr>
      </w:pPr>
      <w:r w:rsidRPr="00D941F4">
        <w:rPr>
          <w:rFonts w:cs="Arial"/>
        </w:rPr>
        <w:t>Size</w:t>
      </w:r>
      <w:r>
        <w:rPr>
          <w:rFonts w:cs="Arial"/>
        </w:rPr>
        <w:t xml:space="preserve"> of institution (based on student numbers)</w:t>
      </w:r>
    </w:p>
    <w:p w14:paraId="2B25D61A" w14:textId="77777777" w:rsidR="00841BD9" w:rsidRDefault="00841BD9" w:rsidP="00364628">
      <w:pPr>
        <w:pStyle w:val="ListParagraph"/>
        <w:numPr>
          <w:ilvl w:val="0"/>
          <w:numId w:val="31"/>
        </w:numPr>
        <w:spacing w:after="200" w:line="276" w:lineRule="auto"/>
        <w:jc w:val="both"/>
        <w:rPr>
          <w:rFonts w:cs="Arial"/>
        </w:rPr>
      </w:pPr>
      <w:r w:rsidRPr="00D941F4">
        <w:rPr>
          <w:rFonts w:cs="Arial"/>
        </w:rPr>
        <w:t>R</w:t>
      </w:r>
      <w:r>
        <w:rPr>
          <w:rFonts w:cs="Arial"/>
        </w:rPr>
        <w:t>egion</w:t>
      </w:r>
    </w:p>
    <w:p w14:paraId="65937005" w14:textId="77777777" w:rsidR="00841BD9" w:rsidRDefault="00841BD9" w:rsidP="00364628">
      <w:pPr>
        <w:pStyle w:val="ListParagraph"/>
        <w:numPr>
          <w:ilvl w:val="0"/>
          <w:numId w:val="31"/>
        </w:numPr>
        <w:spacing w:after="200" w:line="276" w:lineRule="auto"/>
        <w:jc w:val="both"/>
        <w:rPr>
          <w:rFonts w:cs="Arial"/>
        </w:rPr>
      </w:pPr>
      <w:r w:rsidRPr="00D941F4">
        <w:rPr>
          <w:rFonts w:cs="Arial"/>
        </w:rPr>
        <w:t xml:space="preserve">TEF ranking </w:t>
      </w:r>
    </w:p>
    <w:p w14:paraId="643D6215" w14:textId="77777777" w:rsidR="00841BD9" w:rsidRDefault="00841BD9" w:rsidP="00364628">
      <w:pPr>
        <w:pStyle w:val="ListParagraph"/>
        <w:numPr>
          <w:ilvl w:val="0"/>
          <w:numId w:val="31"/>
        </w:numPr>
        <w:spacing w:after="200" w:line="276" w:lineRule="auto"/>
        <w:jc w:val="both"/>
        <w:rPr>
          <w:rFonts w:cs="Arial"/>
        </w:rPr>
      </w:pPr>
      <w:r>
        <w:rPr>
          <w:rFonts w:cs="Arial"/>
        </w:rPr>
        <w:t xml:space="preserve">TRAC (high-cost) </w:t>
      </w:r>
      <w:r w:rsidRPr="00D941F4">
        <w:rPr>
          <w:rFonts w:cs="Arial"/>
        </w:rPr>
        <w:t>grouping</w:t>
      </w:r>
      <w:r>
        <w:rPr>
          <w:rFonts w:cs="Arial"/>
        </w:rPr>
        <w:t xml:space="preserve"> / subject mix</w:t>
      </w:r>
    </w:p>
    <w:p w14:paraId="21E8998C" w14:textId="77777777" w:rsidR="00841BD9" w:rsidRDefault="00624A2E" w:rsidP="00364628">
      <w:pPr>
        <w:pStyle w:val="ListParagraph"/>
        <w:numPr>
          <w:ilvl w:val="0"/>
          <w:numId w:val="31"/>
        </w:numPr>
        <w:spacing w:after="200" w:line="276" w:lineRule="auto"/>
        <w:jc w:val="both"/>
        <w:rPr>
          <w:rFonts w:cs="Arial"/>
        </w:rPr>
      </w:pPr>
      <w:r>
        <w:rPr>
          <w:rFonts w:cs="Arial"/>
        </w:rPr>
        <w:t>Research intensity</w:t>
      </w:r>
    </w:p>
    <w:p w14:paraId="73574222" w14:textId="77777777" w:rsidR="001717CE" w:rsidRDefault="001717CE" w:rsidP="00364628">
      <w:pPr>
        <w:pStyle w:val="ListParagraph"/>
        <w:numPr>
          <w:ilvl w:val="0"/>
          <w:numId w:val="31"/>
        </w:numPr>
        <w:spacing w:after="200" w:line="276" w:lineRule="auto"/>
        <w:jc w:val="both"/>
        <w:rPr>
          <w:rFonts w:cs="Arial"/>
        </w:rPr>
      </w:pPr>
      <w:r>
        <w:rPr>
          <w:rFonts w:cs="Arial"/>
        </w:rPr>
        <w:t>Specialist teaching institution</w:t>
      </w:r>
    </w:p>
    <w:p w14:paraId="75910DFB" w14:textId="77777777" w:rsidR="00B1449C" w:rsidRDefault="00841BD9" w:rsidP="00364628">
      <w:pPr>
        <w:jc w:val="both"/>
        <w:rPr>
          <w:rFonts w:cs="Arial"/>
        </w:rPr>
      </w:pPr>
      <w:r w:rsidRPr="00ED3874">
        <w:rPr>
          <w:rFonts w:cs="Arial"/>
        </w:rPr>
        <w:t>The contractor would be expected</w:t>
      </w:r>
      <w:r>
        <w:rPr>
          <w:rFonts w:cs="Arial"/>
        </w:rPr>
        <w:t xml:space="preserve"> to engage pro-actively with sector stakeholder groups across </w:t>
      </w:r>
      <w:proofErr w:type="gramStart"/>
      <w:r>
        <w:rPr>
          <w:rFonts w:cs="Arial"/>
        </w:rPr>
        <w:t>HE</w:t>
      </w:r>
      <w:proofErr w:type="gramEnd"/>
      <w:r>
        <w:rPr>
          <w:rFonts w:cs="Arial"/>
        </w:rPr>
        <w:t xml:space="preserve"> to raise awareness of the costing study and encourage participation.</w:t>
      </w:r>
    </w:p>
    <w:p w14:paraId="58D24B4C" w14:textId="77777777" w:rsidR="002F02E5" w:rsidRDefault="002F02E5" w:rsidP="002F02E5">
      <w:pPr>
        <w:spacing w:after="0" w:line="240" w:lineRule="auto"/>
        <w:rPr>
          <w:rFonts w:cs="Arial"/>
          <w:b/>
        </w:rPr>
      </w:pPr>
    </w:p>
    <w:p w14:paraId="169F78DB" w14:textId="77777777" w:rsidR="0017026A" w:rsidRDefault="0017026A">
      <w:pPr>
        <w:spacing w:after="0" w:line="240" w:lineRule="auto"/>
        <w:rPr>
          <w:rFonts w:cs="Arial"/>
          <w:b/>
        </w:rPr>
      </w:pPr>
      <w:r>
        <w:rPr>
          <w:rFonts w:cs="Arial"/>
          <w:b/>
        </w:rPr>
        <w:br w:type="page"/>
      </w:r>
    </w:p>
    <w:p w14:paraId="7EEC1FA7" w14:textId="77777777" w:rsidR="00B1449C" w:rsidRDefault="00B1449C" w:rsidP="002F02E5">
      <w:pPr>
        <w:spacing w:after="0" w:line="240" w:lineRule="auto"/>
        <w:rPr>
          <w:rFonts w:cs="Arial"/>
          <w:b/>
        </w:rPr>
      </w:pPr>
      <w:r>
        <w:rPr>
          <w:rFonts w:cs="Arial"/>
          <w:b/>
        </w:rPr>
        <w:t>Report write-up</w:t>
      </w:r>
    </w:p>
    <w:p w14:paraId="43874F6A" w14:textId="77777777" w:rsidR="0017026A" w:rsidRDefault="0017026A" w:rsidP="001623C5">
      <w:pPr>
        <w:rPr>
          <w:rFonts w:cs="Arial"/>
        </w:rPr>
      </w:pPr>
    </w:p>
    <w:p w14:paraId="38FE7830" w14:textId="77777777" w:rsidR="00B1449C" w:rsidRPr="00B1449C" w:rsidRDefault="00B1449C" w:rsidP="001623C5">
      <w:pPr>
        <w:rPr>
          <w:rFonts w:cs="Arial"/>
        </w:rPr>
      </w:pPr>
      <w:r w:rsidRPr="00B1449C">
        <w:rPr>
          <w:rFonts w:cs="Arial"/>
        </w:rPr>
        <w:t xml:space="preserve">All analysis and discussion should be written up into the format of a </w:t>
      </w:r>
      <w:hyperlink r:id="rId14" w:history="1">
        <w:r w:rsidRPr="00B1449C">
          <w:rPr>
            <w:rStyle w:val="Hyperlink"/>
            <w:rFonts w:cs="Arial"/>
            <w:sz w:val="22"/>
          </w:rPr>
          <w:t>DfE Research Report</w:t>
        </w:r>
      </w:hyperlink>
      <w:r w:rsidRPr="00B1449C">
        <w:rPr>
          <w:rFonts w:cs="Arial"/>
        </w:rPr>
        <w:t>.</w:t>
      </w:r>
      <w:r>
        <w:rPr>
          <w:rFonts w:cs="Arial"/>
        </w:rPr>
        <w:t xml:space="preserve"> </w:t>
      </w:r>
    </w:p>
    <w:p w14:paraId="1555ABBF" w14:textId="77777777" w:rsidR="004A600B" w:rsidRDefault="004A600B" w:rsidP="001F2CE2">
      <w:pPr>
        <w:pStyle w:val="Heading2"/>
      </w:pPr>
      <w:r>
        <w:t>Timing</w:t>
      </w:r>
    </w:p>
    <w:p w14:paraId="12AA7DDB" w14:textId="77777777" w:rsidR="00D92038" w:rsidRPr="00D92038" w:rsidRDefault="00D92038" w:rsidP="00364628">
      <w:pPr>
        <w:jc w:val="both"/>
      </w:pPr>
      <w:r>
        <w:t xml:space="preserve">This piece of research is designed to inform both the work of the Review Panel that will provide independent advice to Government on the 18+ Education and Funding Review and any consequent decisions made by Government. We are therefore looking for it to feed into </w:t>
      </w:r>
      <w:r w:rsidR="005D0EBC">
        <w:t xml:space="preserve">key </w:t>
      </w:r>
      <w:r>
        <w:t xml:space="preserve">milestones for the review. </w:t>
      </w:r>
      <w:r w:rsidR="005D0EBC">
        <w:t xml:space="preserve">In particular, we are looking for as much of the project’s aims to be realised through the delivery of an interim report in </w:t>
      </w:r>
      <w:r w:rsidR="005D0EBC" w:rsidRPr="004165C6">
        <w:t>June/July</w:t>
      </w:r>
      <w:r w:rsidR="005D0EBC">
        <w:t xml:space="preserve">, though final completion should by November. Bidders should make it clear what results they expect will be available in </w:t>
      </w:r>
      <w:r w:rsidR="005D0EBC" w:rsidRPr="004165C6">
        <w:t>June/July</w:t>
      </w:r>
      <w:r w:rsidR="005D0EBC">
        <w:t xml:space="preserve"> and how this will support the work of the Review Panel at that stage in beginning to formulate its advice.</w:t>
      </w:r>
    </w:p>
    <w:p w14:paraId="31AAE844" w14:textId="340A2FDC" w:rsidR="00E306CC" w:rsidRPr="000D7777" w:rsidRDefault="00E306CC" w:rsidP="00364628">
      <w:pPr>
        <w:jc w:val="both"/>
        <w:rPr>
          <w:rFonts w:cs="Arial"/>
        </w:rPr>
      </w:pPr>
      <w:r w:rsidRPr="000D7777">
        <w:rPr>
          <w:rFonts w:cs="Arial"/>
        </w:rPr>
        <w:t>Expressions of Interest</w:t>
      </w:r>
      <w:r w:rsidR="00E23A45">
        <w:rPr>
          <w:rFonts w:cs="Arial"/>
        </w:rPr>
        <w:t xml:space="preserve"> submitted</w:t>
      </w:r>
      <w:r w:rsidRPr="000D7777">
        <w:rPr>
          <w:rFonts w:cs="Arial"/>
        </w:rPr>
        <w:t xml:space="preserve">: </w:t>
      </w:r>
      <w:r w:rsidR="00D27255">
        <w:rPr>
          <w:rFonts w:cs="Arial"/>
        </w:rPr>
        <w:t>9</w:t>
      </w:r>
      <w:r w:rsidR="00D27255" w:rsidRPr="00364628">
        <w:rPr>
          <w:rFonts w:cs="Arial"/>
          <w:vertAlign w:val="superscript"/>
        </w:rPr>
        <w:t>th</w:t>
      </w:r>
      <w:r w:rsidR="00D27255">
        <w:rPr>
          <w:rFonts w:cs="Arial"/>
        </w:rPr>
        <w:t xml:space="preserve"> </w:t>
      </w:r>
      <w:r w:rsidR="000356E8">
        <w:rPr>
          <w:rFonts w:cs="Arial"/>
        </w:rPr>
        <w:t>April</w:t>
      </w:r>
      <w:r w:rsidR="000356E8" w:rsidRPr="0037418F">
        <w:rPr>
          <w:rFonts w:cs="Arial"/>
        </w:rPr>
        <w:t xml:space="preserve"> </w:t>
      </w:r>
      <w:r w:rsidR="00B1449C" w:rsidRPr="0037418F">
        <w:rPr>
          <w:rFonts w:cs="Arial"/>
        </w:rPr>
        <w:t>2018</w:t>
      </w:r>
    </w:p>
    <w:p w14:paraId="049D4AE7" w14:textId="7BBCA33A" w:rsidR="00E306CC" w:rsidRPr="0037418F" w:rsidRDefault="00E306CC" w:rsidP="00364628">
      <w:pPr>
        <w:jc w:val="both"/>
        <w:rPr>
          <w:rFonts w:cs="Arial"/>
        </w:rPr>
      </w:pPr>
      <w:r w:rsidRPr="000D7777">
        <w:rPr>
          <w:rFonts w:cs="Arial"/>
        </w:rPr>
        <w:t>Invitations to tender</w:t>
      </w:r>
      <w:r w:rsidR="00E23A45">
        <w:rPr>
          <w:rFonts w:cs="Arial"/>
        </w:rPr>
        <w:t xml:space="preserve"> submitted</w:t>
      </w:r>
      <w:r w:rsidRPr="0037418F">
        <w:rPr>
          <w:rFonts w:cs="Arial"/>
        </w:rPr>
        <w:t xml:space="preserve">: </w:t>
      </w:r>
      <w:r w:rsidR="00BD4EBF">
        <w:rPr>
          <w:rFonts w:cs="Arial"/>
        </w:rPr>
        <w:t>20</w:t>
      </w:r>
      <w:r w:rsidR="002F02E5" w:rsidRPr="0037418F">
        <w:rPr>
          <w:rFonts w:cs="Arial"/>
          <w:vertAlign w:val="superscript"/>
        </w:rPr>
        <w:t>th</w:t>
      </w:r>
      <w:r w:rsidR="002F02E5" w:rsidRPr="0037418F">
        <w:rPr>
          <w:rFonts w:cs="Arial"/>
        </w:rPr>
        <w:t xml:space="preserve"> April</w:t>
      </w:r>
      <w:r w:rsidR="00B1449C" w:rsidRPr="0037418F">
        <w:rPr>
          <w:rFonts w:cs="Arial"/>
        </w:rPr>
        <w:t xml:space="preserve"> 2018</w:t>
      </w:r>
      <w:r w:rsidR="00BD4EBF">
        <w:rPr>
          <w:rFonts w:cs="Arial"/>
        </w:rPr>
        <w:t xml:space="preserve"> </w:t>
      </w:r>
    </w:p>
    <w:p w14:paraId="214F3D5D" w14:textId="0AD868F0" w:rsidR="00E306CC" w:rsidRPr="0037418F" w:rsidRDefault="00E306CC" w:rsidP="00364628">
      <w:pPr>
        <w:jc w:val="both"/>
        <w:rPr>
          <w:rFonts w:cs="Arial"/>
        </w:rPr>
      </w:pPr>
      <w:r w:rsidRPr="0037418F">
        <w:rPr>
          <w:rFonts w:cs="Arial"/>
        </w:rPr>
        <w:t xml:space="preserve">Contract awarded/project start: </w:t>
      </w:r>
      <w:r w:rsidR="004165C6">
        <w:rPr>
          <w:rFonts w:cs="Arial"/>
        </w:rPr>
        <w:t>30</w:t>
      </w:r>
      <w:r w:rsidR="004165C6">
        <w:rPr>
          <w:rFonts w:cs="Arial"/>
          <w:vertAlign w:val="superscript"/>
        </w:rPr>
        <w:t>th</w:t>
      </w:r>
      <w:r w:rsidR="00E23A45" w:rsidRPr="0037418F">
        <w:rPr>
          <w:rFonts w:cs="Arial"/>
        </w:rPr>
        <w:t xml:space="preserve"> April</w:t>
      </w:r>
      <w:r w:rsidR="00B1449C" w:rsidRPr="0037418F">
        <w:rPr>
          <w:rFonts w:cs="Arial"/>
        </w:rPr>
        <w:t xml:space="preserve"> 201</w:t>
      </w:r>
      <w:r w:rsidR="000D7777" w:rsidRPr="0037418F">
        <w:rPr>
          <w:rFonts w:cs="Arial"/>
        </w:rPr>
        <w:t>8</w:t>
      </w:r>
    </w:p>
    <w:p w14:paraId="77F1CA29" w14:textId="77777777" w:rsidR="00C32F0B" w:rsidRPr="0037418F" w:rsidRDefault="00C32F0B" w:rsidP="00364628">
      <w:pPr>
        <w:jc w:val="both"/>
        <w:rPr>
          <w:rFonts w:cs="Arial"/>
        </w:rPr>
      </w:pPr>
      <w:r w:rsidRPr="0037418F">
        <w:rPr>
          <w:rFonts w:cs="Arial"/>
        </w:rPr>
        <w:t xml:space="preserve">Interim viability/ progress review and continuation checkpoint: </w:t>
      </w:r>
      <w:r w:rsidR="000356E8">
        <w:rPr>
          <w:rFonts w:cs="Arial"/>
        </w:rPr>
        <w:t>7th</w:t>
      </w:r>
      <w:r w:rsidRPr="0037418F">
        <w:rPr>
          <w:rFonts w:cs="Arial"/>
        </w:rPr>
        <w:t xml:space="preserve"> </w:t>
      </w:r>
      <w:r w:rsidR="000356E8">
        <w:rPr>
          <w:rFonts w:cs="Arial"/>
        </w:rPr>
        <w:t>May</w:t>
      </w:r>
      <w:r w:rsidR="000356E8" w:rsidRPr="0037418F">
        <w:rPr>
          <w:rFonts w:cs="Arial"/>
        </w:rPr>
        <w:t xml:space="preserve"> </w:t>
      </w:r>
      <w:r w:rsidRPr="0037418F">
        <w:rPr>
          <w:rFonts w:cs="Arial"/>
        </w:rPr>
        <w:t>2018</w:t>
      </w:r>
    </w:p>
    <w:p w14:paraId="11E57BA3" w14:textId="77777777" w:rsidR="00B1449C" w:rsidRPr="0037418F" w:rsidRDefault="0042468D" w:rsidP="00364628">
      <w:pPr>
        <w:jc w:val="both"/>
        <w:rPr>
          <w:rFonts w:cs="Arial"/>
        </w:rPr>
      </w:pPr>
      <w:r w:rsidRPr="0037418F">
        <w:rPr>
          <w:rFonts w:cs="Arial"/>
        </w:rPr>
        <w:t xml:space="preserve">Interim </w:t>
      </w:r>
      <w:r w:rsidR="00936CE1" w:rsidRPr="0037418F">
        <w:rPr>
          <w:rFonts w:cs="Arial"/>
        </w:rPr>
        <w:t>d</w:t>
      </w:r>
      <w:r w:rsidR="00B1449C" w:rsidRPr="0037418F">
        <w:rPr>
          <w:rFonts w:cs="Arial"/>
        </w:rPr>
        <w:t>raft report due:</w:t>
      </w:r>
      <w:r w:rsidR="000D7777" w:rsidRPr="0037418F">
        <w:rPr>
          <w:rFonts w:cs="Arial"/>
        </w:rPr>
        <w:t xml:space="preserve"> </w:t>
      </w:r>
      <w:r w:rsidR="001911F8">
        <w:rPr>
          <w:rFonts w:cs="Arial"/>
        </w:rPr>
        <w:t>June</w:t>
      </w:r>
      <w:r w:rsidR="000356E8">
        <w:rPr>
          <w:rFonts w:cs="Arial"/>
        </w:rPr>
        <w:t>/July</w:t>
      </w:r>
      <w:r w:rsidR="006B1BFA" w:rsidRPr="0037418F">
        <w:rPr>
          <w:rFonts w:cs="Arial"/>
        </w:rPr>
        <w:t xml:space="preserve"> </w:t>
      </w:r>
      <w:r w:rsidR="001911F8">
        <w:rPr>
          <w:rFonts w:cs="Arial"/>
        </w:rPr>
        <w:t>(</w:t>
      </w:r>
      <w:r w:rsidR="006B1BFA" w:rsidRPr="0037418F">
        <w:rPr>
          <w:rFonts w:cs="Arial"/>
        </w:rPr>
        <w:t>TBC</w:t>
      </w:r>
      <w:r w:rsidR="001911F8">
        <w:rPr>
          <w:rFonts w:cs="Arial"/>
        </w:rPr>
        <w:t>)</w:t>
      </w:r>
      <w:r w:rsidR="006B1BFA" w:rsidRPr="0037418F">
        <w:rPr>
          <w:rFonts w:cs="Arial"/>
        </w:rPr>
        <w:t xml:space="preserve"> </w:t>
      </w:r>
    </w:p>
    <w:p w14:paraId="2BC4CFB1" w14:textId="77777777" w:rsidR="0042468D" w:rsidRPr="0037418F" w:rsidRDefault="0042468D" w:rsidP="00364628">
      <w:pPr>
        <w:jc w:val="both"/>
        <w:rPr>
          <w:rFonts w:cs="Arial"/>
        </w:rPr>
      </w:pPr>
      <w:r w:rsidRPr="0037418F">
        <w:rPr>
          <w:rFonts w:cs="Arial"/>
        </w:rPr>
        <w:t xml:space="preserve">Full report due: </w:t>
      </w:r>
      <w:r w:rsidR="001911F8">
        <w:rPr>
          <w:rFonts w:cs="Arial"/>
        </w:rPr>
        <w:t>November</w:t>
      </w:r>
      <w:r w:rsidR="001911F8" w:rsidRPr="0037418F">
        <w:rPr>
          <w:rFonts w:cs="Arial"/>
        </w:rPr>
        <w:t xml:space="preserve"> </w:t>
      </w:r>
      <w:r w:rsidR="001911F8">
        <w:rPr>
          <w:rFonts w:cs="Arial"/>
        </w:rPr>
        <w:t>(</w:t>
      </w:r>
      <w:r w:rsidRPr="0037418F">
        <w:rPr>
          <w:rFonts w:cs="Arial"/>
        </w:rPr>
        <w:t>TBC</w:t>
      </w:r>
      <w:r w:rsidR="001911F8">
        <w:rPr>
          <w:rFonts w:cs="Arial"/>
        </w:rPr>
        <w:t>)</w:t>
      </w:r>
    </w:p>
    <w:p w14:paraId="38608AF9" w14:textId="47718E47" w:rsidR="00E306CC" w:rsidRDefault="00E306CC" w:rsidP="00364628">
      <w:pPr>
        <w:jc w:val="both"/>
        <w:rPr>
          <w:rFonts w:cs="Arial"/>
        </w:rPr>
      </w:pPr>
      <w:r w:rsidRPr="0037418F">
        <w:rPr>
          <w:rFonts w:cs="Arial"/>
        </w:rPr>
        <w:t>Final</w:t>
      </w:r>
      <w:r w:rsidR="00EB4347" w:rsidRPr="0037418F">
        <w:rPr>
          <w:rFonts w:cs="Arial"/>
        </w:rPr>
        <w:t>ised</w:t>
      </w:r>
      <w:r w:rsidRPr="0037418F">
        <w:rPr>
          <w:rFonts w:cs="Arial"/>
        </w:rPr>
        <w:t xml:space="preserve"> report due</w:t>
      </w:r>
      <w:r w:rsidR="00936CE1" w:rsidRPr="0037418F">
        <w:rPr>
          <w:rFonts w:cs="Arial"/>
        </w:rPr>
        <w:t xml:space="preserve"> for publication</w:t>
      </w:r>
      <w:r w:rsidRPr="0037418F">
        <w:rPr>
          <w:rFonts w:cs="Arial"/>
        </w:rPr>
        <w:t xml:space="preserve">: </w:t>
      </w:r>
      <w:r w:rsidR="002F02E5" w:rsidRPr="0037418F">
        <w:rPr>
          <w:rFonts w:cs="Arial"/>
        </w:rPr>
        <w:t>TBC</w:t>
      </w:r>
    </w:p>
    <w:p w14:paraId="6A6C08C4" w14:textId="47D0E207" w:rsidR="00BD4EBF" w:rsidRDefault="00BD4EBF" w:rsidP="00364628">
      <w:pPr>
        <w:jc w:val="both"/>
        <w:rPr>
          <w:rFonts w:cs="Arial"/>
        </w:rPr>
      </w:pPr>
      <w:proofErr w:type="spellStart"/>
      <w:r>
        <w:rPr>
          <w:rFonts w:cs="Arial"/>
        </w:rPr>
        <w:t>Contarct</w:t>
      </w:r>
      <w:proofErr w:type="spellEnd"/>
      <w:r>
        <w:rPr>
          <w:rFonts w:cs="Arial"/>
        </w:rPr>
        <w:t xml:space="preserve"> end: 30</w:t>
      </w:r>
      <w:r w:rsidRPr="00BD4EBF">
        <w:rPr>
          <w:rFonts w:cs="Arial"/>
          <w:vertAlign w:val="superscript"/>
        </w:rPr>
        <w:t>th</w:t>
      </w:r>
      <w:r>
        <w:rPr>
          <w:rFonts w:cs="Arial"/>
        </w:rPr>
        <w:t xml:space="preserve"> November 2018</w:t>
      </w:r>
    </w:p>
    <w:p w14:paraId="6E2A920E" w14:textId="77777777" w:rsidR="00D27255" w:rsidRDefault="00D27255" w:rsidP="00E306CC">
      <w:pPr>
        <w:rPr>
          <w:rFonts w:cs="Arial"/>
        </w:rPr>
      </w:pPr>
    </w:p>
    <w:p w14:paraId="72321533" w14:textId="77777777" w:rsidR="005D0EBC" w:rsidRDefault="005D0EBC" w:rsidP="00E306CC">
      <w:pPr>
        <w:rPr>
          <w:rFonts w:cs="Arial"/>
        </w:rPr>
      </w:pPr>
      <w:r>
        <w:rPr>
          <w:rFonts w:cs="Arial"/>
        </w:rPr>
        <w:t xml:space="preserve">As well as these deliverables, contractors should expect to present findings to the Department for Education and the Independent Review Panel prior to the delivery of both the interim and full reports. A project manager will be place for the duration of the project, as well as a steering group that is expected to comprise representatives from DfE, the review team and the </w:t>
      </w:r>
      <w:proofErr w:type="spellStart"/>
      <w:r>
        <w:rPr>
          <w:rFonts w:cs="Arial"/>
        </w:rPr>
        <w:t>OfS</w:t>
      </w:r>
      <w:proofErr w:type="spellEnd"/>
      <w:r>
        <w:rPr>
          <w:rFonts w:cs="Arial"/>
        </w:rPr>
        <w:t xml:space="preserve">. </w:t>
      </w:r>
    </w:p>
    <w:p w14:paraId="4DC3007A" w14:textId="77777777" w:rsidR="004A600B" w:rsidRPr="004A600B" w:rsidRDefault="004A600B" w:rsidP="004B618C">
      <w:pPr>
        <w:pStyle w:val="Heading2"/>
      </w:pPr>
      <w:r w:rsidRPr="004A600B">
        <w:t>Assessment criteria</w:t>
      </w:r>
    </w:p>
    <w:p w14:paraId="4CF61FB0" w14:textId="77777777" w:rsidR="004B618C" w:rsidRDefault="004B618C" w:rsidP="004B618C">
      <w:r>
        <w:t>Expressions of interest will be assessed against the following criteria:</w:t>
      </w:r>
    </w:p>
    <w:p w14:paraId="192A74D6" w14:textId="77777777" w:rsidR="004B618C" w:rsidRDefault="004B618C" w:rsidP="004B618C">
      <w:pPr>
        <w:pStyle w:val="ListParagraph"/>
        <w:numPr>
          <w:ilvl w:val="0"/>
          <w:numId w:val="22"/>
        </w:numPr>
      </w:pPr>
      <w:r>
        <w:t>Experience of research topics to be covered</w:t>
      </w:r>
    </w:p>
    <w:p w14:paraId="0CD0FDAD" w14:textId="77777777" w:rsidR="004B618C" w:rsidRDefault="004B618C" w:rsidP="004B618C">
      <w:pPr>
        <w:pStyle w:val="ListParagraph"/>
        <w:numPr>
          <w:ilvl w:val="0"/>
          <w:numId w:val="22"/>
        </w:numPr>
      </w:pPr>
      <w:r>
        <w:t>Experience of research</w:t>
      </w:r>
      <w:r w:rsidR="00F57DA8">
        <w:t xml:space="preserve"> and analytical</w:t>
      </w:r>
      <w:r>
        <w:t xml:space="preserve"> methodologies to be used</w:t>
      </w:r>
    </w:p>
    <w:p w14:paraId="48A097B6" w14:textId="1587E29E" w:rsidR="004B618C" w:rsidRDefault="004B618C" w:rsidP="004B618C">
      <w:pPr>
        <w:pStyle w:val="ListParagraph"/>
        <w:numPr>
          <w:ilvl w:val="0"/>
          <w:numId w:val="22"/>
        </w:numPr>
      </w:pPr>
      <w:r>
        <w:t xml:space="preserve">Experience of research with Higher Education Institutions and staff working in </w:t>
      </w:r>
      <w:r w:rsidR="00BD4EBF">
        <w:t>a financial capacity</w:t>
      </w:r>
    </w:p>
    <w:p w14:paraId="53E8EDFE" w14:textId="77777777" w:rsidR="004B618C" w:rsidRDefault="004B618C" w:rsidP="004B618C">
      <w:pPr>
        <w:pStyle w:val="ListParagraph"/>
        <w:numPr>
          <w:ilvl w:val="0"/>
          <w:numId w:val="22"/>
        </w:numPr>
      </w:pPr>
      <w:r>
        <w:t>Capacity and capability to deliver the project in the timescales indicated</w:t>
      </w:r>
    </w:p>
    <w:p w14:paraId="29FF110D" w14:textId="77777777" w:rsidR="004B618C" w:rsidRPr="00604682" w:rsidRDefault="004B618C" w:rsidP="004B618C">
      <w:r w:rsidRPr="00181683">
        <w:rPr>
          <w:szCs w:val="22"/>
        </w:rPr>
        <w:t>Expressions of interests submitted must be no more than 1000 words overall; this includes any website links. Anything longer will be disregarded.</w:t>
      </w:r>
    </w:p>
    <w:p w14:paraId="393DE927"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7EC2FF01"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1726574F" w14:textId="64FA9A21" w:rsidR="00915C18" w:rsidRPr="0037418F" w:rsidRDefault="00915C18" w:rsidP="00915C18">
            <w:pPr>
              <w:spacing w:before="160"/>
              <w:rPr>
                <w:b/>
                <w:bCs/>
                <w:sz w:val="28"/>
                <w:szCs w:val="20"/>
              </w:rPr>
            </w:pPr>
            <w:r w:rsidRPr="00915C18">
              <w:rPr>
                <w:b/>
                <w:bCs/>
                <w:sz w:val="28"/>
                <w:szCs w:val="20"/>
              </w:rPr>
              <w:t>Closing date for EOIs</w:t>
            </w:r>
            <w:r w:rsidRPr="0037418F">
              <w:rPr>
                <w:b/>
                <w:bCs/>
                <w:sz w:val="28"/>
                <w:szCs w:val="20"/>
              </w:rPr>
              <w:t>:</w:t>
            </w:r>
            <w:r w:rsidR="004B618C" w:rsidRPr="0037418F">
              <w:rPr>
                <w:b/>
                <w:bCs/>
                <w:sz w:val="28"/>
                <w:szCs w:val="20"/>
              </w:rPr>
              <w:t xml:space="preserve"> </w:t>
            </w:r>
            <w:r w:rsidR="00446178" w:rsidRPr="00446178">
              <w:rPr>
                <w:bCs/>
                <w:sz w:val="28"/>
                <w:szCs w:val="20"/>
              </w:rPr>
              <w:t>6pm, Monday</w:t>
            </w:r>
            <w:r w:rsidR="00446178">
              <w:rPr>
                <w:b/>
                <w:bCs/>
                <w:sz w:val="28"/>
                <w:szCs w:val="20"/>
              </w:rPr>
              <w:t xml:space="preserve"> </w:t>
            </w:r>
            <w:r w:rsidR="00D27255" w:rsidRPr="00364628">
              <w:rPr>
                <w:bCs/>
                <w:sz w:val="28"/>
                <w:szCs w:val="20"/>
              </w:rPr>
              <w:t>9</w:t>
            </w:r>
            <w:r w:rsidR="00D27255" w:rsidRPr="00364628">
              <w:rPr>
                <w:bCs/>
                <w:sz w:val="28"/>
                <w:szCs w:val="20"/>
                <w:vertAlign w:val="superscript"/>
              </w:rPr>
              <w:t>th</w:t>
            </w:r>
            <w:r w:rsidR="00D27255">
              <w:rPr>
                <w:b/>
                <w:bCs/>
                <w:sz w:val="28"/>
                <w:szCs w:val="20"/>
              </w:rPr>
              <w:t xml:space="preserve"> </w:t>
            </w:r>
            <w:r w:rsidR="00C20764">
              <w:rPr>
                <w:bCs/>
                <w:sz w:val="28"/>
                <w:szCs w:val="20"/>
              </w:rPr>
              <w:t>April</w:t>
            </w:r>
            <w:r w:rsidR="00C20764" w:rsidRPr="0037418F">
              <w:rPr>
                <w:bCs/>
                <w:sz w:val="28"/>
                <w:szCs w:val="20"/>
              </w:rPr>
              <w:t xml:space="preserve"> </w:t>
            </w:r>
            <w:r w:rsidR="000D7777" w:rsidRPr="0037418F">
              <w:rPr>
                <w:bCs/>
                <w:sz w:val="28"/>
                <w:szCs w:val="20"/>
              </w:rPr>
              <w:t>2018</w:t>
            </w:r>
          </w:p>
          <w:p w14:paraId="34F038E2" w14:textId="77777777" w:rsidR="00A85EBD" w:rsidRPr="004B618C" w:rsidRDefault="00915C18" w:rsidP="006B1BFA">
            <w:pPr>
              <w:rPr>
                <w:rFonts w:ascii="Calibri" w:hAnsi="Calibri"/>
              </w:rPr>
            </w:pPr>
            <w:r w:rsidRPr="0037418F">
              <w:rPr>
                <w:b/>
                <w:bCs/>
                <w:sz w:val="28"/>
                <w:szCs w:val="20"/>
              </w:rPr>
              <w:t>Send your EOI form to:</w:t>
            </w:r>
            <w:r w:rsidR="004B618C" w:rsidRPr="0037418F">
              <w:rPr>
                <w:bCs/>
                <w:sz w:val="28"/>
                <w:szCs w:val="20"/>
              </w:rPr>
              <w:t xml:space="preserve"> </w:t>
            </w:r>
            <w:r w:rsidR="006B1BFA" w:rsidRPr="0037418F">
              <w:rPr>
                <w:bCs/>
                <w:sz w:val="28"/>
                <w:szCs w:val="20"/>
              </w:rPr>
              <w:t>nicky</w:t>
            </w:r>
            <w:r w:rsidR="004B618C" w:rsidRPr="0037418F">
              <w:rPr>
                <w:bCs/>
                <w:sz w:val="28"/>
                <w:szCs w:val="20"/>
              </w:rPr>
              <w:t>.</w:t>
            </w:r>
            <w:r w:rsidR="006B1BFA" w:rsidRPr="0037418F">
              <w:rPr>
                <w:bCs/>
                <w:sz w:val="28"/>
                <w:szCs w:val="20"/>
              </w:rPr>
              <w:t>agius</w:t>
            </w:r>
            <w:r w:rsidR="004B618C" w:rsidRPr="0037418F">
              <w:rPr>
                <w:bCs/>
                <w:sz w:val="28"/>
                <w:szCs w:val="20"/>
              </w:rPr>
              <w:t>@education.gov.uk</w:t>
            </w:r>
          </w:p>
        </w:tc>
      </w:tr>
    </w:tbl>
    <w:p w14:paraId="19BDBF74" w14:textId="77777777" w:rsidR="00FC2B3C" w:rsidRDefault="00FC2B3C" w:rsidP="00995398">
      <w:pPr>
        <w:pStyle w:val="EndBox"/>
      </w:pPr>
    </w:p>
    <w:p w14:paraId="1F6682CF" w14:textId="77777777" w:rsidR="00915C18" w:rsidRPr="003E05F9" w:rsidRDefault="00094338" w:rsidP="001F2CE2">
      <w:pPr>
        <w:pStyle w:val="Heading2"/>
      </w:pPr>
      <w:r>
        <w:t>H</w:t>
      </w:r>
      <w:r w:rsidR="00915C18" w:rsidRPr="003E05F9">
        <w:t xml:space="preserve">ow to submit an </w:t>
      </w:r>
      <w:r w:rsidRPr="00094338">
        <w:t>e</w:t>
      </w:r>
      <w:r w:rsidR="000662F4">
        <w:t>x</w:t>
      </w:r>
      <w:r w:rsidRPr="00094338">
        <w:t>pression of interest</w:t>
      </w:r>
    </w:p>
    <w:p w14:paraId="7542332D" w14:textId="77777777" w:rsidR="00446178" w:rsidRDefault="00446178" w:rsidP="00446178">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07B23B10" w14:textId="77777777" w:rsidR="00446178" w:rsidRDefault="00446178" w:rsidP="00446178">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35B6C3E0" w14:textId="77777777" w:rsidR="005A0891" w:rsidRDefault="005A0891" w:rsidP="00814CCF"/>
    <w:p w14:paraId="3F85328E" w14:textId="77777777" w:rsidR="005D3B59" w:rsidRPr="00531385" w:rsidRDefault="00C2496D" w:rsidP="005D3B59">
      <w:r w:rsidRPr="00995398">
        <w:t>©</w:t>
      </w:r>
      <w:r w:rsidR="005D3B59" w:rsidRPr="005D3B59">
        <w:t xml:space="preserve"> </w:t>
      </w:r>
      <w:r w:rsidR="00EE71A2">
        <w:t xml:space="preserve">Crown copyright </w:t>
      </w:r>
      <w:r w:rsidR="007449DF">
        <w:t>2018</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CF104" w14:textId="77777777" w:rsidR="00283BD7" w:rsidRDefault="00283BD7" w:rsidP="002B6D93">
      <w:r>
        <w:separator/>
      </w:r>
    </w:p>
    <w:p w14:paraId="0EA6DC1B" w14:textId="77777777" w:rsidR="00283BD7" w:rsidRDefault="00283BD7"/>
  </w:endnote>
  <w:endnote w:type="continuationSeparator" w:id="0">
    <w:p w14:paraId="42465D92" w14:textId="77777777" w:rsidR="00283BD7" w:rsidRDefault="00283BD7" w:rsidP="002B6D93">
      <w:r>
        <w:continuationSeparator/>
      </w:r>
    </w:p>
    <w:p w14:paraId="20808322" w14:textId="77777777" w:rsidR="00283BD7" w:rsidRDefault="00283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373812A1" w14:textId="4E6486AF" w:rsidR="0031637D" w:rsidRDefault="0031637D"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0576BF">
          <w:rPr>
            <w:noProof/>
          </w:rPr>
          <w:t>7</w:t>
        </w:r>
        <w:r>
          <w:rPr>
            <w:noProof/>
          </w:rPr>
          <w:fldChar w:fldCharType="end"/>
        </w:r>
      </w:p>
    </w:sdtContent>
  </w:sdt>
  <w:p w14:paraId="7D2F750A" w14:textId="77777777" w:rsidR="0031637D" w:rsidRDefault="0031637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51548" w14:textId="77777777" w:rsidR="0031637D" w:rsidRPr="006E6ADB" w:rsidRDefault="0031637D" w:rsidP="004A3626">
    <w:pPr>
      <w:tabs>
        <w:tab w:val="left" w:pos="7088"/>
      </w:tabs>
      <w:spacing w:before="240"/>
      <w:rPr>
        <w:szCs w:val="20"/>
      </w:rPr>
    </w:pPr>
    <w:r w:rsidRPr="006E6ADB">
      <w:rPr>
        <w:szCs w:val="20"/>
      </w:rPr>
      <w:tab/>
      <w:t xml:space="preserve">Published: </w:t>
    </w:r>
    <w:r>
      <w:rPr>
        <w:szCs w:val="20"/>
      </w:rPr>
      <w:t>TBC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929D4" w14:textId="77777777" w:rsidR="00283BD7" w:rsidRDefault="00283BD7" w:rsidP="002B6D93">
      <w:r>
        <w:separator/>
      </w:r>
    </w:p>
    <w:p w14:paraId="2206A32D" w14:textId="77777777" w:rsidR="00283BD7" w:rsidRDefault="00283BD7"/>
  </w:footnote>
  <w:footnote w:type="continuationSeparator" w:id="0">
    <w:p w14:paraId="12AB88FE" w14:textId="77777777" w:rsidR="00283BD7" w:rsidRDefault="00283BD7" w:rsidP="002B6D93">
      <w:r>
        <w:continuationSeparator/>
      </w:r>
    </w:p>
    <w:p w14:paraId="59B34586" w14:textId="77777777" w:rsidR="00283BD7" w:rsidRDefault="00283BD7"/>
  </w:footnote>
  <w:footnote w:id="1">
    <w:p w14:paraId="41BA7643" w14:textId="77777777" w:rsidR="0031637D" w:rsidRDefault="0031637D" w:rsidP="00C968A2">
      <w:pPr>
        <w:pStyle w:val="FootnoteText"/>
      </w:pPr>
      <w:r>
        <w:rPr>
          <w:rStyle w:val="FootnoteReference"/>
        </w:rPr>
        <w:footnoteRef/>
      </w:r>
      <w:r>
        <w:t xml:space="preserve"> More information on the Review of P</w:t>
      </w:r>
      <w:r>
        <w:rPr>
          <w:lang w:val="en"/>
        </w:rPr>
        <w:t xml:space="preserve">ost-18 Education and Funding including the Terms of Reference can be found at: </w:t>
      </w:r>
      <w:hyperlink r:id="rId1" w:history="1">
        <w:r w:rsidRPr="00B92FE4">
          <w:rPr>
            <w:rStyle w:val="Hyperlink"/>
            <w:rFonts w:asciiTheme="minorHAnsi" w:hAnsiTheme="minorHAnsi"/>
            <w:sz w:val="20"/>
            <w:lang w:val="en"/>
          </w:rPr>
          <w:t>https://www.gov.uk/government/publications/review-of-post-18-education-and-funding-terms-of-reference</w:t>
        </w:r>
      </w:hyperlink>
    </w:p>
  </w:footnote>
  <w:footnote w:id="2">
    <w:p w14:paraId="00ECB616" w14:textId="45DBDC4B" w:rsidR="00DF0428" w:rsidRDefault="00DF0428" w:rsidP="004165C6">
      <w:pPr>
        <w:pStyle w:val="FootnoteText"/>
        <w:jc w:val="both"/>
      </w:pPr>
      <w:r>
        <w:rPr>
          <w:rStyle w:val="FootnoteReference"/>
        </w:rPr>
        <w:footnoteRef/>
      </w:r>
      <w:r>
        <w:t xml:space="preserve"> HEFCE stands for the Higher Education Funding Council for England. Under the Higher Education and Research Act 2017, as of 1</w:t>
      </w:r>
      <w:r w:rsidRPr="004165C6">
        <w:rPr>
          <w:vertAlign w:val="superscript"/>
        </w:rPr>
        <w:t>st</w:t>
      </w:r>
      <w:r>
        <w:t xml:space="preserve"> April 2018, HEFCE will be super</w:t>
      </w:r>
      <w:r w:rsidR="004165C6">
        <w:t>s</w:t>
      </w:r>
      <w:r>
        <w:t>eded by a new regulatory body, the Office for Students (</w:t>
      </w:r>
      <w:proofErr w:type="spellStart"/>
      <w:r>
        <w:t>OfS</w:t>
      </w:r>
      <w:proofErr w:type="spellEnd"/>
      <w:r>
        <w:t>).</w:t>
      </w:r>
    </w:p>
  </w:footnote>
  <w:footnote w:id="3">
    <w:p w14:paraId="23F18D1C" w14:textId="77777777" w:rsidR="004165C6" w:rsidRDefault="0031637D" w:rsidP="004165C6">
      <w:pPr>
        <w:pStyle w:val="FootnoteText"/>
        <w:jc w:val="both"/>
      </w:pPr>
      <w:r>
        <w:rPr>
          <w:rStyle w:val="FootnoteReference"/>
        </w:rPr>
        <w:footnoteRef/>
      </w:r>
      <w:r>
        <w:t xml:space="preserve"> More information on TRAC guidance can be found at: </w:t>
      </w:r>
      <w:hyperlink r:id="rId2" w:history="1">
        <w:r w:rsidRPr="00B92FE4">
          <w:rPr>
            <w:rStyle w:val="Hyperlink"/>
            <w:rFonts w:asciiTheme="minorHAnsi" w:hAnsiTheme="minorHAnsi"/>
            <w:sz w:val="20"/>
          </w:rPr>
          <w:t>http://www.hefce.ac.uk/funding/finsustain/trac/</w:t>
        </w:r>
      </w:hyperlink>
      <w:r>
        <w:t>. The report on the cost of postgraduate taught provision can be found at:</w:t>
      </w:r>
      <w:r w:rsidRPr="00766365">
        <w:t xml:space="preserve"> </w:t>
      </w:r>
    </w:p>
    <w:p w14:paraId="2957C3AE" w14:textId="12BBF4F0" w:rsidR="0031637D" w:rsidRDefault="000576BF" w:rsidP="004165C6">
      <w:pPr>
        <w:pStyle w:val="FootnoteText"/>
        <w:jc w:val="both"/>
      </w:pPr>
      <w:hyperlink r:id="rId3" w:history="1">
        <w:r w:rsidR="0031637D" w:rsidRPr="00B92FE4">
          <w:rPr>
            <w:rStyle w:val="Hyperlink"/>
            <w:rFonts w:asciiTheme="minorHAnsi" w:hAnsiTheme="minorHAnsi"/>
            <w:sz w:val="20"/>
          </w:rPr>
          <w:t>http://www.hefce.ac.uk/media/hefce/content/pubs/indirreports/2014/A,review,of,the,cost,of,PGT,provision/pgtcostreview.pdf</w:t>
        </w:r>
      </w:hyperlink>
      <w:r w:rsidR="0031637D">
        <w:t>. The corresponding report on</w:t>
      </w:r>
      <w:r w:rsidR="0031637D" w:rsidRPr="00766365">
        <w:t xml:space="preserve"> </w:t>
      </w:r>
      <w:r w:rsidR="0031637D">
        <w:t xml:space="preserve">the cost of pre-registration nursing, midwifery and allied health professional courses can be found at: </w:t>
      </w:r>
      <w:hyperlink r:id="rId4" w:history="1">
        <w:r w:rsidR="0031637D" w:rsidRPr="00B92FE4">
          <w:rPr>
            <w:rStyle w:val="Hyperlink"/>
            <w:rFonts w:asciiTheme="minorHAnsi" w:hAnsiTheme="minorHAnsi"/>
            <w:sz w:val="20"/>
          </w:rPr>
          <w:t>http://www.hefce.ac.uk/pubs/rereports/year/2017/preregcosts/</w:t>
        </w:r>
      </w:hyperlink>
    </w:p>
    <w:p w14:paraId="26FAADCC" w14:textId="77777777" w:rsidR="0031637D" w:rsidRDefault="0031637D">
      <w:pPr>
        <w:pStyle w:val="FootnoteText"/>
      </w:pPr>
    </w:p>
    <w:p w14:paraId="79EA3ECD" w14:textId="77777777" w:rsidR="0031637D" w:rsidRDefault="0031637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470662"/>
    <w:multiLevelType w:val="hybridMultilevel"/>
    <w:tmpl w:val="519665E8"/>
    <w:lvl w:ilvl="0" w:tplc="3D265990">
      <w:numFmt w:val="bullet"/>
      <w:lvlText w:val="-"/>
      <w:lvlJc w:val="left"/>
      <w:pPr>
        <w:ind w:left="413" w:hanging="360"/>
      </w:pPr>
      <w:rPr>
        <w:rFonts w:ascii="Calibri" w:eastAsiaTheme="minorHAnsi" w:hAnsi="Calibri" w:cstheme="minorBidi" w:hint="default"/>
      </w:rPr>
    </w:lvl>
    <w:lvl w:ilvl="1" w:tplc="08090003">
      <w:start w:val="1"/>
      <w:numFmt w:val="bullet"/>
      <w:lvlText w:val="o"/>
      <w:lvlJc w:val="left"/>
      <w:pPr>
        <w:ind w:left="1133" w:hanging="360"/>
      </w:pPr>
      <w:rPr>
        <w:rFonts w:ascii="Courier New" w:hAnsi="Courier New" w:cs="Courier New" w:hint="default"/>
      </w:rPr>
    </w:lvl>
    <w:lvl w:ilvl="2" w:tplc="08090005">
      <w:start w:val="1"/>
      <w:numFmt w:val="bullet"/>
      <w:lvlText w:val=""/>
      <w:lvlJc w:val="left"/>
      <w:pPr>
        <w:ind w:left="1853" w:hanging="360"/>
      </w:pPr>
      <w:rPr>
        <w:rFonts w:ascii="Wingdings" w:hAnsi="Wingdings" w:hint="default"/>
      </w:rPr>
    </w:lvl>
    <w:lvl w:ilvl="3" w:tplc="08090001">
      <w:start w:val="1"/>
      <w:numFmt w:val="bullet"/>
      <w:lvlText w:val=""/>
      <w:lvlJc w:val="left"/>
      <w:pPr>
        <w:ind w:left="2573" w:hanging="360"/>
      </w:pPr>
      <w:rPr>
        <w:rFonts w:ascii="Symbol" w:hAnsi="Symbol" w:hint="default"/>
      </w:rPr>
    </w:lvl>
    <w:lvl w:ilvl="4" w:tplc="08090003">
      <w:start w:val="1"/>
      <w:numFmt w:val="bullet"/>
      <w:lvlText w:val="o"/>
      <w:lvlJc w:val="left"/>
      <w:pPr>
        <w:ind w:left="3293" w:hanging="360"/>
      </w:pPr>
      <w:rPr>
        <w:rFonts w:ascii="Courier New" w:hAnsi="Courier New" w:cs="Courier New" w:hint="default"/>
      </w:rPr>
    </w:lvl>
    <w:lvl w:ilvl="5" w:tplc="08090005">
      <w:start w:val="1"/>
      <w:numFmt w:val="bullet"/>
      <w:lvlText w:val=""/>
      <w:lvlJc w:val="left"/>
      <w:pPr>
        <w:ind w:left="4013" w:hanging="360"/>
      </w:pPr>
      <w:rPr>
        <w:rFonts w:ascii="Wingdings" w:hAnsi="Wingdings" w:hint="default"/>
      </w:rPr>
    </w:lvl>
    <w:lvl w:ilvl="6" w:tplc="08090001">
      <w:start w:val="1"/>
      <w:numFmt w:val="bullet"/>
      <w:lvlText w:val=""/>
      <w:lvlJc w:val="left"/>
      <w:pPr>
        <w:ind w:left="4733" w:hanging="360"/>
      </w:pPr>
      <w:rPr>
        <w:rFonts w:ascii="Symbol" w:hAnsi="Symbol" w:hint="default"/>
      </w:rPr>
    </w:lvl>
    <w:lvl w:ilvl="7" w:tplc="08090003">
      <w:start w:val="1"/>
      <w:numFmt w:val="bullet"/>
      <w:lvlText w:val="o"/>
      <w:lvlJc w:val="left"/>
      <w:pPr>
        <w:ind w:left="5453" w:hanging="360"/>
      </w:pPr>
      <w:rPr>
        <w:rFonts w:ascii="Courier New" w:hAnsi="Courier New" w:cs="Courier New" w:hint="default"/>
      </w:rPr>
    </w:lvl>
    <w:lvl w:ilvl="8" w:tplc="08090005">
      <w:start w:val="1"/>
      <w:numFmt w:val="bullet"/>
      <w:lvlText w:val=""/>
      <w:lvlJc w:val="left"/>
      <w:pPr>
        <w:ind w:left="6173" w:hanging="360"/>
      </w:pPr>
      <w:rPr>
        <w:rFonts w:ascii="Wingdings" w:hAnsi="Wingdings" w:hint="default"/>
      </w:rPr>
    </w:lvl>
  </w:abstractNum>
  <w:abstractNum w:abstractNumId="6" w15:restartNumberingAfterBreak="0">
    <w:nsid w:val="06EE7981"/>
    <w:multiLevelType w:val="hybridMultilevel"/>
    <w:tmpl w:val="F0D48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35DDE"/>
    <w:multiLevelType w:val="hybridMultilevel"/>
    <w:tmpl w:val="D22A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5F255D"/>
    <w:multiLevelType w:val="hybridMultilevel"/>
    <w:tmpl w:val="20D8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3C27A4E"/>
    <w:multiLevelType w:val="hybridMultilevel"/>
    <w:tmpl w:val="A5EA9C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166535"/>
    <w:multiLevelType w:val="hybridMultilevel"/>
    <w:tmpl w:val="7E3A0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159FE"/>
    <w:multiLevelType w:val="hybridMultilevel"/>
    <w:tmpl w:val="E2EE4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B36F9"/>
    <w:multiLevelType w:val="hybridMultilevel"/>
    <w:tmpl w:val="78920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6006D55"/>
    <w:multiLevelType w:val="hybridMultilevel"/>
    <w:tmpl w:val="24BE10C2"/>
    <w:lvl w:ilvl="0" w:tplc="3506AA90">
      <w:start w:val="1"/>
      <w:numFmt w:val="decimal"/>
      <w:lvlText w:val="%1."/>
      <w:lvlJc w:val="left"/>
      <w:pPr>
        <w:tabs>
          <w:tab w:val="num" w:pos="720"/>
        </w:tabs>
        <w:ind w:left="720" w:hanging="360"/>
      </w:pPr>
    </w:lvl>
    <w:lvl w:ilvl="1" w:tplc="F7D68178" w:tentative="1">
      <w:start w:val="1"/>
      <w:numFmt w:val="decimal"/>
      <w:lvlText w:val="%2."/>
      <w:lvlJc w:val="left"/>
      <w:pPr>
        <w:tabs>
          <w:tab w:val="num" w:pos="1440"/>
        </w:tabs>
        <w:ind w:left="1440" w:hanging="360"/>
      </w:pPr>
    </w:lvl>
    <w:lvl w:ilvl="2" w:tplc="57DC0542" w:tentative="1">
      <w:start w:val="1"/>
      <w:numFmt w:val="decimal"/>
      <w:lvlText w:val="%3."/>
      <w:lvlJc w:val="left"/>
      <w:pPr>
        <w:tabs>
          <w:tab w:val="num" w:pos="2160"/>
        </w:tabs>
        <w:ind w:left="2160" w:hanging="360"/>
      </w:pPr>
    </w:lvl>
    <w:lvl w:ilvl="3" w:tplc="162CD356" w:tentative="1">
      <w:start w:val="1"/>
      <w:numFmt w:val="decimal"/>
      <w:lvlText w:val="%4."/>
      <w:lvlJc w:val="left"/>
      <w:pPr>
        <w:tabs>
          <w:tab w:val="num" w:pos="2880"/>
        </w:tabs>
        <w:ind w:left="2880" w:hanging="360"/>
      </w:pPr>
    </w:lvl>
    <w:lvl w:ilvl="4" w:tplc="024A103C" w:tentative="1">
      <w:start w:val="1"/>
      <w:numFmt w:val="decimal"/>
      <w:lvlText w:val="%5."/>
      <w:lvlJc w:val="left"/>
      <w:pPr>
        <w:tabs>
          <w:tab w:val="num" w:pos="3600"/>
        </w:tabs>
        <w:ind w:left="3600" w:hanging="360"/>
      </w:pPr>
    </w:lvl>
    <w:lvl w:ilvl="5" w:tplc="1A70993E" w:tentative="1">
      <w:start w:val="1"/>
      <w:numFmt w:val="decimal"/>
      <w:lvlText w:val="%6."/>
      <w:lvlJc w:val="left"/>
      <w:pPr>
        <w:tabs>
          <w:tab w:val="num" w:pos="4320"/>
        </w:tabs>
        <w:ind w:left="4320" w:hanging="360"/>
      </w:pPr>
    </w:lvl>
    <w:lvl w:ilvl="6" w:tplc="58D8D62C" w:tentative="1">
      <w:start w:val="1"/>
      <w:numFmt w:val="decimal"/>
      <w:lvlText w:val="%7."/>
      <w:lvlJc w:val="left"/>
      <w:pPr>
        <w:tabs>
          <w:tab w:val="num" w:pos="5040"/>
        </w:tabs>
        <w:ind w:left="5040" w:hanging="360"/>
      </w:pPr>
    </w:lvl>
    <w:lvl w:ilvl="7" w:tplc="D37CD452" w:tentative="1">
      <w:start w:val="1"/>
      <w:numFmt w:val="decimal"/>
      <w:lvlText w:val="%8."/>
      <w:lvlJc w:val="left"/>
      <w:pPr>
        <w:tabs>
          <w:tab w:val="num" w:pos="5760"/>
        </w:tabs>
        <w:ind w:left="5760" w:hanging="360"/>
      </w:pPr>
    </w:lvl>
    <w:lvl w:ilvl="8" w:tplc="F9863B40" w:tentative="1">
      <w:start w:val="1"/>
      <w:numFmt w:val="decimal"/>
      <w:lvlText w:val="%9."/>
      <w:lvlJc w:val="left"/>
      <w:pPr>
        <w:tabs>
          <w:tab w:val="num" w:pos="6480"/>
        </w:tabs>
        <w:ind w:left="6480" w:hanging="360"/>
      </w:pPr>
    </w:lvl>
  </w:abstractNum>
  <w:abstractNum w:abstractNumId="20" w15:restartNumberingAfterBreak="0">
    <w:nsid w:val="3B6A130B"/>
    <w:multiLevelType w:val="hybridMultilevel"/>
    <w:tmpl w:val="97307CA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403D23F0"/>
    <w:multiLevelType w:val="hybridMultilevel"/>
    <w:tmpl w:val="BBA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8C6FEC"/>
    <w:multiLevelType w:val="hybridMultilevel"/>
    <w:tmpl w:val="22C67B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B6E7D2A"/>
    <w:multiLevelType w:val="hybridMultilevel"/>
    <w:tmpl w:val="5FFEE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BE10A97"/>
    <w:multiLevelType w:val="hybridMultilevel"/>
    <w:tmpl w:val="FA24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9BE6028"/>
    <w:multiLevelType w:val="hybridMultilevel"/>
    <w:tmpl w:val="136A1E10"/>
    <w:lvl w:ilvl="0" w:tplc="84669F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7"/>
  </w:num>
  <w:num w:numId="4">
    <w:abstractNumId w:val="16"/>
  </w:num>
  <w:num w:numId="5">
    <w:abstractNumId w:val="11"/>
  </w:num>
  <w:num w:numId="6">
    <w:abstractNumId w:val="23"/>
  </w:num>
  <w:num w:numId="7">
    <w:abstractNumId w:val="3"/>
  </w:num>
  <w:num w:numId="8">
    <w:abstractNumId w:val="1"/>
  </w:num>
  <w:num w:numId="9">
    <w:abstractNumId w:val="0"/>
  </w:num>
  <w:num w:numId="10">
    <w:abstractNumId w:val="25"/>
  </w:num>
  <w:num w:numId="11">
    <w:abstractNumId w:val="23"/>
  </w:num>
  <w:num w:numId="12">
    <w:abstractNumId w:val="30"/>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14"/>
  </w:num>
  <w:num w:numId="18">
    <w:abstractNumId w:val="17"/>
  </w:num>
  <w:num w:numId="19">
    <w:abstractNumId w:val="19"/>
  </w:num>
  <w:num w:numId="20">
    <w:abstractNumId w:val="12"/>
  </w:num>
  <w:num w:numId="21">
    <w:abstractNumId w:val="7"/>
  </w:num>
  <w:num w:numId="22">
    <w:abstractNumId w:val="21"/>
  </w:num>
  <w:num w:numId="23">
    <w:abstractNumId w:val="26"/>
  </w:num>
  <w:num w:numId="24">
    <w:abstractNumId w:val="29"/>
  </w:num>
  <w:num w:numId="25">
    <w:abstractNumId w:val="5"/>
  </w:num>
  <w:num w:numId="26">
    <w:abstractNumId w:val="24"/>
  </w:num>
  <w:num w:numId="27">
    <w:abstractNumId w:val="15"/>
  </w:num>
  <w:num w:numId="28">
    <w:abstractNumId w:val="18"/>
  </w:num>
  <w:num w:numId="29">
    <w:abstractNumId w:val="22"/>
  </w:num>
  <w:num w:numId="30">
    <w:abstractNumId w:val="20"/>
  </w:num>
  <w:num w:numId="31">
    <w:abstractNumId w:val="13"/>
  </w:num>
  <w:num w:numId="32">
    <w:abstractNumId w:val="6"/>
  </w:num>
  <w:num w:numId="3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638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41F7"/>
    <w:rsid w:val="00011A88"/>
    <w:rsid w:val="00012381"/>
    <w:rsid w:val="00013A6E"/>
    <w:rsid w:val="0002203B"/>
    <w:rsid w:val="00031F36"/>
    <w:rsid w:val="000356E8"/>
    <w:rsid w:val="00036066"/>
    <w:rsid w:val="0004235D"/>
    <w:rsid w:val="000442BD"/>
    <w:rsid w:val="00052418"/>
    <w:rsid w:val="0005281D"/>
    <w:rsid w:val="00052FC4"/>
    <w:rsid w:val="00057100"/>
    <w:rsid w:val="000576BF"/>
    <w:rsid w:val="00063FE5"/>
    <w:rsid w:val="000655C7"/>
    <w:rsid w:val="00065926"/>
    <w:rsid w:val="00065E86"/>
    <w:rsid w:val="000662F4"/>
    <w:rsid w:val="00066463"/>
    <w:rsid w:val="00066B1C"/>
    <w:rsid w:val="00067D95"/>
    <w:rsid w:val="000720CD"/>
    <w:rsid w:val="00083A73"/>
    <w:rsid w:val="00094338"/>
    <w:rsid w:val="000A10F4"/>
    <w:rsid w:val="000B3DE0"/>
    <w:rsid w:val="000B7590"/>
    <w:rsid w:val="000C5CBD"/>
    <w:rsid w:val="000D1D30"/>
    <w:rsid w:val="000D237B"/>
    <w:rsid w:val="000D4433"/>
    <w:rsid w:val="000D4C4E"/>
    <w:rsid w:val="000D7777"/>
    <w:rsid w:val="000E3350"/>
    <w:rsid w:val="000F2EDB"/>
    <w:rsid w:val="000F73F3"/>
    <w:rsid w:val="00103E77"/>
    <w:rsid w:val="001079E5"/>
    <w:rsid w:val="00107BE0"/>
    <w:rsid w:val="0011494F"/>
    <w:rsid w:val="00115784"/>
    <w:rsid w:val="00116986"/>
    <w:rsid w:val="00121C6C"/>
    <w:rsid w:val="001264D9"/>
    <w:rsid w:val="001272A9"/>
    <w:rsid w:val="0013190E"/>
    <w:rsid w:val="00133075"/>
    <w:rsid w:val="001423B7"/>
    <w:rsid w:val="00143A80"/>
    <w:rsid w:val="00146628"/>
    <w:rsid w:val="00146F76"/>
    <w:rsid w:val="00147214"/>
    <w:rsid w:val="00147697"/>
    <w:rsid w:val="001534B2"/>
    <w:rsid w:val="001540AB"/>
    <w:rsid w:val="001612C8"/>
    <w:rsid w:val="001623C5"/>
    <w:rsid w:val="0017026A"/>
    <w:rsid w:val="00170BBE"/>
    <w:rsid w:val="001717CE"/>
    <w:rsid w:val="001742A0"/>
    <w:rsid w:val="001747E2"/>
    <w:rsid w:val="00175E57"/>
    <w:rsid w:val="00176EB9"/>
    <w:rsid w:val="00177291"/>
    <w:rsid w:val="0017793A"/>
    <w:rsid w:val="00190C3A"/>
    <w:rsid w:val="001911F8"/>
    <w:rsid w:val="001938DA"/>
    <w:rsid w:val="00196306"/>
    <w:rsid w:val="001975D1"/>
    <w:rsid w:val="001A3A04"/>
    <w:rsid w:val="001A3D2A"/>
    <w:rsid w:val="001B2AE2"/>
    <w:rsid w:val="001B4452"/>
    <w:rsid w:val="001B5C15"/>
    <w:rsid w:val="001B796F"/>
    <w:rsid w:val="001C5A63"/>
    <w:rsid w:val="001C5EB6"/>
    <w:rsid w:val="001D5770"/>
    <w:rsid w:val="001E62DF"/>
    <w:rsid w:val="001F1B30"/>
    <w:rsid w:val="001F2CE2"/>
    <w:rsid w:val="00203EC9"/>
    <w:rsid w:val="002113CF"/>
    <w:rsid w:val="0021245C"/>
    <w:rsid w:val="002125E1"/>
    <w:rsid w:val="00212E81"/>
    <w:rsid w:val="00216AB0"/>
    <w:rsid w:val="0022255C"/>
    <w:rsid w:val="0022489D"/>
    <w:rsid w:val="002262F3"/>
    <w:rsid w:val="00230559"/>
    <w:rsid w:val="002326E1"/>
    <w:rsid w:val="002332F8"/>
    <w:rsid w:val="00234F75"/>
    <w:rsid w:val="00240F4B"/>
    <w:rsid w:val="002575C5"/>
    <w:rsid w:val="002634A3"/>
    <w:rsid w:val="002639B5"/>
    <w:rsid w:val="0027219A"/>
    <w:rsid w:val="0027231C"/>
    <w:rsid w:val="0027252F"/>
    <w:rsid w:val="0028061C"/>
    <w:rsid w:val="002839B5"/>
    <w:rsid w:val="00283BD7"/>
    <w:rsid w:val="00287788"/>
    <w:rsid w:val="002A28F7"/>
    <w:rsid w:val="002A3153"/>
    <w:rsid w:val="002A5858"/>
    <w:rsid w:val="002B6D93"/>
    <w:rsid w:val="002B7110"/>
    <w:rsid w:val="002C1EA9"/>
    <w:rsid w:val="002C34D4"/>
    <w:rsid w:val="002C3AA4"/>
    <w:rsid w:val="002C7B65"/>
    <w:rsid w:val="002D1D48"/>
    <w:rsid w:val="002E463F"/>
    <w:rsid w:val="002E4E9A"/>
    <w:rsid w:val="002E508B"/>
    <w:rsid w:val="002E5F9F"/>
    <w:rsid w:val="002E7849"/>
    <w:rsid w:val="002F02E5"/>
    <w:rsid w:val="002F17A3"/>
    <w:rsid w:val="002F7128"/>
    <w:rsid w:val="00300F99"/>
    <w:rsid w:val="003038D0"/>
    <w:rsid w:val="00307A42"/>
    <w:rsid w:val="0031637D"/>
    <w:rsid w:val="00316F34"/>
    <w:rsid w:val="00337720"/>
    <w:rsid w:val="003407C4"/>
    <w:rsid w:val="00342F8B"/>
    <w:rsid w:val="00361752"/>
    <w:rsid w:val="00364628"/>
    <w:rsid w:val="003707B9"/>
    <w:rsid w:val="0037418F"/>
    <w:rsid w:val="00374981"/>
    <w:rsid w:val="003810D8"/>
    <w:rsid w:val="003843E6"/>
    <w:rsid w:val="003853A4"/>
    <w:rsid w:val="003936E7"/>
    <w:rsid w:val="0039725F"/>
    <w:rsid w:val="003A1CC2"/>
    <w:rsid w:val="003C60B5"/>
    <w:rsid w:val="003D1EFE"/>
    <w:rsid w:val="003D3D62"/>
    <w:rsid w:val="003D412F"/>
    <w:rsid w:val="003E1329"/>
    <w:rsid w:val="003E3ED2"/>
    <w:rsid w:val="003F44B9"/>
    <w:rsid w:val="00400E1D"/>
    <w:rsid w:val="00401BC3"/>
    <w:rsid w:val="00403D1C"/>
    <w:rsid w:val="004079DF"/>
    <w:rsid w:val="004165C6"/>
    <w:rsid w:val="004216FF"/>
    <w:rsid w:val="004242C5"/>
    <w:rsid w:val="0042468D"/>
    <w:rsid w:val="004339FB"/>
    <w:rsid w:val="0043475D"/>
    <w:rsid w:val="00436826"/>
    <w:rsid w:val="00446178"/>
    <w:rsid w:val="004509BE"/>
    <w:rsid w:val="00456291"/>
    <w:rsid w:val="00456560"/>
    <w:rsid w:val="00470223"/>
    <w:rsid w:val="00480A7E"/>
    <w:rsid w:val="004866AD"/>
    <w:rsid w:val="00494139"/>
    <w:rsid w:val="004A3626"/>
    <w:rsid w:val="004A3664"/>
    <w:rsid w:val="004A3E98"/>
    <w:rsid w:val="004A600B"/>
    <w:rsid w:val="004B08AC"/>
    <w:rsid w:val="004B618C"/>
    <w:rsid w:val="004C5600"/>
    <w:rsid w:val="004D13A3"/>
    <w:rsid w:val="004D2BD6"/>
    <w:rsid w:val="004D73C6"/>
    <w:rsid w:val="004E5405"/>
    <w:rsid w:val="004E6CD9"/>
    <w:rsid w:val="004F20E3"/>
    <w:rsid w:val="004F211A"/>
    <w:rsid w:val="004F3159"/>
    <w:rsid w:val="004F3A3E"/>
    <w:rsid w:val="004F4AEF"/>
    <w:rsid w:val="0050147E"/>
    <w:rsid w:val="00501FFB"/>
    <w:rsid w:val="0050568A"/>
    <w:rsid w:val="005247AD"/>
    <w:rsid w:val="005360B7"/>
    <w:rsid w:val="00536E0B"/>
    <w:rsid w:val="0054189C"/>
    <w:rsid w:val="00542FA2"/>
    <w:rsid w:val="00545257"/>
    <w:rsid w:val="005535E5"/>
    <w:rsid w:val="00560451"/>
    <w:rsid w:val="00566568"/>
    <w:rsid w:val="005706F3"/>
    <w:rsid w:val="00571854"/>
    <w:rsid w:val="0057250B"/>
    <w:rsid w:val="00574294"/>
    <w:rsid w:val="005749C5"/>
    <w:rsid w:val="0057670A"/>
    <w:rsid w:val="00577254"/>
    <w:rsid w:val="00581D79"/>
    <w:rsid w:val="00582BE0"/>
    <w:rsid w:val="00584390"/>
    <w:rsid w:val="005905B1"/>
    <w:rsid w:val="005914F1"/>
    <w:rsid w:val="005946C7"/>
    <w:rsid w:val="005A016F"/>
    <w:rsid w:val="005A07FF"/>
    <w:rsid w:val="005A0891"/>
    <w:rsid w:val="005B28B4"/>
    <w:rsid w:val="005C0B41"/>
    <w:rsid w:val="005C1770"/>
    <w:rsid w:val="005C2D94"/>
    <w:rsid w:val="005C4DFF"/>
    <w:rsid w:val="005C657D"/>
    <w:rsid w:val="005C723D"/>
    <w:rsid w:val="005D0EBC"/>
    <w:rsid w:val="005D3B59"/>
    <w:rsid w:val="005D628F"/>
    <w:rsid w:val="005E3024"/>
    <w:rsid w:val="005F107C"/>
    <w:rsid w:val="005F40BD"/>
    <w:rsid w:val="005F4C31"/>
    <w:rsid w:val="006005F6"/>
    <w:rsid w:val="00604204"/>
    <w:rsid w:val="0060702F"/>
    <w:rsid w:val="006071E7"/>
    <w:rsid w:val="006108B3"/>
    <w:rsid w:val="00620B4B"/>
    <w:rsid w:val="00620F36"/>
    <w:rsid w:val="00622501"/>
    <w:rsid w:val="006237FB"/>
    <w:rsid w:val="0062451E"/>
    <w:rsid w:val="00624A2E"/>
    <w:rsid w:val="00635D57"/>
    <w:rsid w:val="00640032"/>
    <w:rsid w:val="006418B2"/>
    <w:rsid w:val="00642048"/>
    <w:rsid w:val="00642404"/>
    <w:rsid w:val="006430C0"/>
    <w:rsid w:val="00647EFA"/>
    <w:rsid w:val="00652973"/>
    <w:rsid w:val="00653AA1"/>
    <w:rsid w:val="006558CA"/>
    <w:rsid w:val="00656E1E"/>
    <w:rsid w:val="00657E79"/>
    <w:rsid w:val="006606F5"/>
    <w:rsid w:val="00670ADC"/>
    <w:rsid w:val="0067185E"/>
    <w:rsid w:val="00671D5B"/>
    <w:rsid w:val="006775FA"/>
    <w:rsid w:val="00684973"/>
    <w:rsid w:val="0068544D"/>
    <w:rsid w:val="00695D08"/>
    <w:rsid w:val="006A27AA"/>
    <w:rsid w:val="006A3602"/>
    <w:rsid w:val="006B1BFA"/>
    <w:rsid w:val="006B1F9F"/>
    <w:rsid w:val="006C2368"/>
    <w:rsid w:val="006C382D"/>
    <w:rsid w:val="006D1162"/>
    <w:rsid w:val="006D7DA8"/>
    <w:rsid w:val="006E1048"/>
    <w:rsid w:val="006E6ADB"/>
    <w:rsid w:val="006E7F39"/>
    <w:rsid w:val="006F1092"/>
    <w:rsid w:val="006F1F96"/>
    <w:rsid w:val="006F642F"/>
    <w:rsid w:val="00700B01"/>
    <w:rsid w:val="00702EBF"/>
    <w:rsid w:val="00713414"/>
    <w:rsid w:val="0071573D"/>
    <w:rsid w:val="0071676F"/>
    <w:rsid w:val="0072227A"/>
    <w:rsid w:val="00727EC4"/>
    <w:rsid w:val="00730350"/>
    <w:rsid w:val="00732048"/>
    <w:rsid w:val="0073516C"/>
    <w:rsid w:val="007403F5"/>
    <w:rsid w:val="007426B3"/>
    <w:rsid w:val="00743353"/>
    <w:rsid w:val="007449DF"/>
    <w:rsid w:val="0075096B"/>
    <w:rsid w:val="00751648"/>
    <w:rsid w:val="00751BA0"/>
    <w:rsid w:val="00754145"/>
    <w:rsid w:val="00760615"/>
    <w:rsid w:val="0076231A"/>
    <w:rsid w:val="00764D03"/>
    <w:rsid w:val="00766365"/>
    <w:rsid w:val="00766597"/>
    <w:rsid w:val="0077267F"/>
    <w:rsid w:val="00774F55"/>
    <w:rsid w:val="00775D8A"/>
    <w:rsid w:val="0077659E"/>
    <w:rsid w:val="00777AD4"/>
    <w:rsid w:val="00780950"/>
    <w:rsid w:val="007809EF"/>
    <w:rsid w:val="00783C8F"/>
    <w:rsid w:val="00783D2C"/>
    <w:rsid w:val="00794F29"/>
    <w:rsid w:val="00797ECF"/>
    <w:rsid w:val="007A2250"/>
    <w:rsid w:val="007A5759"/>
    <w:rsid w:val="007B3CFE"/>
    <w:rsid w:val="007C19E4"/>
    <w:rsid w:val="007C41A5"/>
    <w:rsid w:val="007C58BE"/>
    <w:rsid w:val="007C7B46"/>
    <w:rsid w:val="007D080B"/>
    <w:rsid w:val="007E0083"/>
    <w:rsid w:val="007E24B0"/>
    <w:rsid w:val="007F4F18"/>
    <w:rsid w:val="007F78E1"/>
    <w:rsid w:val="0080473D"/>
    <w:rsid w:val="00814CCF"/>
    <w:rsid w:val="008152A7"/>
    <w:rsid w:val="00816E77"/>
    <w:rsid w:val="0082011D"/>
    <w:rsid w:val="00831263"/>
    <w:rsid w:val="00831DB7"/>
    <w:rsid w:val="00832EBF"/>
    <w:rsid w:val="008366CB"/>
    <w:rsid w:val="00837F3A"/>
    <w:rsid w:val="00841BD9"/>
    <w:rsid w:val="00850BE7"/>
    <w:rsid w:val="00854930"/>
    <w:rsid w:val="008620F3"/>
    <w:rsid w:val="00863986"/>
    <w:rsid w:val="00866257"/>
    <w:rsid w:val="00874F24"/>
    <w:rsid w:val="00876230"/>
    <w:rsid w:val="00877D5B"/>
    <w:rsid w:val="00880441"/>
    <w:rsid w:val="0088096B"/>
    <w:rsid w:val="00880B83"/>
    <w:rsid w:val="00886B1E"/>
    <w:rsid w:val="008911DF"/>
    <w:rsid w:val="008A460D"/>
    <w:rsid w:val="008A4CD5"/>
    <w:rsid w:val="008A588F"/>
    <w:rsid w:val="008A644A"/>
    <w:rsid w:val="008B05BD"/>
    <w:rsid w:val="008B0C03"/>
    <w:rsid w:val="008B0DD1"/>
    <w:rsid w:val="008B2F53"/>
    <w:rsid w:val="008B427B"/>
    <w:rsid w:val="008B56C3"/>
    <w:rsid w:val="008B6009"/>
    <w:rsid w:val="008C009F"/>
    <w:rsid w:val="008C46DC"/>
    <w:rsid w:val="008D15AA"/>
    <w:rsid w:val="008D6968"/>
    <w:rsid w:val="008D7F7C"/>
    <w:rsid w:val="008E3F07"/>
    <w:rsid w:val="008E5F36"/>
    <w:rsid w:val="008E6BD3"/>
    <w:rsid w:val="008F2757"/>
    <w:rsid w:val="008F2E4F"/>
    <w:rsid w:val="008F7436"/>
    <w:rsid w:val="008F7AFD"/>
    <w:rsid w:val="009055E4"/>
    <w:rsid w:val="00915C18"/>
    <w:rsid w:val="00917E9C"/>
    <w:rsid w:val="009255A6"/>
    <w:rsid w:val="00926A3C"/>
    <w:rsid w:val="0093027C"/>
    <w:rsid w:val="00936CE1"/>
    <w:rsid w:val="009401AF"/>
    <w:rsid w:val="009411D2"/>
    <w:rsid w:val="0094189B"/>
    <w:rsid w:val="009427C2"/>
    <w:rsid w:val="00951C56"/>
    <w:rsid w:val="0095599F"/>
    <w:rsid w:val="00957F18"/>
    <w:rsid w:val="0096424B"/>
    <w:rsid w:val="009701C8"/>
    <w:rsid w:val="00972EFD"/>
    <w:rsid w:val="00986616"/>
    <w:rsid w:val="00995398"/>
    <w:rsid w:val="009A0314"/>
    <w:rsid w:val="009A0638"/>
    <w:rsid w:val="009A52EB"/>
    <w:rsid w:val="009B32FA"/>
    <w:rsid w:val="009B599E"/>
    <w:rsid w:val="009C2C02"/>
    <w:rsid w:val="009C73CF"/>
    <w:rsid w:val="009E00AE"/>
    <w:rsid w:val="009E09D3"/>
    <w:rsid w:val="009E6E74"/>
    <w:rsid w:val="009E7EE1"/>
    <w:rsid w:val="009E7F32"/>
    <w:rsid w:val="00A0003C"/>
    <w:rsid w:val="00A1068E"/>
    <w:rsid w:val="00A10F53"/>
    <w:rsid w:val="00A30BA1"/>
    <w:rsid w:val="00A37DEE"/>
    <w:rsid w:val="00A433C3"/>
    <w:rsid w:val="00A52D5B"/>
    <w:rsid w:val="00A54BB7"/>
    <w:rsid w:val="00A5643A"/>
    <w:rsid w:val="00A57128"/>
    <w:rsid w:val="00A5723C"/>
    <w:rsid w:val="00A63A32"/>
    <w:rsid w:val="00A67EC6"/>
    <w:rsid w:val="00A707A4"/>
    <w:rsid w:val="00A70F69"/>
    <w:rsid w:val="00A7274B"/>
    <w:rsid w:val="00A73FB8"/>
    <w:rsid w:val="00A75086"/>
    <w:rsid w:val="00A763CB"/>
    <w:rsid w:val="00A801D1"/>
    <w:rsid w:val="00A81F69"/>
    <w:rsid w:val="00A84D85"/>
    <w:rsid w:val="00A85EBD"/>
    <w:rsid w:val="00AA3484"/>
    <w:rsid w:val="00AA7E7B"/>
    <w:rsid w:val="00AB6D0F"/>
    <w:rsid w:val="00AB7858"/>
    <w:rsid w:val="00AC094A"/>
    <w:rsid w:val="00AC61A6"/>
    <w:rsid w:val="00AD0FB5"/>
    <w:rsid w:val="00AD1BE5"/>
    <w:rsid w:val="00AD1DD2"/>
    <w:rsid w:val="00AD2062"/>
    <w:rsid w:val="00AD2F1D"/>
    <w:rsid w:val="00AD4ADB"/>
    <w:rsid w:val="00AE1E46"/>
    <w:rsid w:val="00AE36D1"/>
    <w:rsid w:val="00AE3A19"/>
    <w:rsid w:val="00AE4296"/>
    <w:rsid w:val="00AF0989"/>
    <w:rsid w:val="00AF2191"/>
    <w:rsid w:val="00AF70C2"/>
    <w:rsid w:val="00AF785C"/>
    <w:rsid w:val="00B02030"/>
    <w:rsid w:val="00B10E1D"/>
    <w:rsid w:val="00B12D1A"/>
    <w:rsid w:val="00B1449C"/>
    <w:rsid w:val="00B313BD"/>
    <w:rsid w:val="00B336AF"/>
    <w:rsid w:val="00B3498C"/>
    <w:rsid w:val="00B43CAD"/>
    <w:rsid w:val="00B53333"/>
    <w:rsid w:val="00B55A49"/>
    <w:rsid w:val="00B61613"/>
    <w:rsid w:val="00B6221C"/>
    <w:rsid w:val="00B64265"/>
    <w:rsid w:val="00B67F76"/>
    <w:rsid w:val="00B70EFF"/>
    <w:rsid w:val="00B71CFE"/>
    <w:rsid w:val="00B7558C"/>
    <w:rsid w:val="00B818C3"/>
    <w:rsid w:val="00B823C6"/>
    <w:rsid w:val="00B9194F"/>
    <w:rsid w:val="00B93F46"/>
    <w:rsid w:val="00BA003B"/>
    <w:rsid w:val="00BA689C"/>
    <w:rsid w:val="00BA7D0A"/>
    <w:rsid w:val="00BB05E2"/>
    <w:rsid w:val="00BD1111"/>
    <w:rsid w:val="00BD26B6"/>
    <w:rsid w:val="00BD4EBF"/>
    <w:rsid w:val="00BD62D3"/>
    <w:rsid w:val="00BD6469"/>
    <w:rsid w:val="00BE01C6"/>
    <w:rsid w:val="00BE4DAC"/>
    <w:rsid w:val="00BE7C8B"/>
    <w:rsid w:val="00BF13F8"/>
    <w:rsid w:val="00BF6860"/>
    <w:rsid w:val="00C01CFF"/>
    <w:rsid w:val="00C0233C"/>
    <w:rsid w:val="00C026F2"/>
    <w:rsid w:val="00C02D89"/>
    <w:rsid w:val="00C15B78"/>
    <w:rsid w:val="00C20764"/>
    <w:rsid w:val="00C2207B"/>
    <w:rsid w:val="00C22BA0"/>
    <w:rsid w:val="00C2496D"/>
    <w:rsid w:val="00C278D7"/>
    <w:rsid w:val="00C326E9"/>
    <w:rsid w:val="00C32F0B"/>
    <w:rsid w:val="00C34E97"/>
    <w:rsid w:val="00C46129"/>
    <w:rsid w:val="00C4624B"/>
    <w:rsid w:val="00C529E8"/>
    <w:rsid w:val="00C5454B"/>
    <w:rsid w:val="00C6013F"/>
    <w:rsid w:val="00C71238"/>
    <w:rsid w:val="00C71561"/>
    <w:rsid w:val="00C7210A"/>
    <w:rsid w:val="00C76325"/>
    <w:rsid w:val="00C8124F"/>
    <w:rsid w:val="00C81513"/>
    <w:rsid w:val="00C81B0E"/>
    <w:rsid w:val="00C84637"/>
    <w:rsid w:val="00C92AD3"/>
    <w:rsid w:val="00C968A2"/>
    <w:rsid w:val="00CA1009"/>
    <w:rsid w:val="00CA1F32"/>
    <w:rsid w:val="00CA30B4"/>
    <w:rsid w:val="00CA610B"/>
    <w:rsid w:val="00CA72FC"/>
    <w:rsid w:val="00CA732C"/>
    <w:rsid w:val="00CB56F5"/>
    <w:rsid w:val="00CB6E04"/>
    <w:rsid w:val="00CC2512"/>
    <w:rsid w:val="00CC25BC"/>
    <w:rsid w:val="00CC547F"/>
    <w:rsid w:val="00CD09AE"/>
    <w:rsid w:val="00CD5D21"/>
    <w:rsid w:val="00CD7457"/>
    <w:rsid w:val="00CE2652"/>
    <w:rsid w:val="00CE7906"/>
    <w:rsid w:val="00CF0E19"/>
    <w:rsid w:val="00D0278F"/>
    <w:rsid w:val="00D02A03"/>
    <w:rsid w:val="00D11353"/>
    <w:rsid w:val="00D27255"/>
    <w:rsid w:val="00D27D9B"/>
    <w:rsid w:val="00D3093D"/>
    <w:rsid w:val="00D376DB"/>
    <w:rsid w:val="00D408A5"/>
    <w:rsid w:val="00D40DE9"/>
    <w:rsid w:val="00D41212"/>
    <w:rsid w:val="00D412B6"/>
    <w:rsid w:val="00D42B45"/>
    <w:rsid w:val="00D53146"/>
    <w:rsid w:val="00D55D62"/>
    <w:rsid w:val="00D57EE0"/>
    <w:rsid w:val="00D642A9"/>
    <w:rsid w:val="00D660A1"/>
    <w:rsid w:val="00D67DCD"/>
    <w:rsid w:val="00D71362"/>
    <w:rsid w:val="00D74FA9"/>
    <w:rsid w:val="00D75416"/>
    <w:rsid w:val="00D82B45"/>
    <w:rsid w:val="00D8645C"/>
    <w:rsid w:val="00D92038"/>
    <w:rsid w:val="00D92274"/>
    <w:rsid w:val="00D94339"/>
    <w:rsid w:val="00D94820"/>
    <w:rsid w:val="00D9707F"/>
    <w:rsid w:val="00D97DD2"/>
    <w:rsid w:val="00DA0AD5"/>
    <w:rsid w:val="00DA1B01"/>
    <w:rsid w:val="00DA1F8E"/>
    <w:rsid w:val="00DA3E13"/>
    <w:rsid w:val="00DA57A4"/>
    <w:rsid w:val="00DB000D"/>
    <w:rsid w:val="00DB0D07"/>
    <w:rsid w:val="00DB56EB"/>
    <w:rsid w:val="00DB6FD0"/>
    <w:rsid w:val="00DC39E8"/>
    <w:rsid w:val="00DC4922"/>
    <w:rsid w:val="00DD3A4E"/>
    <w:rsid w:val="00DD51B7"/>
    <w:rsid w:val="00DD5F39"/>
    <w:rsid w:val="00DD788A"/>
    <w:rsid w:val="00DD7979"/>
    <w:rsid w:val="00DE2205"/>
    <w:rsid w:val="00DE6998"/>
    <w:rsid w:val="00DF0054"/>
    <w:rsid w:val="00DF0428"/>
    <w:rsid w:val="00DF3309"/>
    <w:rsid w:val="00DF5124"/>
    <w:rsid w:val="00DF7F39"/>
    <w:rsid w:val="00E15326"/>
    <w:rsid w:val="00E1702C"/>
    <w:rsid w:val="00E20B43"/>
    <w:rsid w:val="00E22EE8"/>
    <w:rsid w:val="00E23A45"/>
    <w:rsid w:val="00E23ABB"/>
    <w:rsid w:val="00E23E99"/>
    <w:rsid w:val="00E306CC"/>
    <w:rsid w:val="00E3093A"/>
    <w:rsid w:val="00E33078"/>
    <w:rsid w:val="00E335AB"/>
    <w:rsid w:val="00E33AB6"/>
    <w:rsid w:val="00E4012C"/>
    <w:rsid w:val="00E42A8F"/>
    <w:rsid w:val="00E431BF"/>
    <w:rsid w:val="00E448C8"/>
    <w:rsid w:val="00E5223F"/>
    <w:rsid w:val="00E534F0"/>
    <w:rsid w:val="00E56157"/>
    <w:rsid w:val="00E60B60"/>
    <w:rsid w:val="00E61F6B"/>
    <w:rsid w:val="00E63E5B"/>
    <w:rsid w:val="00E66B4F"/>
    <w:rsid w:val="00E741D5"/>
    <w:rsid w:val="00E74474"/>
    <w:rsid w:val="00E74937"/>
    <w:rsid w:val="00E769F6"/>
    <w:rsid w:val="00E77741"/>
    <w:rsid w:val="00E861E5"/>
    <w:rsid w:val="00E87A6A"/>
    <w:rsid w:val="00E9232A"/>
    <w:rsid w:val="00E93AD3"/>
    <w:rsid w:val="00EA4D1B"/>
    <w:rsid w:val="00EB1D11"/>
    <w:rsid w:val="00EB4347"/>
    <w:rsid w:val="00EC3DC1"/>
    <w:rsid w:val="00ED06A9"/>
    <w:rsid w:val="00ED2F1C"/>
    <w:rsid w:val="00ED3D05"/>
    <w:rsid w:val="00EE64AE"/>
    <w:rsid w:val="00EE71A2"/>
    <w:rsid w:val="00EF1238"/>
    <w:rsid w:val="00F06445"/>
    <w:rsid w:val="00F07114"/>
    <w:rsid w:val="00F206A7"/>
    <w:rsid w:val="00F3105E"/>
    <w:rsid w:val="00F41031"/>
    <w:rsid w:val="00F41591"/>
    <w:rsid w:val="00F41A63"/>
    <w:rsid w:val="00F45BEB"/>
    <w:rsid w:val="00F5206C"/>
    <w:rsid w:val="00F529DB"/>
    <w:rsid w:val="00F53FFF"/>
    <w:rsid w:val="00F54523"/>
    <w:rsid w:val="00F54B50"/>
    <w:rsid w:val="00F551FC"/>
    <w:rsid w:val="00F57DA8"/>
    <w:rsid w:val="00F57DB6"/>
    <w:rsid w:val="00F76A92"/>
    <w:rsid w:val="00F80294"/>
    <w:rsid w:val="00F84544"/>
    <w:rsid w:val="00F85AA7"/>
    <w:rsid w:val="00F954FA"/>
    <w:rsid w:val="00F95B1F"/>
    <w:rsid w:val="00F97D4B"/>
    <w:rsid w:val="00FA05B2"/>
    <w:rsid w:val="00FA6522"/>
    <w:rsid w:val="00FA68A7"/>
    <w:rsid w:val="00FC0C51"/>
    <w:rsid w:val="00FC2B3C"/>
    <w:rsid w:val="00FD1CD8"/>
    <w:rsid w:val="00FD374C"/>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104f75,#260859,#004712,#8a2529,#c2a204,#e87d1e"/>
    </o:shapedefaults>
    <o:shapelayout v:ext="edit">
      <o:idmap v:ext="edit" data="1"/>
    </o:shapelayout>
  </w:shapeDefaults>
  <w:decimalSymbol w:val="."/>
  <w:listSeparator w:val=","/>
  <w14:docId w14:val="1354D482"/>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semiHidden/>
    <w:unhideWhenUsed/>
    <w:rsid w:val="001623C5"/>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623C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1623C5"/>
    <w:rPr>
      <w:vertAlign w:val="superscript"/>
    </w:rPr>
  </w:style>
  <w:style w:type="paragraph" w:styleId="Revision">
    <w:name w:val="Revision"/>
    <w:hidden/>
    <w:uiPriority w:val="99"/>
    <w:semiHidden/>
    <w:rsid w:val="0043475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80366">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60376609">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research-reports-guide-and-templat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efce.ac.uk/media/hefce/content/pubs/indirreports/2014/A,review,of,the,cost,of,PGT,provision/pgtcostreview.pdf" TargetMode="External"/><Relationship Id="rId2" Type="http://schemas.openxmlformats.org/officeDocument/2006/relationships/hyperlink" Target="http://www.hefce.ac.uk/funding/finsustain/trac/" TargetMode="External"/><Relationship Id="rId1" Type="http://schemas.openxmlformats.org/officeDocument/2006/relationships/hyperlink" Target="https://www.gov.uk/government/publications/review-of-post-18-education-and-funding-terms-of-reference" TargetMode="External"/><Relationship Id="rId4" Type="http://schemas.openxmlformats.org/officeDocument/2006/relationships/hyperlink" Target="http://www.hefce.ac.uk/pubs/rereports/year/2017/preregc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2CYMDDFJX5CA-4-49942</_dlc_DocId>
    <_dlc_DocIdUrl xmlns="ad312983-9933-4586-87ae-0dd55f2c5b7f">
      <Url>https://educationgovuk.sharepoint.com/sites/sarpi/a/_layouts/15/DocIdRedir.aspx?ID=2CYMDDFJX5CA-4-49942</Url>
      <Description>2CYMDDFJX5CA-4-49942</Description>
    </_dlc_DocIdUrl>
    <h5181134883947a99a38d116ffff0006 xmlns="69aff0e4-7cd5-4607-b571-57bf84d7ea3b">
      <Terms xmlns="http://schemas.microsoft.com/office/infopath/2007/PartnerControls"/>
    </h5181134883947a99a38d116ffff000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cd0b6c9a3ebcb122b7930a57bd96835c">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infopath/2007/PartnerControl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DE9E7587-0406-43B4-B133-0168F89EA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FE88AF2-58C6-4E22-8061-AE3C85B9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2193</Words>
  <Characters>12498</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14662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2018-03-26T09:15:00Z</cp:lastPrinted>
  <dcterms:created xsi:type="dcterms:W3CDTF">2018-03-28T08:32:00Z</dcterms:created>
  <dcterms:modified xsi:type="dcterms:W3CDTF">2018-03-28T08:32:00Z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4c162c0b-9ee5-4d30-9182-e169c8d6c259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