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52BEE62B"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6167BA">
          <w:rPr>
            <w:noProof/>
            <w:webHidden/>
          </w:rPr>
          <w:t>2</w:t>
        </w:r>
        <w:r w:rsidR="00E91B23">
          <w:rPr>
            <w:noProof/>
            <w:webHidden/>
          </w:rPr>
          <w:fldChar w:fldCharType="end"/>
        </w:r>
      </w:hyperlink>
    </w:p>
    <w:p w14:paraId="0090E30E" w14:textId="77777777" w:rsidR="00E91B23" w:rsidRDefault="00984B92">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6167BA">
          <w:rPr>
            <w:noProof/>
            <w:webHidden/>
          </w:rPr>
          <w:t>2</w:t>
        </w:r>
        <w:r w:rsidR="00E91B23">
          <w:rPr>
            <w:noProof/>
            <w:webHidden/>
          </w:rPr>
          <w:fldChar w:fldCharType="end"/>
        </w:r>
      </w:hyperlink>
    </w:p>
    <w:p w14:paraId="516344FC" w14:textId="77777777" w:rsidR="00E91B23" w:rsidRDefault="00984B92">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6167BA">
          <w:rPr>
            <w:noProof/>
            <w:webHidden/>
          </w:rPr>
          <w:t>2</w:t>
        </w:r>
        <w:r w:rsidR="00E91B23">
          <w:rPr>
            <w:noProof/>
            <w:webHidden/>
          </w:rPr>
          <w:fldChar w:fldCharType="end"/>
        </w:r>
      </w:hyperlink>
    </w:p>
    <w:p w14:paraId="685A5A87" w14:textId="77777777" w:rsidR="00E91B23" w:rsidRDefault="00984B92">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E91B23">
          <w:rPr>
            <w:noProof/>
            <w:webHidden/>
          </w:rPr>
          <w:fldChar w:fldCharType="begin"/>
        </w:r>
        <w:r w:rsidR="00E91B23">
          <w:rPr>
            <w:noProof/>
            <w:webHidden/>
          </w:rPr>
          <w:instrText xml:space="preserve"> PAGEREF _Toc444518869 \h </w:instrText>
        </w:r>
        <w:r w:rsidR="00E91B23">
          <w:rPr>
            <w:noProof/>
            <w:webHidden/>
          </w:rPr>
        </w:r>
        <w:r w:rsidR="00E91B23">
          <w:rPr>
            <w:noProof/>
            <w:webHidden/>
          </w:rPr>
          <w:fldChar w:fldCharType="separate"/>
        </w:r>
        <w:r w:rsidR="006167BA">
          <w:rPr>
            <w:noProof/>
            <w:webHidden/>
          </w:rPr>
          <w:t>3</w:t>
        </w:r>
        <w:r w:rsidR="00E91B23">
          <w:rPr>
            <w:noProof/>
            <w:webHidden/>
          </w:rPr>
          <w:fldChar w:fldCharType="end"/>
        </w:r>
      </w:hyperlink>
    </w:p>
    <w:p w14:paraId="6D4FD052" w14:textId="77777777" w:rsidR="00E91B23" w:rsidRDefault="00984B92">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E91B23">
          <w:rPr>
            <w:noProof/>
            <w:webHidden/>
          </w:rPr>
          <w:fldChar w:fldCharType="begin"/>
        </w:r>
        <w:r w:rsidR="00E91B23">
          <w:rPr>
            <w:noProof/>
            <w:webHidden/>
          </w:rPr>
          <w:instrText xml:space="preserve"> PAGEREF _Toc444518870 \h </w:instrText>
        </w:r>
        <w:r w:rsidR="00E91B23">
          <w:rPr>
            <w:noProof/>
            <w:webHidden/>
          </w:rPr>
        </w:r>
        <w:r w:rsidR="00E91B23">
          <w:rPr>
            <w:noProof/>
            <w:webHidden/>
          </w:rPr>
          <w:fldChar w:fldCharType="separate"/>
        </w:r>
        <w:r w:rsidR="006167BA">
          <w:rPr>
            <w:noProof/>
            <w:webHidden/>
          </w:rPr>
          <w:t>3</w:t>
        </w:r>
        <w:r w:rsidR="00E91B23">
          <w:rPr>
            <w:noProof/>
            <w:webHidden/>
          </w:rPr>
          <w:fldChar w:fldCharType="end"/>
        </w:r>
      </w:hyperlink>
    </w:p>
    <w:p w14:paraId="29F7CD7B" w14:textId="77777777" w:rsidR="00E91B23" w:rsidRDefault="00984B92">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E91B23">
          <w:rPr>
            <w:noProof/>
            <w:webHidden/>
          </w:rPr>
          <w:fldChar w:fldCharType="begin"/>
        </w:r>
        <w:r w:rsidR="00E91B23">
          <w:rPr>
            <w:noProof/>
            <w:webHidden/>
          </w:rPr>
          <w:instrText xml:space="preserve"> PAGEREF _Toc444518871 \h </w:instrText>
        </w:r>
        <w:r w:rsidR="00E91B23">
          <w:rPr>
            <w:noProof/>
            <w:webHidden/>
          </w:rPr>
        </w:r>
        <w:r w:rsidR="00E91B23">
          <w:rPr>
            <w:noProof/>
            <w:webHidden/>
          </w:rPr>
          <w:fldChar w:fldCharType="separate"/>
        </w:r>
        <w:r w:rsidR="006167BA">
          <w:rPr>
            <w:noProof/>
            <w:webHidden/>
          </w:rPr>
          <w:t>4</w:t>
        </w:r>
        <w:r w:rsidR="00E91B23">
          <w:rPr>
            <w:noProof/>
            <w:webHidden/>
          </w:rPr>
          <w:fldChar w:fldCharType="end"/>
        </w:r>
      </w:hyperlink>
    </w:p>
    <w:p w14:paraId="2292AC8B" w14:textId="77777777" w:rsidR="00E91B23" w:rsidRDefault="00984B92">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E91B23">
          <w:rPr>
            <w:noProof/>
            <w:webHidden/>
          </w:rPr>
          <w:fldChar w:fldCharType="begin"/>
        </w:r>
        <w:r w:rsidR="00E91B23">
          <w:rPr>
            <w:noProof/>
            <w:webHidden/>
          </w:rPr>
          <w:instrText xml:space="preserve"> PAGEREF _Toc444518872 \h </w:instrText>
        </w:r>
        <w:r w:rsidR="00E91B23">
          <w:rPr>
            <w:noProof/>
            <w:webHidden/>
          </w:rPr>
        </w:r>
        <w:r w:rsidR="00E91B23">
          <w:rPr>
            <w:noProof/>
            <w:webHidden/>
          </w:rPr>
          <w:fldChar w:fldCharType="separate"/>
        </w:r>
        <w:r w:rsidR="006167BA">
          <w:rPr>
            <w:noProof/>
            <w:webHidden/>
          </w:rPr>
          <w:t>5</w:t>
        </w:r>
        <w:r w:rsidR="00E91B23">
          <w:rPr>
            <w:noProof/>
            <w:webHidden/>
          </w:rPr>
          <w:fldChar w:fldCharType="end"/>
        </w:r>
      </w:hyperlink>
    </w:p>
    <w:p w14:paraId="6FF2278F" w14:textId="77777777" w:rsidR="00E91B23" w:rsidRDefault="00984B92">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r w:rsidR="00E91B23">
          <w:rPr>
            <w:noProof/>
            <w:webHidden/>
          </w:rPr>
          <w:fldChar w:fldCharType="begin"/>
        </w:r>
        <w:r w:rsidR="00E91B23">
          <w:rPr>
            <w:noProof/>
            <w:webHidden/>
          </w:rPr>
          <w:instrText xml:space="preserve"> PAGEREF _Toc444518873 \h </w:instrText>
        </w:r>
        <w:r w:rsidR="00E91B23">
          <w:rPr>
            <w:noProof/>
            <w:webHidden/>
          </w:rPr>
        </w:r>
        <w:r w:rsidR="00E91B23">
          <w:rPr>
            <w:noProof/>
            <w:webHidden/>
          </w:rPr>
          <w:fldChar w:fldCharType="separate"/>
        </w:r>
        <w:r w:rsidR="006167BA">
          <w:rPr>
            <w:noProof/>
            <w:webHidden/>
          </w:rPr>
          <w:t>5</w:t>
        </w:r>
        <w:r w:rsidR="00E91B23">
          <w:rPr>
            <w:noProof/>
            <w:webHidden/>
          </w:rPr>
          <w:fldChar w:fldCharType="end"/>
        </w:r>
      </w:hyperlink>
    </w:p>
    <w:p w14:paraId="37E49BB3" w14:textId="77777777" w:rsidR="00E91B23" w:rsidRDefault="00984B92">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E91B23">
          <w:rPr>
            <w:noProof/>
            <w:webHidden/>
          </w:rPr>
          <w:fldChar w:fldCharType="begin"/>
        </w:r>
        <w:r w:rsidR="00E91B23">
          <w:rPr>
            <w:noProof/>
            <w:webHidden/>
          </w:rPr>
          <w:instrText xml:space="preserve"> PAGEREF _Toc444518874 \h </w:instrText>
        </w:r>
        <w:r w:rsidR="00E91B23">
          <w:rPr>
            <w:noProof/>
            <w:webHidden/>
          </w:rPr>
        </w:r>
        <w:r w:rsidR="00E91B23">
          <w:rPr>
            <w:noProof/>
            <w:webHidden/>
          </w:rPr>
          <w:fldChar w:fldCharType="separate"/>
        </w:r>
        <w:r w:rsidR="006167BA">
          <w:rPr>
            <w:noProof/>
            <w:webHidden/>
          </w:rPr>
          <w:t>5</w:t>
        </w:r>
        <w:r w:rsidR="00E91B23">
          <w:rPr>
            <w:noProof/>
            <w:webHidden/>
          </w:rPr>
          <w:fldChar w:fldCharType="end"/>
        </w:r>
      </w:hyperlink>
    </w:p>
    <w:p w14:paraId="5835FA84" w14:textId="77777777" w:rsidR="00E91B23" w:rsidRDefault="00984B92">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E91B23">
          <w:rPr>
            <w:noProof/>
            <w:webHidden/>
          </w:rPr>
          <w:fldChar w:fldCharType="begin"/>
        </w:r>
        <w:r w:rsidR="00E91B23">
          <w:rPr>
            <w:noProof/>
            <w:webHidden/>
          </w:rPr>
          <w:instrText xml:space="preserve"> PAGEREF _Toc444518875 \h </w:instrText>
        </w:r>
        <w:r w:rsidR="00E91B23">
          <w:rPr>
            <w:noProof/>
            <w:webHidden/>
          </w:rPr>
        </w:r>
        <w:r w:rsidR="00E91B23">
          <w:rPr>
            <w:noProof/>
            <w:webHidden/>
          </w:rPr>
          <w:fldChar w:fldCharType="separate"/>
        </w:r>
        <w:r w:rsidR="006167BA">
          <w:rPr>
            <w:noProof/>
            <w:webHidden/>
          </w:rPr>
          <w:t>5</w:t>
        </w:r>
        <w:r w:rsidR="00E91B23">
          <w:rPr>
            <w:noProof/>
            <w:webHidden/>
          </w:rPr>
          <w:fldChar w:fldCharType="end"/>
        </w:r>
      </w:hyperlink>
    </w:p>
    <w:p w14:paraId="29D887A6" w14:textId="77777777" w:rsidR="00E91B23" w:rsidRDefault="00984B92">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E91B23">
          <w:rPr>
            <w:noProof/>
            <w:webHidden/>
          </w:rPr>
          <w:fldChar w:fldCharType="begin"/>
        </w:r>
        <w:r w:rsidR="00E91B23">
          <w:rPr>
            <w:noProof/>
            <w:webHidden/>
          </w:rPr>
          <w:instrText xml:space="preserve"> PAGEREF _Toc444518876 \h </w:instrText>
        </w:r>
        <w:r w:rsidR="00E91B23">
          <w:rPr>
            <w:noProof/>
            <w:webHidden/>
          </w:rPr>
        </w:r>
        <w:r w:rsidR="00E91B23">
          <w:rPr>
            <w:noProof/>
            <w:webHidden/>
          </w:rPr>
          <w:fldChar w:fldCharType="separate"/>
        </w:r>
        <w:r w:rsidR="006167BA">
          <w:rPr>
            <w:noProof/>
            <w:webHidden/>
          </w:rPr>
          <w:t>6</w:t>
        </w:r>
        <w:r w:rsidR="00E91B23">
          <w:rPr>
            <w:noProof/>
            <w:webHidden/>
          </w:rPr>
          <w:fldChar w:fldCharType="end"/>
        </w:r>
      </w:hyperlink>
    </w:p>
    <w:p w14:paraId="72D8C225" w14:textId="77777777" w:rsidR="00E91B23" w:rsidRDefault="00984B92">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E91B23">
          <w:rPr>
            <w:noProof/>
            <w:webHidden/>
          </w:rPr>
          <w:fldChar w:fldCharType="begin"/>
        </w:r>
        <w:r w:rsidR="00E91B23">
          <w:rPr>
            <w:noProof/>
            <w:webHidden/>
          </w:rPr>
          <w:instrText xml:space="preserve"> PAGEREF _Toc444518877 \h </w:instrText>
        </w:r>
        <w:r w:rsidR="00E91B23">
          <w:rPr>
            <w:noProof/>
            <w:webHidden/>
          </w:rPr>
        </w:r>
        <w:r w:rsidR="00E91B23">
          <w:rPr>
            <w:noProof/>
            <w:webHidden/>
          </w:rPr>
          <w:fldChar w:fldCharType="separate"/>
        </w:r>
        <w:r w:rsidR="006167BA">
          <w:rPr>
            <w:noProof/>
            <w:webHidden/>
          </w:rPr>
          <w:t>6</w:t>
        </w:r>
        <w:r w:rsidR="00E91B23">
          <w:rPr>
            <w:noProof/>
            <w:webHidden/>
          </w:rPr>
          <w:fldChar w:fldCharType="end"/>
        </w:r>
      </w:hyperlink>
    </w:p>
    <w:p w14:paraId="009CF34A" w14:textId="77777777" w:rsidR="00E91B23" w:rsidRDefault="00984B92">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E91B23">
          <w:rPr>
            <w:noProof/>
            <w:webHidden/>
          </w:rPr>
          <w:fldChar w:fldCharType="begin"/>
        </w:r>
        <w:r w:rsidR="00E91B23">
          <w:rPr>
            <w:noProof/>
            <w:webHidden/>
          </w:rPr>
          <w:instrText xml:space="preserve"> PAGEREF _Toc444518878 \h </w:instrText>
        </w:r>
        <w:r w:rsidR="00E91B23">
          <w:rPr>
            <w:noProof/>
            <w:webHidden/>
          </w:rPr>
        </w:r>
        <w:r w:rsidR="00E91B23">
          <w:rPr>
            <w:noProof/>
            <w:webHidden/>
          </w:rPr>
          <w:fldChar w:fldCharType="separate"/>
        </w:r>
        <w:r w:rsidR="006167BA">
          <w:rPr>
            <w:noProof/>
            <w:webHidden/>
          </w:rPr>
          <w:t>6</w:t>
        </w:r>
        <w:r w:rsidR="00E91B23">
          <w:rPr>
            <w:noProof/>
            <w:webHidden/>
          </w:rPr>
          <w:fldChar w:fldCharType="end"/>
        </w:r>
      </w:hyperlink>
    </w:p>
    <w:p w14:paraId="202E1C73" w14:textId="77777777" w:rsidR="00E91B23" w:rsidRDefault="00984B92">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E91B23">
          <w:rPr>
            <w:noProof/>
            <w:webHidden/>
          </w:rPr>
          <w:fldChar w:fldCharType="begin"/>
        </w:r>
        <w:r w:rsidR="00E91B23">
          <w:rPr>
            <w:noProof/>
            <w:webHidden/>
          </w:rPr>
          <w:instrText xml:space="preserve"> PAGEREF _Toc444518879 \h </w:instrText>
        </w:r>
        <w:r w:rsidR="00E91B23">
          <w:rPr>
            <w:noProof/>
            <w:webHidden/>
          </w:rPr>
        </w:r>
        <w:r w:rsidR="00E91B23">
          <w:rPr>
            <w:noProof/>
            <w:webHidden/>
          </w:rPr>
          <w:fldChar w:fldCharType="separate"/>
        </w:r>
        <w:r w:rsidR="006167BA">
          <w:rPr>
            <w:noProof/>
            <w:webHidden/>
          </w:rPr>
          <w:t>6</w:t>
        </w:r>
        <w:r w:rsidR="00E91B23">
          <w:rPr>
            <w:noProof/>
            <w:webHidden/>
          </w:rPr>
          <w:fldChar w:fldCharType="end"/>
        </w:r>
      </w:hyperlink>
    </w:p>
    <w:p w14:paraId="240634F5" w14:textId="77777777" w:rsidR="00E91B23" w:rsidRDefault="00984B92">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E91B23">
          <w:rPr>
            <w:noProof/>
            <w:webHidden/>
          </w:rPr>
          <w:fldChar w:fldCharType="begin"/>
        </w:r>
        <w:r w:rsidR="00E91B23">
          <w:rPr>
            <w:noProof/>
            <w:webHidden/>
          </w:rPr>
          <w:instrText xml:space="preserve"> PAGEREF _Toc444518880 \h </w:instrText>
        </w:r>
        <w:r w:rsidR="00E91B23">
          <w:rPr>
            <w:noProof/>
            <w:webHidden/>
          </w:rPr>
        </w:r>
        <w:r w:rsidR="00E91B23">
          <w:rPr>
            <w:noProof/>
            <w:webHidden/>
          </w:rPr>
          <w:fldChar w:fldCharType="separate"/>
        </w:r>
        <w:r w:rsidR="006167BA">
          <w:rPr>
            <w:noProof/>
            <w:webHidden/>
          </w:rPr>
          <w:t>6</w:t>
        </w:r>
        <w:r w:rsidR="00E91B23">
          <w:rPr>
            <w:noProof/>
            <w:webHidden/>
          </w:rPr>
          <w:fldChar w:fldCharType="end"/>
        </w:r>
      </w:hyperlink>
    </w:p>
    <w:p w14:paraId="1D2A5D6E" w14:textId="77777777" w:rsidR="00E91B23" w:rsidRDefault="00984B92">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E91B23">
          <w:rPr>
            <w:noProof/>
            <w:webHidden/>
          </w:rPr>
          <w:fldChar w:fldCharType="begin"/>
        </w:r>
        <w:r w:rsidR="00E91B23">
          <w:rPr>
            <w:noProof/>
            <w:webHidden/>
          </w:rPr>
          <w:instrText xml:space="preserve"> PAGEREF _Toc444518881 \h </w:instrText>
        </w:r>
        <w:r w:rsidR="00E91B23">
          <w:rPr>
            <w:noProof/>
            <w:webHidden/>
          </w:rPr>
        </w:r>
        <w:r w:rsidR="00E91B23">
          <w:rPr>
            <w:noProof/>
            <w:webHidden/>
          </w:rPr>
          <w:fldChar w:fldCharType="separate"/>
        </w:r>
        <w:r w:rsidR="006167BA">
          <w:rPr>
            <w:noProof/>
            <w:webHidden/>
          </w:rPr>
          <w:t>6</w:t>
        </w:r>
        <w:r w:rsidR="00E91B23">
          <w:rPr>
            <w:noProof/>
            <w:webHidden/>
          </w:rPr>
          <w:fldChar w:fldCharType="end"/>
        </w:r>
      </w:hyperlink>
    </w:p>
    <w:p w14:paraId="7D4F0C8D" w14:textId="77777777" w:rsidR="00E91B23" w:rsidRDefault="00984B92">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E91B23">
          <w:rPr>
            <w:noProof/>
            <w:webHidden/>
          </w:rPr>
          <w:fldChar w:fldCharType="begin"/>
        </w:r>
        <w:r w:rsidR="00E91B23">
          <w:rPr>
            <w:noProof/>
            <w:webHidden/>
          </w:rPr>
          <w:instrText xml:space="preserve"> PAGEREF _Toc444518882 \h </w:instrText>
        </w:r>
        <w:r w:rsidR="00E91B23">
          <w:rPr>
            <w:noProof/>
            <w:webHidden/>
          </w:rPr>
        </w:r>
        <w:r w:rsidR="00E91B23">
          <w:rPr>
            <w:noProof/>
            <w:webHidden/>
          </w:rPr>
          <w:fldChar w:fldCharType="separate"/>
        </w:r>
        <w:r w:rsidR="006167BA">
          <w:rPr>
            <w:noProof/>
            <w:webHidden/>
          </w:rPr>
          <w:t>7</w:t>
        </w:r>
        <w:r w:rsidR="00E91B23">
          <w:rPr>
            <w:noProof/>
            <w:webHidden/>
          </w:rPr>
          <w:fldChar w:fldCharType="end"/>
        </w:r>
      </w:hyperlink>
    </w:p>
    <w:p w14:paraId="5CA17FA2" w14:textId="77777777" w:rsidR="00E91B23" w:rsidRDefault="00984B92">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E91B23">
          <w:rPr>
            <w:noProof/>
            <w:webHidden/>
          </w:rPr>
          <w:fldChar w:fldCharType="begin"/>
        </w:r>
        <w:r w:rsidR="00E91B23">
          <w:rPr>
            <w:noProof/>
            <w:webHidden/>
          </w:rPr>
          <w:instrText xml:space="preserve"> PAGEREF _Toc444518883 \h </w:instrText>
        </w:r>
        <w:r w:rsidR="00E91B23">
          <w:rPr>
            <w:noProof/>
            <w:webHidden/>
          </w:rPr>
        </w:r>
        <w:r w:rsidR="00E91B23">
          <w:rPr>
            <w:noProof/>
            <w:webHidden/>
          </w:rPr>
          <w:fldChar w:fldCharType="separate"/>
        </w:r>
        <w:r w:rsidR="006167BA">
          <w:rPr>
            <w:noProof/>
            <w:webHidden/>
          </w:rPr>
          <w:t>8</w:t>
        </w:r>
        <w:r w:rsidR="00E91B23">
          <w:rPr>
            <w:noProof/>
            <w:webHidden/>
          </w:rPr>
          <w:fldChar w:fldCharType="end"/>
        </w:r>
      </w:hyperlink>
    </w:p>
    <w:p w14:paraId="3AAA5C91" w14:textId="77777777" w:rsidR="00E91B23" w:rsidRDefault="00984B92">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E91B23">
          <w:rPr>
            <w:noProof/>
            <w:webHidden/>
          </w:rPr>
          <w:fldChar w:fldCharType="begin"/>
        </w:r>
        <w:r w:rsidR="00E91B23">
          <w:rPr>
            <w:noProof/>
            <w:webHidden/>
          </w:rPr>
          <w:instrText xml:space="preserve"> PAGEREF _Toc444518884 \h </w:instrText>
        </w:r>
        <w:r w:rsidR="00E91B23">
          <w:rPr>
            <w:noProof/>
            <w:webHidden/>
          </w:rPr>
        </w:r>
        <w:r w:rsidR="00E91B23">
          <w:rPr>
            <w:noProof/>
            <w:webHidden/>
          </w:rPr>
          <w:fldChar w:fldCharType="separate"/>
        </w:r>
        <w:r w:rsidR="006167BA">
          <w:rPr>
            <w:noProof/>
            <w:webHidden/>
          </w:rPr>
          <w:t>8</w:t>
        </w:r>
        <w:r w:rsidR="00E91B23">
          <w:rPr>
            <w:noProof/>
            <w:webHidden/>
          </w:rPr>
          <w:fldChar w:fldCharType="end"/>
        </w:r>
      </w:hyperlink>
    </w:p>
    <w:p w14:paraId="34AE040A" w14:textId="77777777" w:rsidR="00E91B23" w:rsidRDefault="00984B92">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E91B23">
          <w:rPr>
            <w:noProof/>
            <w:webHidden/>
          </w:rPr>
          <w:fldChar w:fldCharType="begin"/>
        </w:r>
        <w:r w:rsidR="00E91B23">
          <w:rPr>
            <w:noProof/>
            <w:webHidden/>
          </w:rPr>
          <w:instrText xml:space="preserve"> PAGEREF _Toc444518885 \h </w:instrText>
        </w:r>
        <w:r w:rsidR="00E91B23">
          <w:rPr>
            <w:noProof/>
            <w:webHidden/>
          </w:rPr>
        </w:r>
        <w:r w:rsidR="00E91B23">
          <w:rPr>
            <w:noProof/>
            <w:webHidden/>
          </w:rPr>
          <w:fldChar w:fldCharType="separate"/>
        </w:r>
        <w:r w:rsidR="006167BA">
          <w:rPr>
            <w:noProof/>
            <w:webHidden/>
          </w:rPr>
          <w:t>9</w:t>
        </w:r>
        <w:r w:rsidR="00E91B23">
          <w:rPr>
            <w:noProof/>
            <w:webHidden/>
          </w:rPr>
          <w:fldChar w:fldCharType="end"/>
        </w:r>
      </w:hyperlink>
    </w:p>
    <w:p w14:paraId="12DDB38D" w14:textId="77777777" w:rsidR="00E91B23" w:rsidRDefault="00984B92">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E91B23">
          <w:rPr>
            <w:noProof/>
            <w:webHidden/>
          </w:rPr>
          <w:fldChar w:fldCharType="begin"/>
        </w:r>
        <w:r w:rsidR="00E91B23">
          <w:rPr>
            <w:noProof/>
            <w:webHidden/>
          </w:rPr>
          <w:instrText xml:space="preserve"> PAGEREF _Toc444518886 \h </w:instrText>
        </w:r>
        <w:r w:rsidR="00E91B23">
          <w:rPr>
            <w:noProof/>
            <w:webHidden/>
          </w:rPr>
        </w:r>
        <w:r w:rsidR="00E91B23">
          <w:rPr>
            <w:noProof/>
            <w:webHidden/>
          </w:rPr>
          <w:fldChar w:fldCharType="separate"/>
        </w:r>
        <w:r w:rsidR="006167BA">
          <w:rPr>
            <w:noProof/>
            <w:webHidden/>
          </w:rPr>
          <w:t>9</w:t>
        </w:r>
        <w:r w:rsidR="00E91B2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6CD25C26"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17708403"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44518866"/>
      <w:r w:rsidRPr="00CE295C">
        <w:rPr>
          <w:caps w:val="0"/>
          <w:szCs w:val="22"/>
        </w:rPr>
        <w:lastRenderedPageBreak/>
        <w:t>PURPOSE</w:t>
      </w:r>
      <w:bookmarkEnd w:id="0"/>
      <w:bookmarkEnd w:id="1"/>
      <w:bookmarkEnd w:id="2"/>
    </w:p>
    <w:p w14:paraId="354A3A1F" w14:textId="5A62A22D" w:rsidR="00DF0B4F" w:rsidRPr="00DF0B4F" w:rsidRDefault="00DF0B4F" w:rsidP="00714DC4">
      <w:pPr>
        <w:pStyle w:val="Heading2"/>
        <w:rPr>
          <w:sz w:val="20"/>
          <w:szCs w:val="22"/>
        </w:rPr>
      </w:pPr>
      <w:bookmarkStart w:id="3" w:name="_Toc296415791"/>
      <w:r w:rsidRPr="00DF0B4F">
        <w:rPr>
          <w:szCs w:val="22"/>
        </w:rPr>
        <w:t xml:space="preserve">The term ‘Port Community System’ </w:t>
      </w:r>
      <w:r w:rsidRPr="00DF0B4F">
        <w:rPr>
          <w:rFonts w:cs="Arial"/>
          <w:szCs w:val="22"/>
        </w:rPr>
        <w:t>refers to an electronic platform that connects the multiple systems operated by a variety of organisations that make up a seaport community. It is shared in the sense that it is set up, organised and used by organisations in the same sector.</w:t>
      </w:r>
    </w:p>
    <w:p w14:paraId="21FAAEB4" w14:textId="77777777" w:rsidR="00084885" w:rsidRPr="008A738A" w:rsidRDefault="00084885" w:rsidP="00084885">
      <w:pPr>
        <w:pStyle w:val="Heading2"/>
        <w:rPr>
          <w:sz w:val="20"/>
          <w:szCs w:val="22"/>
        </w:rPr>
      </w:pPr>
      <w:r w:rsidRPr="000A0D21">
        <w:t xml:space="preserve">The purpose of the work is to assess </w:t>
      </w:r>
      <w:r>
        <w:t xml:space="preserve">the extent to which UK ports depend on </w:t>
      </w:r>
      <w:r w:rsidRPr="000A0D21">
        <w:t>third party common data systems</w:t>
      </w:r>
      <w:r>
        <w:t>;</w:t>
      </w:r>
      <w:r w:rsidRPr="000A0D21">
        <w:t xml:space="preserve"> </w:t>
      </w:r>
      <w:r>
        <w:t>which suppliers and systems are the most critical to the maritime sector; and to assess the potential impacts from their loss caused by a compromise of data/service provider’s network and information systems</w:t>
      </w:r>
      <w:r w:rsidRPr="000A0D21">
        <w:t>. The work will increase the</w:t>
      </w:r>
      <w:r>
        <w:t xml:space="preserve"> Government’s</w:t>
      </w:r>
      <w:r w:rsidRPr="000A0D21">
        <w:t xml:space="preserve"> understanding of </w:t>
      </w:r>
      <w:r>
        <w:t>how dependent the sector and individual organisations are on third party common data systems, and the potential impact if these</w:t>
      </w:r>
      <w:r w:rsidRPr="000A0D21">
        <w:t xml:space="preserve"> systems</w:t>
      </w:r>
      <w:r>
        <w:t xml:space="preserve"> were adversely affected by any cyber-related incident. The resulting reports will also recommend </w:t>
      </w:r>
      <w:r w:rsidRPr="000A0D21">
        <w:t>the next steps for government departments and industry</w:t>
      </w:r>
      <w:r>
        <w:t xml:space="preserve"> to take</w:t>
      </w:r>
      <w:r w:rsidRPr="000A0D21">
        <w:t>.</w:t>
      </w:r>
    </w:p>
    <w:p w14:paraId="75E98683" w14:textId="3E6C335F" w:rsidR="00084885" w:rsidRPr="00417E01" w:rsidRDefault="00084885" w:rsidP="00417E01">
      <w:pPr>
        <w:pStyle w:val="Heading2"/>
        <w:overflowPunct w:val="0"/>
        <w:autoSpaceDE w:val="0"/>
        <w:autoSpaceDN w:val="0"/>
        <w:spacing w:after="120"/>
        <w:ind w:left="709" w:hanging="709"/>
        <w:textAlignment w:val="baseline"/>
        <w:rPr>
          <w:szCs w:val="22"/>
        </w:rPr>
      </w:pPr>
      <w:r w:rsidRPr="00084885">
        <w:rPr>
          <w:rFonts w:eastAsia="Times New Roman"/>
          <w:lang w:eastAsia="en-GB"/>
        </w:rPr>
        <w:t>The Government-facing report will be used within the Department for Transport (DfT) and shared with the National Cyber Security Centre (NCSC), Defence Science and Technology Laboratory (DSTL), the Marine Accident Investigation Branch (MAIB) and the Marine and Coastguard Agency (MCA) to inform policy development in this field. The industry-facing report will be shared with participants in the study, as well as other critical operators.</w:t>
      </w:r>
      <w:r>
        <w:rPr>
          <w:rFonts w:eastAsia="Times New Roman"/>
          <w:lang w:eastAsia="en-GB"/>
        </w:rPr>
        <w:t xml:space="preserve"> </w:t>
      </w:r>
    </w:p>
    <w:p w14:paraId="7196B137" w14:textId="77777777" w:rsidR="00671798" w:rsidRPr="00084885"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44518867"/>
      <w:bookmarkStart w:id="6" w:name="_Toc297554773"/>
      <w:bookmarkStart w:id="7" w:name="_Toc296415805"/>
      <w:bookmarkStart w:id="8" w:name="_Toc296415793"/>
      <w:bookmarkEnd w:id="3"/>
      <w:r w:rsidRPr="00084885">
        <w:rPr>
          <w:szCs w:val="22"/>
        </w:rPr>
        <w:t>BACKGROUND TO THE CONTRACTING aUTHORITY</w:t>
      </w:r>
      <w:bookmarkEnd w:id="4"/>
      <w:bookmarkEnd w:id="5"/>
    </w:p>
    <w:p w14:paraId="6DAEB061" w14:textId="392F8DF9" w:rsidR="00AA4D72" w:rsidRPr="00084885" w:rsidRDefault="00084885" w:rsidP="00417E01">
      <w:pPr>
        <w:pStyle w:val="Heading2"/>
        <w:spacing w:after="120"/>
        <w:ind w:left="709" w:hanging="709"/>
      </w:pPr>
      <w:r w:rsidRPr="00084885">
        <w:t>The contracting authority is the Department for Transport (DfT). DfT is the government department responsible for the safety and security of transport across the UK</w:t>
      </w:r>
      <w:r w:rsidR="00417E01">
        <w:t>.</w:t>
      </w:r>
      <w:r w:rsidR="00AA4D72">
        <w:t xml:space="preserve"> DfT also has a responsibility for maritime security which covers sea and air ports.</w:t>
      </w:r>
    </w:p>
    <w:p w14:paraId="151A9D23" w14:textId="77777777" w:rsidR="00FE18AC" w:rsidRPr="00084885"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44518868"/>
      <w:r w:rsidRPr="00084885">
        <w:rPr>
          <w:szCs w:val="22"/>
        </w:rPr>
        <w:t>Background to requirement/OVERVIEW</w:t>
      </w:r>
      <w:bookmarkEnd w:id="6"/>
      <w:r w:rsidRPr="00084885">
        <w:rPr>
          <w:szCs w:val="22"/>
        </w:rPr>
        <w:t xml:space="preserve"> of requirement</w:t>
      </w:r>
      <w:bookmarkEnd w:id="9"/>
      <w:bookmarkEnd w:id="10"/>
    </w:p>
    <w:p w14:paraId="59628EBB" w14:textId="77777777" w:rsidR="00084885" w:rsidRPr="00084885" w:rsidRDefault="00084885" w:rsidP="00084885">
      <w:pPr>
        <w:pStyle w:val="Heading2"/>
        <w:rPr>
          <w:szCs w:val="22"/>
        </w:rPr>
      </w:pPr>
      <w:bookmarkStart w:id="11" w:name="_Toc297554774"/>
      <w:bookmarkEnd w:id="7"/>
      <w:r w:rsidRPr="00084885">
        <w:rPr>
          <w:rFonts w:cs="Arial"/>
        </w:rPr>
        <w:t>Like much of the UK’s Critical National Infrastructure (CNI), the UK maritime sector is a potential target for cyber-attacks and victim of other information security incidents. These may occur across the multitude of different systems and technologies that facilitate trade &amp; travel. There is scope for considerable economic and social disruption from malicious attacks, with the maritime sector being an attractive target for organised crime groups.</w:t>
      </w:r>
    </w:p>
    <w:p w14:paraId="350A8343" w14:textId="77777777" w:rsidR="00084885" w:rsidRPr="00084885" w:rsidRDefault="00084885" w:rsidP="00084885">
      <w:pPr>
        <w:pStyle w:val="Heading2"/>
        <w:rPr>
          <w:rFonts w:cs="Arial"/>
          <w:szCs w:val="22"/>
        </w:rPr>
      </w:pPr>
      <w:r w:rsidRPr="00084885">
        <w:rPr>
          <w:szCs w:val="22"/>
        </w:rPr>
        <w:t xml:space="preserve">There is a shortage </w:t>
      </w:r>
      <w:r w:rsidRPr="00084885">
        <w:rPr>
          <w:rFonts w:cs="Arial"/>
          <w:szCs w:val="22"/>
        </w:rPr>
        <w:t xml:space="preserve">of understanding of the dependencies of UK ports on common third party data systems and the impact of the loss or compromise of these systems on the effective operation of the ports. DfT and the DSTL have previously conducted studies into port cyber security which provided some insights and a high level view of how a CNI port depends on this data and the way it is ingested. The NCSC has also identified that there is a lack of knowledge of Port Community Systems. </w:t>
      </w:r>
    </w:p>
    <w:p w14:paraId="6F5A6752" w14:textId="77777777" w:rsidR="00084885" w:rsidRPr="00084885" w:rsidRDefault="00084885" w:rsidP="00084885">
      <w:pPr>
        <w:pStyle w:val="Heading2"/>
        <w:tabs>
          <w:tab w:val="clear" w:pos="720"/>
          <w:tab w:val="num" w:pos="709"/>
        </w:tabs>
        <w:spacing w:after="120"/>
        <w:ind w:left="709" w:hanging="709"/>
        <w:rPr>
          <w:szCs w:val="22"/>
        </w:rPr>
      </w:pPr>
      <w:r w:rsidRPr="00084885">
        <w:rPr>
          <w:szCs w:val="22"/>
        </w:rPr>
        <w:t xml:space="preserve">The </w:t>
      </w:r>
      <w:r w:rsidRPr="00084885">
        <w:rPr>
          <w:rFonts w:cs="Arial"/>
          <w:szCs w:val="22"/>
        </w:rPr>
        <w:t>outputs from this work should enable DfT to have a significantly improved view of the risk in this area and the maturity of industry’s resilience plans, providing strong options for further work if needed. This will assist DfT in developing a high level risk picture with which to inform senior officials and Ministers who have taken an interest in how the maritime industry is tackling this potential risk.</w:t>
      </w:r>
    </w:p>
    <w:p w14:paraId="7A3AA7A7" w14:textId="46178643" w:rsidR="00084885" w:rsidRPr="00084885" w:rsidRDefault="00084885" w:rsidP="00084885">
      <w:pPr>
        <w:pStyle w:val="Heading2"/>
        <w:rPr>
          <w:rFonts w:cs="Arial"/>
          <w:szCs w:val="22"/>
        </w:rPr>
      </w:pPr>
      <w:r w:rsidRPr="00084885">
        <w:rPr>
          <w:rFonts w:cs="Arial"/>
          <w:szCs w:val="22"/>
        </w:rPr>
        <w:lastRenderedPageBreak/>
        <w:t>Proposals will be evaluated on the basis of demonstrable</w:t>
      </w:r>
      <w:r w:rsidRPr="00084885">
        <w:rPr>
          <w:rFonts w:cs="Arial"/>
          <w:noProof/>
          <w:szCs w:val="22"/>
        </w:rPr>
        <w:t xml:space="preserve"> understanding of both the maritime industry and cyber security issues; how comprehensive the plan for engaging with relevant stakeholders is; proven experience in the field of mar</w:t>
      </w:r>
      <w:r w:rsidR="00F83ACE">
        <w:rPr>
          <w:rFonts w:cs="Arial"/>
          <w:noProof/>
          <w:szCs w:val="22"/>
        </w:rPr>
        <w:t>i</w:t>
      </w:r>
      <w:r w:rsidRPr="00084885">
        <w:rPr>
          <w:rFonts w:cs="Arial"/>
          <w:noProof/>
          <w:szCs w:val="22"/>
        </w:rPr>
        <w:t>time, which should include experience of cyber security; the approach to the exchange and protection of the sensitive information that will be obtained and the cost forecast for the work.</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444518869"/>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CC5721" w:rsidRDefault="00106F24" w:rsidP="0081061A">
            <w:pPr>
              <w:pStyle w:val="Heading2"/>
              <w:numPr>
                <w:ilvl w:val="0"/>
                <w:numId w:val="0"/>
              </w:numPr>
              <w:spacing w:after="120"/>
              <w:ind w:left="18" w:hanging="18"/>
              <w:jc w:val="left"/>
              <w:outlineLvl w:val="1"/>
            </w:pPr>
            <w:r w:rsidRPr="00CC5721">
              <w:t>Expression</w:t>
            </w:r>
            <w:r w:rsidR="0081061A" w:rsidRPr="00CC5721">
              <w:t xml:space="preserve"> or </w:t>
            </w:r>
            <w:r w:rsidRPr="00CC5721">
              <w:t>Acronym</w:t>
            </w:r>
          </w:p>
        </w:tc>
        <w:tc>
          <w:tcPr>
            <w:tcW w:w="6472" w:type="dxa"/>
            <w:shd w:val="clear" w:color="auto" w:fill="C6D9F1" w:themeFill="text2" w:themeFillTint="33"/>
          </w:tcPr>
          <w:p w14:paraId="0CDEAA6D" w14:textId="00739683" w:rsidR="00106F24" w:rsidRPr="00CC5721" w:rsidRDefault="00106F24" w:rsidP="0081061A">
            <w:pPr>
              <w:pStyle w:val="Heading2"/>
              <w:numPr>
                <w:ilvl w:val="0"/>
                <w:numId w:val="0"/>
              </w:numPr>
              <w:spacing w:after="120"/>
              <w:ind w:left="720" w:hanging="720"/>
              <w:outlineLvl w:val="1"/>
            </w:pPr>
            <w:r w:rsidRPr="00CC5721">
              <w:t>Definition</w:t>
            </w:r>
          </w:p>
        </w:tc>
      </w:tr>
      <w:tr w:rsidR="00CC5721" w14:paraId="722819D3" w14:textId="77777777" w:rsidTr="00106F24">
        <w:tc>
          <w:tcPr>
            <w:tcW w:w="1827" w:type="dxa"/>
          </w:tcPr>
          <w:p w14:paraId="18A7B53F" w14:textId="06864233" w:rsidR="00CC5721" w:rsidRPr="0081061A" w:rsidRDefault="00CC5721" w:rsidP="00CC5721">
            <w:pPr>
              <w:pStyle w:val="Heading2"/>
              <w:numPr>
                <w:ilvl w:val="0"/>
                <w:numId w:val="0"/>
              </w:numPr>
              <w:spacing w:after="120"/>
              <w:ind w:left="720" w:hanging="720"/>
              <w:outlineLvl w:val="1"/>
              <w:rPr>
                <w:highlight w:val="yellow"/>
              </w:rPr>
            </w:pPr>
            <w:r w:rsidRPr="001720C3">
              <w:t>CNI</w:t>
            </w:r>
          </w:p>
        </w:tc>
        <w:tc>
          <w:tcPr>
            <w:tcW w:w="6472" w:type="dxa"/>
          </w:tcPr>
          <w:p w14:paraId="74E0E117" w14:textId="4F58A15A" w:rsidR="00CC5721" w:rsidRPr="0081061A" w:rsidRDefault="00CC5721" w:rsidP="00CC5721">
            <w:pPr>
              <w:pStyle w:val="Heading2"/>
              <w:numPr>
                <w:ilvl w:val="0"/>
                <w:numId w:val="0"/>
              </w:numPr>
              <w:spacing w:after="120"/>
              <w:outlineLvl w:val="1"/>
              <w:rPr>
                <w:highlight w:val="yellow"/>
              </w:rPr>
            </w:pPr>
            <w:r w:rsidRPr="001720C3">
              <w:t>Critical National Infrastructure</w:t>
            </w:r>
          </w:p>
        </w:tc>
      </w:tr>
      <w:tr w:rsidR="00CC5721" w14:paraId="0ED1505B" w14:textId="77777777" w:rsidTr="00106F24">
        <w:tc>
          <w:tcPr>
            <w:tcW w:w="1827" w:type="dxa"/>
          </w:tcPr>
          <w:p w14:paraId="0773B834" w14:textId="67A64FE7" w:rsidR="00CC5721" w:rsidRPr="0081061A" w:rsidRDefault="00CC5721" w:rsidP="00CC5721">
            <w:pPr>
              <w:pStyle w:val="Heading2"/>
              <w:numPr>
                <w:ilvl w:val="0"/>
                <w:numId w:val="0"/>
              </w:numPr>
              <w:spacing w:after="120"/>
              <w:ind w:left="720" w:hanging="720"/>
              <w:outlineLvl w:val="1"/>
              <w:rPr>
                <w:highlight w:val="yellow"/>
              </w:rPr>
            </w:pPr>
            <w:r w:rsidRPr="001720C3">
              <w:t>CPNI</w:t>
            </w:r>
          </w:p>
        </w:tc>
        <w:tc>
          <w:tcPr>
            <w:tcW w:w="6472" w:type="dxa"/>
          </w:tcPr>
          <w:p w14:paraId="7D6E62CD" w14:textId="1632E080" w:rsidR="00CC5721" w:rsidRPr="0081061A" w:rsidRDefault="00CC5721" w:rsidP="00CC5721">
            <w:pPr>
              <w:pStyle w:val="Heading2"/>
              <w:numPr>
                <w:ilvl w:val="0"/>
                <w:numId w:val="0"/>
              </w:numPr>
              <w:spacing w:after="120"/>
              <w:ind w:left="720" w:hanging="720"/>
              <w:outlineLvl w:val="1"/>
              <w:rPr>
                <w:highlight w:val="yellow"/>
              </w:rPr>
            </w:pPr>
            <w:r w:rsidRPr="001720C3">
              <w:t>Centre for the Protection of National Infrastructure</w:t>
            </w:r>
          </w:p>
        </w:tc>
      </w:tr>
      <w:tr w:rsidR="00CC5721" w14:paraId="03344AB3" w14:textId="77777777" w:rsidTr="00106F24">
        <w:tc>
          <w:tcPr>
            <w:tcW w:w="1827" w:type="dxa"/>
          </w:tcPr>
          <w:p w14:paraId="0F046C88" w14:textId="725445A7" w:rsidR="00CC5721" w:rsidRPr="0081061A" w:rsidRDefault="00CC5721" w:rsidP="00CC5721">
            <w:pPr>
              <w:pStyle w:val="Heading2"/>
              <w:numPr>
                <w:ilvl w:val="0"/>
                <w:numId w:val="0"/>
              </w:numPr>
              <w:spacing w:after="120"/>
              <w:ind w:left="720" w:hanging="720"/>
              <w:outlineLvl w:val="1"/>
              <w:rPr>
                <w:highlight w:val="yellow"/>
              </w:rPr>
            </w:pPr>
            <w:r w:rsidRPr="001720C3">
              <w:t>DfT</w:t>
            </w:r>
          </w:p>
        </w:tc>
        <w:tc>
          <w:tcPr>
            <w:tcW w:w="6472" w:type="dxa"/>
          </w:tcPr>
          <w:p w14:paraId="37C45D19" w14:textId="38DB4A12" w:rsidR="00CC5721" w:rsidRPr="0081061A" w:rsidRDefault="00CC5721" w:rsidP="00CC5721">
            <w:pPr>
              <w:pStyle w:val="Heading2"/>
              <w:numPr>
                <w:ilvl w:val="0"/>
                <w:numId w:val="0"/>
              </w:numPr>
              <w:spacing w:after="120"/>
              <w:outlineLvl w:val="1"/>
              <w:rPr>
                <w:highlight w:val="yellow"/>
              </w:rPr>
            </w:pPr>
            <w:r w:rsidRPr="001720C3">
              <w:t>Department for Transport</w:t>
            </w:r>
          </w:p>
        </w:tc>
      </w:tr>
      <w:tr w:rsidR="00CC5721" w14:paraId="613E2638" w14:textId="77777777" w:rsidTr="00106F24">
        <w:tc>
          <w:tcPr>
            <w:tcW w:w="1827" w:type="dxa"/>
          </w:tcPr>
          <w:p w14:paraId="4926FA0E" w14:textId="284D2429" w:rsidR="00CC5721" w:rsidRPr="001720C3" w:rsidRDefault="00CC5721" w:rsidP="00CC5721">
            <w:pPr>
              <w:pStyle w:val="Heading2"/>
              <w:numPr>
                <w:ilvl w:val="0"/>
                <w:numId w:val="0"/>
              </w:numPr>
              <w:spacing w:after="120"/>
              <w:ind w:left="720" w:hanging="720"/>
              <w:outlineLvl w:val="1"/>
            </w:pPr>
            <w:r>
              <w:t>DSTL</w:t>
            </w:r>
          </w:p>
        </w:tc>
        <w:tc>
          <w:tcPr>
            <w:tcW w:w="6472" w:type="dxa"/>
          </w:tcPr>
          <w:p w14:paraId="7753B470" w14:textId="4FB55786" w:rsidR="00CC5721" w:rsidRDefault="00CC5721" w:rsidP="00CC5721">
            <w:pPr>
              <w:pStyle w:val="Heading2"/>
              <w:numPr>
                <w:ilvl w:val="0"/>
                <w:numId w:val="0"/>
              </w:numPr>
              <w:spacing w:after="120"/>
              <w:outlineLvl w:val="1"/>
            </w:pPr>
            <w:r>
              <w:t>Defence Science and Technology Laboratory</w:t>
            </w:r>
          </w:p>
        </w:tc>
      </w:tr>
      <w:tr w:rsidR="00CC5721" w14:paraId="78686293" w14:textId="77777777" w:rsidTr="00106F24">
        <w:tc>
          <w:tcPr>
            <w:tcW w:w="1827" w:type="dxa"/>
          </w:tcPr>
          <w:p w14:paraId="2F547168" w14:textId="579A9A43" w:rsidR="00CC5721" w:rsidRDefault="00CC5721" w:rsidP="00CC5721">
            <w:pPr>
              <w:pStyle w:val="Heading2"/>
              <w:numPr>
                <w:ilvl w:val="0"/>
                <w:numId w:val="0"/>
              </w:numPr>
              <w:spacing w:after="120"/>
              <w:ind w:left="720" w:hanging="720"/>
              <w:outlineLvl w:val="1"/>
            </w:pPr>
            <w:r w:rsidRPr="001720C3">
              <w:t>ENISA</w:t>
            </w:r>
          </w:p>
        </w:tc>
        <w:tc>
          <w:tcPr>
            <w:tcW w:w="6472" w:type="dxa"/>
          </w:tcPr>
          <w:p w14:paraId="558F6026" w14:textId="7AEB985A" w:rsidR="00CC5721" w:rsidRDefault="00CC5721" w:rsidP="00CC5721">
            <w:pPr>
              <w:pStyle w:val="Heading2"/>
              <w:numPr>
                <w:ilvl w:val="0"/>
                <w:numId w:val="0"/>
              </w:numPr>
              <w:spacing w:after="120"/>
              <w:outlineLvl w:val="1"/>
            </w:pPr>
            <w:r w:rsidRPr="001720C3">
              <w:t>European Network and Information Security Agency</w:t>
            </w:r>
          </w:p>
        </w:tc>
      </w:tr>
      <w:tr w:rsidR="00CC5721" w14:paraId="0806A031" w14:textId="77777777" w:rsidTr="00106F24">
        <w:tc>
          <w:tcPr>
            <w:tcW w:w="1827" w:type="dxa"/>
          </w:tcPr>
          <w:p w14:paraId="7C4431A5" w14:textId="013C33E6" w:rsidR="00CC5721" w:rsidRPr="001720C3" w:rsidRDefault="00CC5721" w:rsidP="00CC5721">
            <w:pPr>
              <w:pStyle w:val="Heading2"/>
              <w:numPr>
                <w:ilvl w:val="0"/>
                <w:numId w:val="0"/>
              </w:numPr>
              <w:spacing w:after="120"/>
              <w:ind w:left="720" w:hanging="720"/>
              <w:outlineLvl w:val="1"/>
            </w:pPr>
            <w:r>
              <w:t>MAIB</w:t>
            </w:r>
          </w:p>
        </w:tc>
        <w:tc>
          <w:tcPr>
            <w:tcW w:w="6472" w:type="dxa"/>
          </w:tcPr>
          <w:p w14:paraId="5F317948" w14:textId="3B40AB62" w:rsidR="00CC5721" w:rsidRDefault="00CC5721" w:rsidP="00CC5721">
            <w:pPr>
              <w:pStyle w:val="Heading2"/>
              <w:numPr>
                <w:ilvl w:val="0"/>
                <w:numId w:val="0"/>
              </w:numPr>
              <w:spacing w:after="120"/>
              <w:outlineLvl w:val="1"/>
            </w:pPr>
            <w:r>
              <w:t>Marine Accident Investigation Branch</w:t>
            </w:r>
          </w:p>
        </w:tc>
      </w:tr>
      <w:tr w:rsidR="00CC5721" w14:paraId="7F68CB01" w14:textId="77777777" w:rsidTr="00106F24">
        <w:tc>
          <w:tcPr>
            <w:tcW w:w="1827" w:type="dxa"/>
          </w:tcPr>
          <w:p w14:paraId="58F69ED8" w14:textId="7240ED0E" w:rsidR="00CC5721" w:rsidRDefault="00CC5721" w:rsidP="00CC5721">
            <w:pPr>
              <w:pStyle w:val="Heading2"/>
              <w:numPr>
                <w:ilvl w:val="0"/>
                <w:numId w:val="0"/>
              </w:numPr>
              <w:spacing w:after="120"/>
              <w:ind w:left="720" w:hanging="720"/>
              <w:outlineLvl w:val="1"/>
            </w:pPr>
            <w:r>
              <w:t>MCA</w:t>
            </w:r>
          </w:p>
        </w:tc>
        <w:tc>
          <w:tcPr>
            <w:tcW w:w="6472" w:type="dxa"/>
          </w:tcPr>
          <w:p w14:paraId="0838A042" w14:textId="3AFB9DA7" w:rsidR="00CC5721" w:rsidRDefault="00CC5721" w:rsidP="00CC5721">
            <w:pPr>
              <w:pStyle w:val="Heading2"/>
              <w:numPr>
                <w:ilvl w:val="0"/>
                <w:numId w:val="0"/>
              </w:numPr>
              <w:spacing w:after="120"/>
              <w:outlineLvl w:val="1"/>
            </w:pPr>
            <w:r>
              <w:t>Marine and Coastguard Agency</w:t>
            </w:r>
          </w:p>
        </w:tc>
      </w:tr>
      <w:tr w:rsidR="00CC5721" w14:paraId="77744288" w14:textId="77777777" w:rsidTr="00106F24">
        <w:tc>
          <w:tcPr>
            <w:tcW w:w="1827" w:type="dxa"/>
          </w:tcPr>
          <w:p w14:paraId="7F669D77" w14:textId="42294CFF" w:rsidR="00CC5721" w:rsidRDefault="00CC5721" w:rsidP="00CC5721">
            <w:pPr>
              <w:pStyle w:val="Heading2"/>
              <w:numPr>
                <w:ilvl w:val="0"/>
                <w:numId w:val="0"/>
              </w:numPr>
              <w:spacing w:after="120"/>
              <w:ind w:left="720" w:hanging="720"/>
              <w:outlineLvl w:val="1"/>
            </w:pPr>
            <w:r w:rsidRPr="001720C3">
              <w:t>NCSC</w:t>
            </w:r>
          </w:p>
        </w:tc>
        <w:tc>
          <w:tcPr>
            <w:tcW w:w="6472" w:type="dxa"/>
          </w:tcPr>
          <w:p w14:paraId="1EB3EC12" w14:textId="6676C89A" w:rsidR="00CC5721" w:rsidRDefault="00CC5721" w:rsidP="00CC5721">
            <w:pPr>
              <w:pStyle w:val="Heading2"/>
              <w:numPr>
                <w:ilvl w:val="0"/>
                <w:numId w:val="0"/>
              </w:numPr>
              <w:spacing w:after="120"/>
              <w:outlineLvl w:val="1"/>
            </w:pPr>
            <w:r w:rsidRPr="001720C3">
              <w:t>Nation</w:t>
            </w:r>
            <w:r>
              <w:t>al</w:t>
            </w:r>
            <w:r w:rsidRPr="001720C3">
              <w:t xml:space="preserve"> Cyber Security Centre</w:t>
            </w:r>
          </w:p>
        </w:tc>
      </w:tr>
      <w:tr w:rsidR="00CC5721" w14:paraId="370F5DAC" w14:textId="77777777" w:rsidTr="00106F24">
        <w:tc>
          <w:tcPr>
            <w:tcW w:w="1827" w:type="dxa"/>
          </w:tcPr>
          <w:p w14:paraId="3F00CE1C" w14:textId="63895C5C" w:rsidR="00CC5721" w:rsidRPr="001720C3" w:rsidRDefault="00CC5721" w:rsidP="00CC5721">
            <w:pPr>
              <w:pStyle w:val="Heading2"/>
              <w:numPr>
                <w:ilvl w:val="0"/>
                <w:numId w:val="0"/>
              </w:numPr>
              <w:spacing w:after="120"/>
              <w:ind w:left="720" w:hanging="720"/>
              <w:outlineLvl w:val="1"/>
            </w:pPr>
            <w:r>
              <w:t>PoF</w:t>
            </w:r>
          </w:p>
        </w:tc>
        <w:tc>
          <w:tcPr>
            <w:tcW w:w="6472" w:type="dxa"/>
          </w:tcPr>
          <w:p w14:paraId="1CEFD01B" w14:textId="4A7AAA57" w:rsidR="00CC5721" w:rsidRDefault="00CC5721" w:rsidP="00CC5721">
            <w:pPr>
              <w:pStyle w:val="Heading2"/>
              <w:numPr>
                <w:ilvl w:val="0"/>
                <w:numId w:val="0"/>
              </w:numPr>
              <w:spacing w:after="120"/>
              <w:outlineLvl w:val="1"/>
            </w:pPr>
            <w:r>
              <w:t>Port of Felixstowe</w:t>
            </w:r>
          </w:p>
        </w:tc>
      </w:tr>
    </w:tbl>
    <w:p w14:paraId="66895B4F" w14:textId="4685429B" w:rsidR="0001628F" w:rsidRDefault="00FE18AC" w:rsidP="0001628F">
      <w:pPr>
        <w:pStyle w:val="Heading1"/>
        <w:tabs>
          <w:tab w:val="clear" w:pos="720"/>
        </w:tabs>
        <w:overflowPunct w:val="0"/>
        <w:autoSpaceDE w:val="0"/>
        <w:autoSpaceDN w:val="0"/>
        <w:spacing w:before="240" w:after="120"/>
        <w:textAlignment w:val="baseline"/>
        <w:rPr>
          <w:szCs w:val="22"/>
        </w:rPr>
      </w:pPr>
      <w:bookmarkStart w:id="14" w:name="_Toc444518870"/>
      <w:r w:rsidRPr="00B9425F">
        <w:rPr>
          <w:szCs w:val="22"/>
        </w:rPr>
        <w:t>scope of requirement</w:t>
      </w:r>
      <w:bookmarkEnd w:id="11"/>
      <w:bookmarkEnd w:id="13"/>
      <w:bookmarkEnd w:id="14"/>
      <w:r w:rsidRPr="00B9425F">
        <w:rPr>
          <w:szCs w:val="22"/>
        </w:rPr>
        <w:t xml:space="preserve"> </w:t>
      </w:r>
    </w:p>
    <w:p w14:paraId="4F947079" w14:textId="690AF36B" w:rsidR="00B73E47" w:rsidRDefault="00B73E47" w:rsidP="00B73E47">
      <w:pPr>
        <w:pStyle w:val="Heading2"/>
      </w:pPr>
      <w:r>
        <w:t>The following items are in scope:</w:t>
      </w:r>
    </w:p>
    <w:p w14:paraId="522B10C5" w14:textId="168808ED" w:rsidR="00B73E47" w:rsidRPr="00B73E47" w:rsidRDefault="00B73E47" w:rsidP="00B73E47">
      <w:pPr>
        <w:pStyle w:val="Heading3"/>
      </w:pPr>
      <w:r w:rsidRPr="00B73E47">
        <w:t>The Potential Provider</w:t>
      </w:r>
      <w:r w:rsidRPr="00B73E47" w:rsidDel="00B80F25">
        <w:t xml:space="preserve"> </w:t>
      </w:r>
      <w:r w:rsidRPr="00B73E47">
        <w:t>will need to engage and meet with at least ten UK ports. The Potential Provider</w:t>
      </w:r>
      <w:r w:rsidRPr="00B73E47" w:rsidDel="00B80F25">
        <w:t xml:space="preserve"> </w:t>
      </w:r>
      <w:r w:rsidRPr="00B73E47">
        <w:t xml:space="preserve">must ensure they engage with some specific ports, the identities of which the Authority will inform the Potential Provider once the contract is awarded. </w:t>
      </w:r>
    </w:p>
    <w:p w14:paraId="4F63B49F" w14:textId="77777777" w:rsidR="00B73E47" w:rsidRPr="00B73E47" w:rsidRDefault="00B73E47" w:rsidP="00B73E47">
      <w:pPr>
        <w:pStyle w:val="Heading3"/>
      </w:pPr>
      <w:r w:rsidRPr="00B73E47">
        <w:t>The Potential Provider</w:t>
      </w:r>
      <w:r w:rsidRPr="00B73E47" w:rsidDel="00B80F25">
        <w:t xml:space="preserve"> </w:t>
      </w:r>
      <w:r w:rsidRPr="00B73E47">
        <w:t>must engage and meet with at least two key industry service and data providers that provide services to UK ports. The Authority will specify specific service and data providers to the Potential Provider. Some of these third party providers may be based outside the UK so some international travel may be required.</w:t>
      </w:r>
    </w:p>
    <w:p w14:paraId="51EBD3DC" w14:textId="24E97E4D" w:rsidR="00B73E47" w:rsidRDefault="00B73E47" w:rsidP="00B73E47">
      <w:pPr>
        <w:pStyle w:val="Heading3"/>
      </w:pPr>
      <w:r w:rsidRPr="00B73E47">
        <w:t>The Potential Provider will be required to investigate whether other systems, not specified by the Authority, are in use in UK Ports, and how widespread their use is.</w:t>
      </w:r>
    </w:p>
    <w:p w14:paraId="70EBED82" w14:textId="729FD694" w:rsidR="0041422C" w:rsidRDefault="0041422C" w:rsidP="00B73E47">
      <w:pPr>
        <w:pStyle w:val="Heading3"/>
      </w:pPr>
      <w:r>
        <w:t>The following items are excluded from scope:</w:t>
      </w:r>
    </w:p>
    <w:p w14:paraId="58CE04ED" w14:textId="260CB909" w:rsidR="0041422C" w:rsidRDefault="0041422C" w:rsidP="0041422C">
      <w:pPr>
        <w:pStyle w:val="Heading4"/>
      </w:pPr>
      <w:r w:rsidRPr="007411B2">
        <w:t xml:space="preserve">The Potential Provider </w:t>
      </w:r>
      <w:r>
        <w:t>will not be required</w:t>
      </w:r>
      <w:r w:rsidRPr="007411B2">
        <w:t xml:space="preserve"> engage with non-UK ports. This also means that the Potential Provider </w:t>
      </w:r>
      <w:r>
        <w:t>will not be required</w:t>
      </w:r>
      <w:r w:rsidRPr="007411B2">
        <w:t xml:space="preserve"> </w:t>
      </w:r>
      <w:r>
        <w:t>to</w:t>
      </w:r>
      <w:r w:rsidRPr="007411B2">
        <w:t xml:space="preserve"> engage with third party providers that </w:t>
      </w:r>
      <w:r>
        <w:t xml:space="preserve">only </w:t>
      </w:r>
      <w:r w:rsidRPr="007411B2">
        <w:t>provide a service to non-UK</w:t>
      </w:r>
    </w:p>
    <w:p w14:paraId="3491B80B" w14:textId="77777777" w:rsidR="00671798" w:rsidRDefault="00FE18AC">
      <w:pPr>
        <w:pStyle w:val="Heading1"/>
        <w:spacing w:after="120"/>
      </w:pPr>
      <w:bookmarkStart w:id="15" w:name="_Toc368573031"/>
      <w:bookmarkStart w:id="16" w:name="_Toc444518871"/>
      <w:bookmarkEnd w:id="8"/>
      <w:r w:rsidRPr="00BE6EE0">
        <w:lastRenderedPageBreak/>
        <w:t>The requirement</w:t>
      </w:r>
      <w:bookmarkEnd w:id="15"/>
      <w:bookmarkEnd w:id="16"/>
    </w:p>
    <w:p w14:paraId="55BC0C0C" w14:textId="77777777" w:rsidR="001C584A" w:rsidRDefault="001C584A" w:rsidP="00417E01">
      <w:pPr>
        <w:pStyle w:val="Heading2"/>
        <w:tabs>
          <w:tab w:val="clear" w:pos="720"/>
          <w:tab w:val="num" w:pos="709"/>
        </w:tabs>
        <w:spacing w:after="0"/>
        <w:ind w:left="709" w:hanging="709"/>
        <w:rPr>
          <w:rFonts w:cs="Arial"/>
          <w:szCs w:val="22"/>
        </w:rPr>
      </w:pPr>
      <w:r w:rsidRPr="007411B2">
        <w:rPr>
          <w:rFonts w:cs="Arial"/>
          <w:szCs w:val="22"/>
        </w:rPr>
        <w:t>A consultancy-based exercise to assess ports’ dependence on key data sources. The Potential Provider should engage with key industry partners including</w:t>
      </w:r>
      <w:r>
        <w:rPr>
          <w:rFonts w:cs="Arial"/>
          <w:szCs w:val="22"/>
        </w:rPr>
        <w:t xml:space="preserve"> UK ports and </w:t>
      </w:r>
      <w:r w:rsidRPr="007411B2">
        <w:rPr>
          <w:rFonts w:cs="Arial"/>
          <w:szCs w:val="22"/>
        </w:rPr>
        <w:t>the data/service providers. This will include arranging and travelling to meetings with appropriate staff members from the industry.</w:t>
      </w:r>
    </w:p>
    <w:p w14:paraId="2A271E39" w14:textId="77777777" w:rsidR="001C584A" w:rsidRPr="007411B2" w:rsidRDefault="001C584A" w:rsidP="00417E01">
      <w:pPr>
        <w:pStyle w:val="PlainText"/>
        <w:jc w:val="both"/>
        <w:rPr>
          <w:rFonts w:ascii="Arial" w:hAnsi="Arial" w:cs="Arial"/>
          <w:sz w:val="22"/>
          <w:szCs w:val="22"/>
        </w:rPr>
      </w:pPr>
    </w:p>
    <w:p w14:paraId="39BF3FD5" w14:textId="77777777" w:rsidR="001C584A" w:rsidRPr="007411B2" w:rsidRDefault="001C584A" w:rsidP="00417E01">
      <w:pPr>
        <w:pStyle w:val="PlainText"/>
        <w:ind w:left="720"/>
        <w:jc w:val="both"/>
        <w:rPr>
          <w:rFonts w:ascii="Arial" w:hAnsi="Arial" w:cs="Arial"/>
          <w:sz w:val="22"/>
          <w:szCs w:val="22"/>
        </w:rPr>
      </w:pPr>
      <w:r>
        <w:rPr>
          <w:rFonts w:ascii="Arial" w:hAnsi="Arial" w:cs="Arial"/>
          <w:sz w:val="22"/>
          <w:szCs w:val="22"/>
        </w:rPr>
        <w:t>As well as</w:t>
      </w:r>
      <w:r w:rsidRPr="007411B2">
        <w:rPr>
          <w:rFonts w:ascii="Arial" w:hAnsi="Arial" w:cs="Arial"/>
          <w:sz w:val="22"/>
          <w:szCs w:val="22"/>
        </w:rPr>
        <w:t xml:space="preserve"> assess</w:t>
      </w:r>
      <w:r>
        <w:rPr>
          <w:rFonts w:ascii="Arial" w:hAnsi="Arial" w:cs="Arial"/>
          <w:sz w:val="22"/>
          <w:szCs w:val="22"/>
        </w:rPr>
        <w:t>ing</w:t>
      </w:r>
      <w:r w:rsidRPr="007411B2">
        <w:rPr>
          <w:rFonts w:ascii="Arial" w:hAnsi="Arial" w:cs="Arial"/>
          <w:sz w:val="22"/>
          <w:szCs w:val="22"/>
        </w:rPr>
        <w:t xml:space="preserve"> dependenc</w:t>
      </w:r>
      <w:r>
        <w:rPr>
          <w:rFonts w:ascii="Arial" w:hAnsi="Arial" w:cs="Arial"/>
          <w:sz w:val="22"/>
          <w:szCs w:val="22"/>
        </w:rPr>
        <w:t>ies</w:t>
      </w:r>
      <w:r w:rsidRPr="007411B2">
        <w:rPr>
          <w:rFonts w:ascii="Arial" w:hAnsi="Arial" w:cs="Arial"/>
          <w:sz w:val="22"/>
          <w:szCs w:val="22"/>
        </w:rPr>
        <w:t xml:space="preserve"> and</w:t>
      </w:r>
      <w:r>
        <w:rPr>
          <w:rFonts w:ascii="Arial" w:hAnsi="Arial" w:cs="Arial"/>
          <w:sz w:val="22"/>
          <w:szCs w:val="22"/>
        </w:rPr>
        <w:t xml:space="preserve"> potential impacts of a loss of data systems, the reports should</w:t>
      </w:r>
      <w:r w:rsidRPr="007411B2">
        <w:rPr>
          <w:rFonts w:ascii="Arial" w:hAnsi="Arial" w:cs="Arial"/>
          <w:sz w:val="22"/>
          <w:szCs w:val="22"/>
        </w:rPr>
        <w:t xml:space="preserve"> provide an assessment of what steps are being taken to assure this data is protected</w:t>
      </w:r>
      <w:r>
        <w:rPr>
          <w:rFonts w:ascii="Arial" w:hAnsi="Arial" w:cs="Arial"/>
          <w:sz w:val="22"/>
          <w:szCs w:val="22"/>
        </w:rPr>
        <w:t>, and the resilience plans that are in place.</w:t>
      </w:r>
    </w:p>
    <w:p w14:paraId="7900A106" w14:textId="77777777" w:rsidR="001C584A" w:rsidRDefault="001C584A" w:rsidP="00417E01">
      <w:pPr>
        <w:pStyle w:val="PlainText"/>
        <w:ind w:left="720"/>
        <w:jc w:val="both"/>
        <w:rPr>
          <w:rFonts w:ascii="Arial" w:hAnsi="Arial" w:cs="Arial"/>
          <w:sz w:val="22"/>
          <w:szCs w:val="22"/>
        </w:rPr>
      </w:pPr>
    </w:p>
    <w:p w14:paraId="282E4A6F" w14:textId="77777777" w:rsidR="001C584A" w:rsidRPr="007411B2" w:rsidRDefault="001C584A" w:rsidP="00417E01">
      <w:pPr>
        <w:pStyle w:val="PlainText"/>
        <w:ind w:left="720"/>
        <w:jc w:val="both"/>
        <w:rPr>
          <w:rFonts w:cs="Arial"/>
          <w:szCs w:val="22"/>
        </w:rPr>
      </w:pPr>
      <w:r>
        <w:rPr>
          <w:rFonts w:ascii="Arial" w:hAnsi="Arial" w:cs="Arial"/>
          <w:sz w:val="22"/>
          <w:szCs w:val="22"/>
        </w:rPr>
        <w:t>In the reports, t</w:t>
      </w:r>
      <w:r w:rsidRPr="007411B2">
        <w:rPr>
          <w:rFonts w:ascii="Arial" w:hAnsi="Arial" w:cs="Arial"/>
          <w:sz w:val="22"/>
          <w:szCs w:val="22"/>
        </w:rPr>
        <w:t xml:space="preserve">he Potential Provider will need to </w:t>
      </w:r>
      <w:r>
        <w:rPr>
          <w:rFonts w:ascii="Arial" w:hAnsi="Arial" w:cs="Arial"/>
          <w:sz w:val="22"/>
          <w:szCs w:val="22"/>
        </w:rPr>
        <w:t>present</w:t>
      </w:r>
      <w:r w:rsidRPr="007411B2">
        <w:rPr>
          <w:rFonts w:ascii="Arial" w:hAnsi="Arial" w:cs="Arial"/>
          <w:sz w:val="22"/>
          <w:szCs w:val="22"/>
        </w:rPr>
        <w:t xml:space="preserve"> the outcomes of the meetings</w:t>
      </w:r>
      <w:r>
        <w:rPr>
          <w:rFonts w:ascii="Arial" w:hAnsi="Arial" w:cs="Arial"/>
          <w:sz w:val="22"/>
          <w:szCs w:val="22"/>
        </w:rPr>
        <w:t xml:space="preserve"> with the industry partners along with assessments of the dependencies and impacts that are discussed. </w:t>
      </w:r>
    </w:p>
    <w:p w14:paraId="12EA437E" w14:textId="77777777" w:rsidR="001C584A" w:rsidRPr="007411B2" w:rsidRDefault="001C584A" w:rsidP="00417E01">
      <w:pPr>
        <w:pStyle w:val="PlainText"/>
        <w:jc w:val="both"/>
        <w:rPr>
          <w:rFonts w:ascii="Arial" w:hAnsi="Arial" w:cs="Arial"/>
          <w:sz w:val="22"/>
          <w:szCs w:val="22"/>
        </w:rPr>
      </w:pPr>
    </w:p>
    <w:p w14:paraId="402BF0F8" w14:textId="77777777" w:rsidR="001C584A" w:rsidRDefault="001C584A" w:rsidP="001C584A">
      <w:pPr>
        <w:ind w:left="720"/>
        <w:rPr>
          <w:rFonts w:cs="Arial"/>
          <w:szCs w:val="22"/>
        </w:rPr>
      </w:pPr>
      <w:r w:rsidRPr="007411B2">
        <w:rPr>
          <w:rFonts w:cs="Arial"/>
          <w:szCs w:val="22"/>
        </w:rPr>
        <w:t xml:space="preserve">The Potential Provider will need to write </w:t>
      </w:r>
      <w:r>
        <w:rPr>
          <w:rFonts w:cs="Arial"/>
          <w:szCs w:val="22"/>
        </w:rPr>
        <w:t>two</w:t>
      </w:r>
      <w:r w:rsidRPr="007411B2">
        <w:rPr>
          <w:rFonts w:cs="Arial"/>
          <w:szCs w:val="22"/>
        </w:rPr>
        <w:t xml:space="preserve"> electronic report</w:t>
      </w:r>
      <w:r>
        <w:rPr>
          <w:rFonts w:cs="Arial"/>
          <w:szCs w:val="22"/>
        </w:rPr>
        <w:t>s:</w:t>
      </w:r>
    </w:p>
    <w:p w14:paraId="70C83CC6" w14:textId="77777777" w:rsidR="001C584A" w:rsidRPr="007411B2" w:rsidRDefault="001C584A" w:rsidP="001C584A">
      <w:pPr>
        <w:ind w:left="720"/>
        <w:rPr>
          <w:rFonts w:cs="Arial"/>
          <w:szCs w:val="22"/>
        </w:rPr>
      </w:pPr>
    </w:p>
    <w:p w14:paraId="4CD05A3C" w14:textId="4ED77292" w:rsidR="001C584A" w:rsidRPr="00393DE9" w:rsidRDefault="001C584A" w:rsidP="00393DE9">
      <w:pPr>
        <w:pStyle w:val="Heading3"/>
      </w:pPr>
      <w:r w:rsidRPr="00393DE9">
        <w:t>One report will be written for Government and will outline what the most critical sources of data are</w:t>
      </w:r>
      <w:r w:rsidR="000300DF">
        <w:t>,</w:t>
      </w:r>
      <w:r w:rsidRPr="00393DE9">
        <w:t xml:space="preserve"> and the broad dependence of the ports on them to maintain effective operations (including the likely effectiveness of contingencies). The report will also highlight any potential impacts from loss of service due to a compromise of third party data provider’s networked and information systems. Potential causes of compromise or unavailability of systems to be considered should not be restricted to cyber-attacks, but should include </w:t>
      </w:r>
      <w:r>
        <w:t>physical damage to critical systems such as flooding and fire damage</w:t>
      </w:r>
      <w:r w:rsidRPr="00393DE9">
        <w:t>. The report should also provide next steps for government departments and industry partners to work together on the outcomes of the report. The report should further highlight any commonalities and variations in responses across the industry partners.</w:t>
      </w:r>
    </w:p>
    <w:p w14:paraId="7022959F" w14:textId="128EF32F" w:rsidR="001C584A" w:rsidRPr="00393DE9" w:rsidRDefault="001C584A" w:rsidP="00CD2236">
      <w:pPr>
        <w:pStyle w:val="Heading3"/>
      </w:pPr>
      <w:r w:rsidRPr="00393DE9">
        <w:t>The second report will broadly be the same as the first report, however it will be written for the maritime industry, including ports and the data/service providers, and therefore any references to individual organisations will need to be anonymised, and steps taken to ensure no stakeholder is able to be identified. The report should also provide good practice recommendations for the maritime industry and data/service provider to work together on the outcomes of the report.</w:t>
      </w:r>
    </w:p>
    <w:p w14:paraId="79D2EF31" w14:textId="77777777" w:rsidR="001C584A" w:rsidRPr="007411B2" w:rsidRDefault="001C584A" w:rsidP="001C584A">
      <w:pPr>
        <w:pStyle w:val="PlainText"/>
        <w:rPr>
          <w:rFonts w:ascii="Arial" w:hAnsi="Arial" w:cs="Arial"/>
          <w:sz w:val="22"/>
          <w:szCs w:val="22"/>
        </w:rPr>
      </w:pPr>
    </w:p>
    <w:p w14:paraId="2C2F2383" w14:textId="77777777" w:rsidR="001C584A" w:rsidRPr="007411B2" w:rsidRDefault="001C584A" w:rsidP="001C584A">
      <w:pPr>
        <w:pStyle w:val="Heading2"/>
        <w:spacing w:after="120"/>
        <w:rPr>
          <w:rFonts w:cs="Arial"/>
          <w:szCs w:val="22"/>
        </w:rPr>
      </w:pPr>
      <w:r w:rsidRPr="007411B2">
        <w:rPr>
          <w:rFonts w:cs="Arial"/>
          <w:szCs w:val="22"/>
        </w:rPr>
        <w:t>It is expected that Potential Providers should be able to demonstrate:</w:t>
      </w:r>
    </w:p>
    <w:p w14:paraId="2772240B" w14:textId="77777777" w:rsidR="001C584A" w:rsidRPr="00880F9C" w:rsidRDefault="001C584A" w:rsidP="00880F9C">
      <w:pPr>
        <w:pStyle w:val="Heading3"/>
      </w:pPr>
      <w:r w:rsidRPr="00880F9C">
        <w:t>Expertise in the fields of maritime, and evidence of how they would apply this to the project. This should include CV’s of the people undertaking the work, the time they are expected to put into the work, a list of previous relevant work and example case studies.</w:t>
      </w:r>
    </w:p>
    <w:p w14:paraId="60DD9076" w14:textId="77777777" w:rsidR="001C584A" w:rsidRPr="00880F9C" w:rsidRDefault="001C584A" w:rsidP="00880F9C">
      <w:pPr>
        <w:pStyle w:val="Heading3"/>
      </w:pPr>
      <w:r w:rsidRPr="00880F9C">
        <w:t>The Potential Provider should outline their proposed approach of getting the evidence they need from industry partners.</w:t>
      </w:r>
    </w:p>
    <w:p w14:paraId="2EFBF03C" w14:textId="77777777" w:rsidR="001C584A" w:rsidRPr="00880F9C" w:rsidRDefault="001C584A" w:rsidP="00880F9C">
      <w:pPr>
        <w:pStyle w:val="Heading3"/>
      </w:pPr>
      <w:r w:rsidRPr="00880F9C">
        <w:lastRenderedPageBreak/>
        <w:t>A detailed plan of how they will undertake the work and who within the team will do which parts. For the plan a case study should be used to demonstrate how the work will be conducted and a project plan for the steps involved. This includes plans for travel to engage with industry.</w:t>
      </w:r>
    </w:p>
    <w:p w14:paraId="123C00D2" w14:textId="77777777" w:rsidR="001C584A" w:rsidRPr="00880F9C" w:rsidRDefault="001C584A" w:rsidP="00880F9C">
      <w:pPr>
        <w:pStyle w:val="Heading3"/>
      </w:pPr>
      <w:r w:rsidRPr="00880F9C">
        <w:t xml:space="preserve">The Potential Provider should also provide information on the resources and relationships they have available and how these will be utilised. </w:t>
      </w:r>
    </w:p>
    <w:p w14:paraId="554E3C7C" w14:textId="0B65E530" w:rsidR="00671798" w:rsidRPr="004E78BC" w:rsidRDefault="00671798" w:rsidP="001C584A">
      <w:pPr>
        <w:pStyle w:val="Heading2"/>
        <w:numPr>
          <w:ilvl w:val="0"/>
          <w:numId w:val="0"/>
        </w:numPr>
        <w:spacing w:after="120"/>
        <w:rPr>
          <w:highlight w:val="yellow"/>
        </w:rPr>
      </w:pPr>
    </w:p>
    <w:p w14:paraId="35734D9E" w14:textId="77777777" w:rsidR="00671798" w:rsidRDefault="00FE18AC">
      <w:pPr>
        <w:pStyle w:val="Heading1"/>
        <w:spacing w:after="120"/>
      </w:pPr>
      <w:bookmarkStart w:id="17" w:name="_Toc368573032"/>
      <w:bookmarkStart w:id="18" w:name="_Toc444518872"/>
      <w:r>
        <w:t>key milestones</w:t>
      </w:r>
      <w:bookmarkEnd w:id="17"/>
      <w:bookmarkEnd w:id="18"/>
    </w:p>
    <w:p w14:paraId="6EE7C8C4" w14:textId="77777777" w:rsidR="00671798" w:rsidRDefault="00671798">
      <w:pPr>
        <w:pStyle w:val="Heading2"/>
        <w:numPr>
          <w:ilvl w:val="0"/>
          <w:numId w:val="0"/>
        </w:numPr>
        <w:spacing w:after="120"/>
        <w:ind w:left="709"/>
        <w:rPr>
          <w:highlight w:val="yellow"/>
        </w:rPr>
      </w:pPr>
    </w:p>
    <w:p w14:paraId="4D0E0CBA" w14:textId="33DF39C6" w:rsidR="00FE18AC"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p w14:paraId="0E452E4C" w14:textId="77777777" w:rsidR="00990DBD" w:rsidRPr="00CA3806" w:rsidRDefault="00990DBD" w:rsidP="00990DBD">
      <w:pPr>
        <w:pStyle w:val="Heading2"/>
        <w:numPr>
          <w:ilvl w:val="0"/>
          <w:numId w:val="0"/>
        </w:numPr>
        <w:tabs>
          <w:tab w:val="num" w:pos="862"/>
        </w:tabs>
        <w:overflowPunct w:val="0"/>
        <w:autoSpaceDE w:val="0"/>
        <w:autoSpaceDN w:val="0"/>
        <w:spacing w:after="120"/>
        <w:ind w:left="709"/>
        <w:textAlignment w:val="baseline"/>
        <w:rPr>
          <w:rFonts w:cs="Arial"/>
          <w:szCs w:val="22"/>
        </w:rPr>
      </w:pPr>
    </w:p>
    <w:tbl>
      <w:tblPr>
        <w:tblStyle w:val="TableGrid"/>
        <w:tblW w:w="5000" w:type="pct"/>
        <w:tblLook w:val="04A0" w:firstRow="1" w:lastRow="0" w:firstColumn="1" w:lastColumn="0" w:noHBand="0" w:noVBand="1"/>
      </w:tblPr>
      <w:tblGrid>
        <w:gridCol w:w="1620"/>
        <w:gridCol w:w="4473"/>
        <w:gridCol w:w="2926"/>
      </w:tblGrid>
      <w:tr w:rsidR="00990DBD" w:rsidRPr="00297CF4" w14:paraId="4D513DFA" w14:textId="77777777" w:rsidTr="009D1E0B">
        <w:tc>
          <w:tcPr>
            <w:tcW w:w="898" w:type="pct"/>
            <w:shd w:val="clear" w:color="auto" w:fill="C6D9F1" w:themeFill="text2" w:themeFillTint="33"/>
            <w:vAlign w:val="center"/>
          </w:tcPr>
          <w:p w14:paraId="3C1CB083" w14:textId="77777777" w:rsidR="00990DBD" w:rsidRPr="0065082F" w:rsidRDefault="00990DBD" w:rsidP="009D1E0B">
            <w:pPr>
              <w:pStyle w:val="Heading3"/>
              <w:numPr>
                <w:ilvl w:val="0"/>
                <w:numId w:val="0"/>
              </w:numPr>
              <w:spacing w:after="120"/>
              <w:jc w:val="center"/>
              <w:outlineLvl w:val="2"/>
              <w:rPr>
                <w:b/>
                <w:szCs w:val="24"/>
              </w:rPr>
            </w:pPr>
            <w:bookmarkStart w:id="19" w:name="_Toc302637211"/>
            <w:r w:rsidRPr="0065082F">
              <w:rPr>
                <w:b/>
              </w:rPr>
              <w:t>Milestone</w:t>
            </w:r>
          </w:p>
        </w:tc>
        <w:tc>
          <w:tcPr>
            <w:tcW w:w="2480" w:type="pct"/>
            <w:shd w:val="clear" w:color="auto" w:fill="C6D9F1" w:themeFill="text2" w:themeFillTint="33"/>
            <w:vAlign w:val="center"/>
          </w:tcPr>
          <w:p w14:paraId="33AC6E5A" w14:textId="77777777" w:rsidR="00990DBD" w:rsidRPr="001F7EC4" w:rsidRDefault="00990DBD" w:rsidP="009D1E0B">
            <w:pPr>
              <w:pStyle w:val="Heading3"/>
              <w:numPr>
                <w:ilvl w:val="0"/>
                <w:numId w:val="0"/>
              </w:numPr>
              <w:spacing w:after="120"/>
              <w:jc w:val="center"/>
              <w:outlineLvl w:val="2"/>
              <w:rPr>
                <w:b/>
                <w:szCs w:val="24"/>
              </w:rPr>
            </w:pPr>
            <w:r w:rsidRPr="001F7EC4">
              <w:rPr>
                <w:b/>
              </w:rPr>
              <w:t>Description</w:t>
            </w:r>
          </w:p>
        </w:tc>
        <w:tc>
          <w:tcPr>
            <w:tcW w:w="1622" w:type="pct"/>
            <w:shd w:val="clear" w:color="auto" w:fill="C6D9F1" w:themeFill="text2" w:themeFillTint="33"/>
            <w:vAlign w:val="center"/>
          </w:tcPr>
          <w:p w14:paraId="79124796" w14:textId="77777777" w:rsidR="00990DBD" w:rsidRPr="001F7EC4" w:rsidRDefault="00990DBD" w:rsidP="009D1E0B">
            <w:pPr>
              <w:pStyle w:val="Heading3"/>
              <w:numPr>
                <w:ilvl w:val="0"/>
                <w:numId w:val="0"/>
              </w:numPr>
              <w:spacing w:after="120"/>
              <w:jc w:val="center"/>
              <w:outlineLvl w:val="2"/>
              <w:rPr>
                <w:b/>
                <w:szCs w:val="24"/>
              </w:rPr>
            </w:pPr>
            <w:r w:rsidRPr="001F7EC4">
              <w:rPr>
                <w:b/>
              </w:rPr>
              <w:t>Timeframe</w:t>
            </w:r>
          </w:p>
        </w:tc>
      </w:tr>
      <w:tr w:rsidR="00990DBD" w14:paraId="6C3D1F44" w14:textId="77777777" w:rsidTr="009D1E0B">
        <w:tc>
          <w:tcPr>
            <w:tcW w:w="898" w:type="pct"/>
            <w:vAlign w:val="center"/>
          </w:tcPr>
          <w:p w14:paraId="2062CABC" w14:textId="6A4F6CE2" w:rsidR="00990DBD" w:rsidRDefault="00417801" w:rsidP="009D1E0B">
            <w:pPr>
              <w:pStyle w:val="Heading3"/>
              <w:numPr>
                <w:ilvl w:val="0"/>
                <w:numId w:val="0"/>
              </w:numPr>
              <w:spacing w:after="120"/>
              <w:jc w:val="center"/>
              <w:outlineLvl w:val="2"/>
            </w:pPr>
            <w:r>
              <w:t>1</w:t>
            </w:r>
          </w:p>
        </w:tc>
        <w:tc>
          <w:tcPr>
            <w:tcW w:w="2480" w:type="pct"/>
            <w:vAlign w:val="center"/>
          </w:tcPr>
          <w:p w14:paraId="09085662" w14:textId="3725A387" w:rsidR="00990DBD" w:rsidRPr="001F7EC4" w:rsidRDefault="00990DBD" w:rsidP="009D1E0B">
            <w:pPr>
              <w:pStyle w:val="Heading3"/>
              <w:numPr>
                <w:ilvl w:val="0"/>
                <w:numId w:val="0"/>
              </w:numPr>
              <w:spacing w:after="120"/>
              <w:jc w:val="left"/>
              <w:outlineLvl w:val="2"/>
            </w:pPr>
            <w:r w:rsidRPr="001F7EC4">
              <w:t>Inception meeting</w:t>
            </w:r>
            <w:r w:rsidR="006167BA">
              <w:t xml:space="preserve"> (Date to be agreed)</w:t>
            </w:r>
          </w:p>
        </w:tc>
        <w:tc>
          <w:tcPr>
            <w:tcW w:w="1622" w:type="pct"/>
            <w:vAlign w:val="center"/>
          </w:tcPr>
          <w:p w14:paraId="1FE6970A" w14:textId="73134F8C" w:rsidR="00990DBD" w:rsidRPr="00332176" w:rsidRDefault="000D161A" w:rsidP="000D161A">
            <w:pPr>
              <w:pStyle w:val="Heading3"/>
              <w:numPr>
                <w:ilvl w:val="0"/>
                <w:numId w:val="0"/>
              </w:numPr>
              <w:spacing w:after="120"/>
              <w:jc w:val="center"/>
              <w:outlineLvl w:val="2"/>
              <w:rPr>
                <w:szCs w:val="24"/>
              </w:rPr>
            </w:pPr>
            <w:r>
              <w:rPr>
                <w:szCs w:val="24"/>
              </w:rPr>
              <w:t>De</w:t>
            </w:r>
            <w:r w:rsidR="00990DBD" w:rsidRPr="00332176">
              <w:rPr>
                <w:szCs w:val="24"/>
              </w:rPr>
              <w:t xml:space="preserve">cember </w:t>
            </w:r>
            <w:r w:rsidR="00B4397E">
              <w:rPr>
                <w:szCs w:val="24"/>
              </w:rPr>
              <w:t>2017 (2 weeks</w:t>
            </w:r>
            <w:r w:rsidR="00417801" w:rsidRPr="00332176">
              <w:rPr>
                <w:szCs w:val="24"/>
              </w:rPr>
              <w:t xml:space="preserve"> from Contract Award</w:t>
            </w:r>
            <w:r w:rsidR="00990DBD" w:rsidRPr="00332176">
              <w:rPr>
                <w:szCs w:val="24"/>
              </w:rPr>
              <w:t>)</w:t>
            </w:r>
          </w:p>
        </w:tc>
      </w:tr>
      <w:tr w:rsidR="00990DBD" w14:paraId="5C8408D1" w14:textId="77777777" w:rsidTr="009D1E0B">
        <w:tc>
          <w:tcPr>
            <w:tcW w:w="898" w:type="pct"/>
            <w:vAlign w:val="center"/>
          </w:tcPr>
          <w:p w14:paraId="7FE55C39" w14:textId="1CA9F0DA" w:rsidR="00990DBD" w:rsidRDefault="00417801" w:rsidP="009D1E0B">
            <w:pPr>
              <w:pStyle w:val="Heading3"/>
              <w:numPr>
                <w:ilvl w:val="0"/>
                <w:numId w:val="0"/>
              </w:numPr>
              <w:spacing w:after="120"/>
              <w:jc w:val="center"/>
              <w:outlineLvl w:val="2"/>
            </w:pPr>
            <w:r>
              <w:t>2</w:t>
            </w:r>
          </w:p>
        </w:tc>
        <w:tc>
          <w:tcPr>
            <w:tcW w:w="2480" w:type="pct"/>
            <w:vAlign w:val="center"/>
          </w:tcPr>
          <w:p w14:paraId="1D1005E6" w14:textId="77777777" w:rsidR="00990DBD" w:rsidRPr="001F7EC4" w:rsidRDefault="00990DBD" w:rsidP="009D1E0B">
            <w:pPr>
              <w:pStyle w:val="Heading3"/>
              <w:numPr>
                <w:ilvl w:val="0"/>
                <w:numId w:val="0"/>
              </w:numPr>
              <w:spacing w:after="120"/>
              <w:jc w:val="left"/>
              <w:outlineLvl w:val="2"/>
            </w:pPr>
            <w:r w:rsidRPr="001F7EC4">
              <w:t>Delivery of first draft of report</w:t>
            </w:r>
          </w:p>
        </w:tc>
        <w:tc>
          <w:tcPr>
            <w:tcW w:w="1622" w:type="pct"/>
            <w:vAlign w:val="center"/>
          </w:tcPr>
          <w:p w14:paraId="0ABF0088" w14:textId="03A9F48E" w:rsidR="00990DBD" w:rsidRPr="00332176" w:rsidRDefault="00B4397E" w:rsidP="00417801">
            <w:pPr>
              <w:pStyle w:val="Heading3"/>
              <w:numPr>
                <w:ilvl w:val="0"/>
                <w:numId w:val="0"/>
              </w:numPr>
              <w:spacing w:after="120"/>
              <w:jc w:val="center"/>
              <w:outlineLvl w:val="2"/>
              <w:rPr>
                <w:szCs w:val="24"/>
              </w:rPr>
            </w:pPr>
            <w:r>
              <w:rPr>
                <w:szCs w:val="24"/>
              </w:rPr>
              <w:t xml:space="preserve"> February 2018 (9</w:t>
            </w:r>
            <w:r w:rsidR="00990DBD" w:rsidRPr="00332176">
              <w:rPr>
                <w:szCs w:val="24"/>
              </w:rPr>
              <w:t xml:space="preserve"> weeks from</w:t>
            </w:r>
            <w:r w:rsidR="00417801" w:rsidRPr="00332176">
              <w:rPr>
                <w:szCs w:val="24"/>
              </w:rPr>
              <w:t xml:space="preserve"> Inception meeting</w:t>
            </w:r>
            <w:r w:rsidR="00990DBD" w:rsidRPr="00332176">
              <w:rPr>
                <w:szCs w:val="24"/>
              </w:rPr>
              <w:t>)</w:t>
            </w:r>
          </w:p>
        </w:tc>
      </w:tr>
      <w:tr w:rsidR="00990DBD" w14:paraId="5EA8D6CC" w14:textId="77777777" w:rsidTr="009D1E0B">
        <w:tc>
          <w:tcPr>
            <w:tcW w:w="898" w:type="pct"/>
            <w:vAlign w:val="center"/>
          </w:tcPr>
          <w:p w14:paraId="50532898" w14:textId="3DDFD1E8" w:rsidR="00990DBD" w:rsidRDefault="00417801" w:rsidP="009D1E0B">
            <w:pPr>
              <w:pStyle w:val="Heading3"/>
              <w:numPr>
                <w:ilvl w:val="0"/>
                <w:numId w:val="0"/>
              </w:numPr>
              <w:spacing w:after="120"/>
              <w:jc w:val="center"/>
              <w:outlineLvl w:val="2"/>
            </w:pPr>
            <w:r>
              <w:t>3</w:t>
            </w:r>
          </w:p>
        </w:tc>
        <w:tc>
          <w:tcPr>
            <w:tcW w:w="2480" w:type="pct"/>
            <w:vAlign w:val="center"/>
          </w:tcPr>
          <w:p w14:paraId="214933ED" w14:textId="77777777" w:rsidR="00990DBD" w:rsidRPr="001F7EC4" w:rsidRDefault="00990DBD" w:rsidP="009D1E0B">
            <w:pPr>
              <w:pStyle w:val="Heading3"/>
              <w:numPr>
                <w:ilvl w:val="0"/>
                <w:numId w:val="0"/>
              </w:numPr>
              <w:spacing w:after="120"/>
              <w:jc w:val="left"/>
              <w:outlineLvl w:val="2"/>
            </w:pPr>
            <w:r w:rsidRPr="001F7EC4">
              <w:t>Final report delivery and presentation</w:t>
            </w:r>
          </w:p>
        </w:tc>
        <w:tc>
          <w:tcPr>
            <w:tcW w:w="1622" w:type="pct"/>
            <w:vAlign w:val="center"/>
          </w:tcPr>
          <w:p w14:paraId="1059C35F" w14:textId="0878A8FF" w:rsidR="00990DBD" w:rsidRPr="00332176" w:rsidRDefault="00990DBD" w:rsidP="00417801">
            <w:pPr>
              <w:pStyle w:val="Heading3"/>
              <w:numPr>
                <w:ilvl w:val="0"/>
                <w:numId w:val="0"/>
              </w:numPr>
              <w:spacing w:after="120"/>
              <w:jc w:val="center"/>
              <w:outlineLvl w:val="2"/>
              <w:rPr>
                <w:szCs w:val="24"/>
              </w:rPr>
            </w:pPr>
            <w:r w:rsidRPr="00332176">
              <w:rPr>
                <w:szCs w:val="24"/>
              </w:rPr>
              <w:t xml:space="preserve"> March 2018 (4 weeks from </w:t>
            </w:r>
            <w:r w:rsidR="00417801" w:rsidRPr="00332176">
              <w:rPr>
                <w:szCs w:val="24"/>
              </w:rPr>
              <w:t>Delivery of first draft report)</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p>
    <w:p w14:paraId="3C36765A"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44518873"/>
      <w:bookmarkStart w:id="21" w:name="_Toc368573033"/>
      <w:r>
        <w:rPr>
          <w:rFonts w:cs="Arial"/>
          <w:szCs w:val="22"/>
        </w:rPr>
        <w:t>authority’s responsibilities</w:t>
      </w:r>
      <w:bookmarkEnd w:id="20"/>
    </w:p>
    <w:p w14:paraId="272F031E" w14:textId="77777777" w:rsidR="00393DE9" w:rsidRPr="005B5EA2" w:rsidRDefault="00393DE9" w:rsidP="00393DE9">
      <w:pPr>
        <w:pStyle w:val="Heading2"/>
        <w:rPr>
          <w:rFonts w:cs="Arial"/>
          <w:szCs w:val="22"/>
        </w:rPr>
      </w:pPr>
      <w:r>
        <w:rPr>
          <w:rFonts w:cs="Arial"/>
        </w:rPr>
        <w:t>The Authority</w:t>
      </w:r>
      <w:r w:rsidRPr="00EB0CA4">
        <w:rPr>
          <w:rFonts w:cs="Arial"/>
        </w:rPr>
        <w:t xml:space="preserve"> will need to ensure that sign-off and comments on the final report </w:t>
      </w:r>
      <w:r>
        <w:rPr>
          <w:rFonts w:cs="Arial"/>
        </w:rPr>
        <w:t>are</w:t>
      </w:r>
      <w:r w:rsidRPr="00DC3BB5">
        <w:rPr>
          <w:rFonts w:cs="Arial"/>
        </w:rPr>
        <w:t xml:space="preserve"> provided as per the agreed timetable.</w:t>
      </w:r>
    </w:p>
    <w:p w14:paraId="6417A944" w14:textId="256AF03C" w:rsidR="00106F24" w:rsidRPr="00393DE9" w:rsidRDefault="00393DE9" w:rsidP="00393DE9">
      <w:pPr>
        <w:pStyle w:val="Heading2"/>
        <w:rPr>
          <w:rFonts w:cs="Arial"/>
          <w:szCs w:val="22"/>
        </w:rPr>
      </w:pPr>
      <w:r w:rsidRPr="00C62DCA">
        <w:rPr>
          <w:rFonts w:cs="Arial"/>
        </w:rPr>
        <w:t xml:space="preserve">In order to ensure that industry partners are as open as possible in their engagement with the Potential Provider, the Authority will provide a covering letter to the </w:t>
      </w:r>
      <w:r w:rsidRPr="00C62DCA">
        <w:t>Potential Provider</w:t>
      </w:r>
      <w:r>
        <w:t>.</w:t>
      </w:r>
      <w:r>
        <w:rPr>
          <w:rFonts w:cs="Arial"/>
        </w:rPr>
        <w:t xml:space="preserve"> The letter will</w:t>
      </w:r>
      <w:r w:rsidRPr="00C62DCA">
        <w:rPr>
          <w:rFonts w:cs="Arial"/>
        </w:rPr>
        <w:t xml:space="preserve"> explain that</w:t>
      </w:r>
      <w:r>
        <w:rPr>
          <w:rFonts w:cs="Arial"/>
        </w:rPr>
        <w:t xml:space="preserve"> two reports will be produced; one for DfT and NCSC which will not be shared beyond that group; and one to be shared with industry which </w:t>
      </w:r>
      <w:r w:rsidRPr="00C62DCA">
        <w:rPr>
          <w:rFonts w:cs="Arial"/>
        </w:rPr>
        <w:t>will be anonymised</w:t>
      </w:r>
      <w:r>
        <w:rPr>
          <w:rFonts w:cs="Arial"/>
        </w:rPr>
        <w:t xml:space="preserve"> to ensure no stakeholder will be identified. </w:t>
      </w:r>
      <w:r w:rsidRPr="00C62DCA">
        <w:rPr>
          <w:rFonts w:cs="Arial"/>
        </w:rPr>
        <w:t xml:space="preserve"> </w:t>
      </w:r>
      <w:r>
        <w:rPr>
          <w:rFonts w:cs="Arial"/>
        </w:rPr>
        <w:t xml:space="preserve">The letter will also explain </w:t>
      </w:r>
      <w:r w:rsidRPr="00C62DCA">
        <w:rPr>
          <w:rFonts w:cs="Arial"/>
        </w:rPr>
        <w:t xml:space="preserve">the Authority will not take any regulatory or punitive action with individual organisations in response to the findings.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44518874"/>
      <w:r w:rsidRPr="00BE6EE0">
        <w:rPr>
          <w:rFonts w:cs="Arial"/>
          <w:szCs w:val="22"/>
        </w:rPr>
        <w:t>reporting</w:t>
      </w:r>
      <w:bookmarkEnd w:id="21"/>
      <w:bookmarkEnd w:id="22"/>
    </w:p>
    <w:p w14:paraId="22C08F65" w14:textId="34687105" w:rsidR="00671798" w:rsidRPr="00C94E54" w:rsidRDefault="00C94E54" w:rsidP="00C94E54">
      <w:pPr>
        <w:pStyle w:val="Heading2"/>
        <w:rPr>
          <w:rFonts w:cs="Arial"/>
          <w:szCs w:val="22"/>
        </w:rPr>
      </w:pPr>
      <w:r w:rsidRPr="007411B2">
        <w:rPr>
          <w:rFonts w:cs="Arial"/>
        </w:rPr>
        <w:t xml:space="preserve">Please refer to the </w:t>
      </w:r>
      <w:r w:rsidRPr="007411B2">
        <w:t>Potential Provider</w:t>
      </w:r>
      <w:r w:rsidRPr="007411B2">
        <w:rPr>
          <w:rFonts w:cs="Arial"/>
        </w:rPr>
        <w:t xml:space="preserve">’s key reporting responsibilities as mentioned in 6.1.  </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44518875"/>
      <w:r w:rsidRPr="00BE6EE0">
        <w:rPr>
          <w:rFonts w:cs="Arial"/>
          <w:szCs w:val="22"/>
        </w:rPr>
        <w:t>volumes</w:t>
      </w:r>
      <w:bookmarkEnd w:id="23"/>
      <w:bookmarkEnd w:id="24"/>
    </w:p>
    <w:p w14:paraId="3AB9FCA7" w14:textId="5EBAFAEE" w:rsidR="00671798" w:rsidRPr="00C94E54" w:rsidRDefault="00C94E54" w:rsidP="00C94E54">
      <w:pPr>
        <w:pStyle w:val="Heading2"/>
        <w:spacing w:after="120"/>
        <w:ind w:left="709" w:hanging="709"/>
      </w:pPr>
      <w:r w:rsidRPr="0065082F">
        <w:rPr>
          <w:rFonts w:cs="Arial"/>
        </w:rPr>
        <w:t>This requirement is a one-off contract via Con</w:t>
      </w:r>
      <w:r>
        <w:rPr>
          <w:rFonts w:cs="Arial"/>
        </w:rPr>
        <w:t xml:space="preserve">tracts Finder for an estimated </w:t>
      </w:r>
      <w:r w:rsidR="00855DAA">
        <w:rPr>
          <w:rFonts w:cs="Arial"/>
        </w:rPr>
        <w:t>fifteen week period from Wednesday 13</w:t>
      </w:r>
      <w:r w:rsidR="00855DAA" w:rsidRPr="00855DAA">
        <w:rPr>
          <w:rFonts w:cs="Arial"/>
          <w:vertAlign w:val="superscript"/>
        </w:rPr>
        <w:t>th</w:t>
      </w:r>
      <w:r w:rsidR="00855DAA">
        <w:rPr>
          <w:rFonts w:cs="Arial"/>
        </w:rPr>
        <w:t xml:space="preserve"> December 2017 to Friday 30</w:t>
      </w:r>
      <w:r w:rsidR="00855DAA" w:rsidRPr="00855DAA">
        <w:rPr>
          <w:rFonts w:cs="Arial"/>
          <w:vertAlign w:val="superscript"/>
        </w:rPr>
        <w:t>th</w:t>
      </w:r>
      <w:r w:rsidR="00855DAA">
        <w:rPr>
          <w:rFonts w:cs="Arial"/>
        </w:rPr>
        <w:t xml:space="preserve"> March 2018.</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44518876"/>
      <w:r w:rsidRPr="00BE6EE0">
        <w:rPr>
          <w:rFonts w:cs="Arial"/>
          <w:szCs w:val="22"/>
        </w:rPr>
        <w:lastRenderedPageBreak/>
        <w:t>continuous improvement</w:t>
      </w:r>
      <w:bookmarkEnd w:id="25"/>
      <w:bookmarkEnd w:id="26"/>
    </w:p>
    <w:p w14:paraId="080CF3B1" w14:textId="35A95214" w:rsidR="00671798" w:rsidRPr="00C94E54" w:rsidRDefault="00C94E54" w:rsidP="00C94E54">
      <w:pPr>
        <w:pStyle w:val="Heading2"/>
        <w:rPr>
          <w:rFonts w:cs="Arial"/>
        </w:rPr>
      </w:pPr>
      <w:r w:rsidRPr="00EB0CA4">
        <w:rPr>
          <w:rFonts w:cs="Arial"/>
        </w:rPr>
        <w:t>Changes to the way in which the Services are to be delivered must be brought to the Authority’s attention and agreed prior to any changes being implemented.</w:t>
      </w:r>
    </w:p>
    <w:p w14:paraId="7CC141C7" w14:textId="3806E783" w:rsidR="004E78BC" w:rsidRDefault="004E78BC" w:rsidP="004E78BC">
      <w:pPr>
        <w:pStyle w:val="Heading1"/>
      </w:pPr>
      <w:bookmarkStart w:id="27" w:name="_Toc444518877"/>
      <w:r>
        <w:t>Sustainability</w:t>
      </w:r>
      <w:bookmarkEnd w:id="27"/>
    </w:p>
    <w:p w14:paraId="2E637186" w14:textId="7B79EFE4" w:rsidR="004E78BC" w:rsidRPr="00990DBD" w:rsidRDefault="002C508B" w:rsidP="004E78BC">
      <w:pPr>
        <w:pStyle w:val="Heading2"/>
      </w:pPr>
      <w:r>
        <w:t>Not Applicable</w:t>
      </w:r>
      <w:r w:rsidR="00845F43">
        <w:t>.</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44518878"/>
      <w:r w:rsidRPr="00517FEF">
        <w:rPr>
          <w:rFonts w:cs="Arial"/>
          <w:szCs w:val="22"/>
        </w:rPr>
        <w:t>quality</w:t>
      </w:r>
      <w:bookmarkEnd w:id="28"/>
      <w:bookmarkEnd w:id="29"/>
    </w:p>
    <w:p w14:paraId="63CD3A25" w14:textId="6B5D4FD8" w:rsidR="00671798" w:rsidRPr="00C94E54" w:rsidRDefault="00C94E54" w:rsidP="00C94E54">
      <w:pPr>
        <w:pStyle w:val="Heading2"/>
        <w:rPr>
          <w:rFonts w:cs="Arial"/>
        </w:rPr>
      </w:pPr>
      <w:r w:rsidRPr="00EB0CA4">
        <w:rPr>
          <w:rFonts w:cs="Arial"/>
        </w:rPr>
        <w:t xml:space="preserve">The Provider shall state how they will ensure a quality product and provide Quality Assurance through the provision of a Quality Plan. They may provide a summary of the Quality Assurance arrangements, principles, standards and checks they will use within the project.  </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44518879"/>
      <w:r w:rsidRPr="00BE6EE0">
        <w:rPr>
          <w:rFonts w:cs="Arial"/>
          <w:szCs w:val="22"/>
        </w:rPr>
        <w:t>PRICE</w:t>
      </w:r>
      <w:bookmarkEnd w:id="30"/>
      <w:bookmarkEnd w:id="31"/>
    </w:p>
    <w:p w14:paraId="23076316" w14:textId="6E21DC2F" w:rsidR="00C94E54" w:rsidRPr="00EB0CA4" w:rsidRDefault="00C94E54" w:rsidP="00C94E54">
      <w:pPr>
        <w:pStyle w:val="Heading2"/>
        <w:tabs>
          <w:tab w:val="clear" w:pos="720"/>
          <w:tab w:val="num" w:pos="709"/>
        </w:tabs>
        <w:spacing w:after="120"/>
        <w:ind w:left="709" w:hanging="709"/>
        <w:rPr>
          <w:rFonts w:cs="Arial"/>
        </w:rPr>
      </w:pPr>
      <w:r w:rsidRPr="00EB0CA4">
        <w:rPr>
          <w:rFonts w:cs="Arial"/>
        </w:rPr>
        <w:t xml:space="preserve">The contractor shall </w:t>
      </w:r>
      <w:r w:rsidR="00424025">
        <w:rPr>
          <w:rFonts w:cs="Arial"/>
        </w:rPr>
        <w:t>provide a cappe</w:t>
      </w:r>
      <w:r w:rsidR="008B5954">
        <w:rPr>
          <w:rFonts w:cs="Arial"/>
        </w:rPr>
        <w:t>d</w:t>
      </w:r>
      <w:r w:rsidRPr="00341FF8">
        <w:rPr>
          <w:rFonts w:cs="Arial"/>
        </w:rPr>
        <w:t xml:space="preserve"> cost price for this work. The maximum allocated budget for the contract is £50,000.00</w:t>
      </w:r>
      <w:r>
        <w:rPr>
          <w:rFonts w:cs="Arial"/>
        </w:rPr>
        <w:t xml:space="preserve"> excl. VAT.</w:t>
      </w:r>
      <w:r w:rsidRPr="00EB0CA4">
        <w:rPr>
          <w:rFonts w:cs="Arial"/>
        </w:rPr>
        <w:t xml:space="preserve"> Bids above this value may </w:t>
      </w:r>
      <w:r w:rsidR="00C77BA4">
        <w:rPr>
          <w:rFonts w:cs="Arial"/>
        </w:rPr>
        <w:t xml:space="preserve">not </w:t>
      </w:r>
      <w:r w:rsidRPr="00EB0CA4">
        <w:rPr>
          <w:rFonts w:cs="Arial"/>
        </w:rPr>
        <w:t xml:space="preserve">be </w:t>
      </w:r>
      <w:r w:rsidR="00C77BA4">
        <w:rPr>
          <w:rFonts w:cs="Arial"/>
        </w:rPr>
        <w:t>considered,</w:t>
      </w:r>
      <w:r w:rsidRPr="00EB0CA4">
        <w:rPr>
          <w:rFonts w:cs="Arial"/>
        </w:rPr>
        <w:t xml:space="preserve"> at the discretion of the DfT</w:t>
      </w:r>
      <w:r>
        <w:rPr>
          <w:rFonts w:cs="Arial"/>
        </w:rPr>
        <w:t xml:space="preserve">. </w:t>
      </w:r>
    </w:p>
    <w:p w14:paraId="645D51EC" w14:textId="1A75CB28" w:rsidR="00671798" w:rsidRDefault="00FE18AC">
      <w:pPr>
        <w:pStyle w:val="Heading2"/>
        <w:tabs>
          <w:tab w:val="clear" w:pos="720"/>
          <w:tab w:val="num" w:pos="709"/>
        </w:tabs>
        <w:spacing w:after="120"/>
        <w:ind w:left="709" w:hanging="709"/>
      </w:pPr>
      <w:r>
        <w:t>Prices are to be submitted via the</w:t>
      </w:r>
      <w:r w:rsidR="002E0344">
        <w:t xml:space="preserve"> </w:t>
      </w:r>
      <w:r w:rsidRPr="002E0344">
        <w:t>e</w:t>
      </w:r>
      <w:r w:rsidR="00F44D62" w:rsidRPr="002E0344">
        <w:t>-</w:t>
      </w:r>
      <w:r w:rsidRPr="002E0344">
        <w:t>Sourcing Suite</w:t>
      </w:r>
      <w:r w:rsidR="002E0344" w:rsidRPr="002E0344">
        <w:t xml:space="preserve"> (Appendix E)</w:t>
      </w:r>
      <w:r w:rsidRPr="002E0344">
        <w:t xml:space="preserve"> excluding</w:t>
      </w:r>
      <w:r>
        <w:t xml:space="preserve"> VAT</w:t>
      </w:r>
      <w:r w:rsidR="00AE3C65">
        <w: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44518880"/>
      <w:r w:rsidRPr="00BE6EE0">
        <w:rPr>
          <w:rFonts w:cs="Arial"/>
          <w:szCs w:val="22"/>
        </w:rPr>
        <w:t>STAFF AND CUSTOMER SERVICE</w:t>
      </w:r>
      <w:bookmarkEnd w:id="32"/>
      <w:bookmarkEnd w:id="33"/>
    </w:p>
    <w:p w14:paraId="47655E98" w14:textId="5423A79A" w:rsidR="00B8350D" w:rsidRPr="00DC3405" w:rsidRDefault="00B8350D" w:rsidP="00B8350D">
      <w:pPr>
        <w:pStyle w:val="Heading2"/>
        <w:tabs>
          <w:tab w:val="clear" w:pos="720"/>
          <w:tab w:val="num" w:pos="709"/>
        </w:tabs>
        <w:spacing w:after="120"/>
        <w:ind w:left="709" w:hanging="709"/>
        <w:rPr>
          <w:rFonts w:cs="Arial"/>
          <w:szCs w:val="22"/>
        </w:rPr>
      </w:pPr>
      <w:r w:rsidRPr="00BD3DDC">
        <w:rPr>
          <w:rFonts w:cs="Arial"/>
          <w:szCs w:val="22"/>
        </w:rPr>
        <w:t xml:space="preserve">The Authority requires the Potential Provider to provide a sufficient level of resource throughout the duration of the </w:t>
      </w:r>
      <w:r w:rsidR="00DC3405" w:rsidRPr="00DC3405">
        <w:rPr>
          <w:rFonts w:cs="Arial"/>
          <w:szCs w:val="22"/>
        </w:rPr>
        <w:t xml:space="preserve">Understanding of </w:t>
      </w:r>
      <w:r w:rsidRPr="00DC3405">
        <w:rPr>
          <w:rFonts w:cs="Arial"/>
          <w:szCs w:val="22"/>
        </w:rPr>
        <w:t>Port Community Systems Contract in order to consistently deliver a quality service to all Parties.</w:t>
      </w:r>
    </w:p>
    <w:p w14:paraId="16EABD78" w14:textId="76E1903D" w:rsidR="00B8350D" w:rsidRPr="00DC3405" w:rsidRDefault="00B8350D" w:rsidP="00B8350D">
      <w:pPr>
        <w:pStyle w:val="Heading2"/>
        <w:tabs>
          <w:tab w:val="clear" w:pos="720"/>
          <w:tab w:val="num" w:pos="709"/>
        </w:tabs>
        <w:spacing w:after="120"/>
        <w:ind w:left="709" w:hanging="709"/>
        <w:rPr>
          <w:rFonts w:cs="Arial"/>
          <w:szCs w:val="22"/>
        </w:rPr>
      </w:pPr>
      <w:r w:rsidRPr="00DC3405">
        <w:rPr>
          <w:rFonts w:cs="Arial"/>
          <w:szCs w:val="22"/>
        </w:rPr>
        <w:t xml:space="preserve">Potential Provider’s staff assigned to the </w:t>
      </w:r>
      <w:r w:rsidR="00DC3405" w:rsidRPr="00DC3405">
        <w:rPr>
          <w:rFonts w:cs="Arial"/>
          <w:szCs w:val="22"/>
        </w:rPr>
        <w:t xml:space="preserve">Understanding of </w:t>
      </w:r>
      <w:r w:rsidRPr="00DC3405">
        <w:rPr>
          <w:rFonts w:cs="Arial"/>
          <w:szCs w:val="22"/>
        </w:rPr>
        <w:t xml:space="preserve">Port Community Systems Contract shall have the relevant qualifications and experience to deliver the Contract. </w:t>
      </w:r>
    </w:p>
    <w:p w14:paraId="4572269C" w14:textId="1549AC7B" w:rsidR="00671798" w:rsidRPr="00B8350D" w:rsidRDefault="00B8350D" w:rsidP="00B8350D">
      <w:pPr>
        <w:pStyle w:val="Heading2"/>
        <w:spacing w:after="120"/>
        <w:ind w:left="709" w:hanging="709"/>
        <w:rPr>
          <w:rFonts w:cs="Arial"/>
          <w:szCs w:val="22"/>
        </w:rPr>
      </w:pPr>
      <w:r w:rsidRPr="00BD3DDC">
        <w:rPr>
          <w:rFonts w:cs="Arial"/>
          <w:szCs w:val="22"/>
        </w:rPr>
        <w:t xml:space="preserve">The Potential Provider shall ensure that staff understand the Authority’s vision and objectives and will provide excellent customer service to the Authority throughout the duration of the Contract.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44518881"/>
      <w:r w:rsidRPr="004E1D36">
        <w:rPr>
          <w:rFonts w:cs="Arial"/>
          <w:szCs w:val="22"/>
        </w:rPr>
        <w:t>service levels a</w:t>
      </w:r>
      <w:r>
        <w:rPr>
          <w:rFonts w:cs="Arial"/>
          <w:szCs w:val="22"/>
        </w:rPr>
        <w:t>nd performance</w:t>
      </w:r>
      <w:bookmarkEnd w:id="34"/>
      <w:bookmarkEnd w:id="35"/>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64C6ED7B" w:rsidR="00671798" w:rsidRPr="006A50A0" w:rsidRDefault="00424025">
      <w:pPr>
        <w:pStyle w:val="Heading3"/>
        <w:tabs>
          <w:tab w:val="clear" w:pos="1800"/>
          <w:tab w:val="num" w:pos="1418"/>
        </w:tabs>
        <w:spacing w:after="120"/>
        <w:ind w:left="1418" w:hanging="698"/>
      </w:pPr>
      <w:r>
        <w:t>a</w:t>
      </w:r>
      <w:r w:rsidR="00DF5EC6" w:rsidRPr="006A50A0">
        <w:t>s</w:t>
      </w:r>
      <w:r w:rsidR="003020B8">
        <w:t>s</w:t>
      </w:r>
      <w:r w:rsidR="00DF5EC6" w:rsidRPr="006A50A0">
        <w:t xml:space="preserve">essment of their progress alongside the agreed milestones set out in paragraph </w:t>
      </w:r>
      <w:r w:rsidR="004D2A21" w:rsidRPr="006A50A0">
        <w:t>7.2</w:t>
      </w:r>
      <w:r w:rsidR="00DF5EC6" w:rsidRPr="006A50A0">
        <w:t>.</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DF5EC6" w14:paraId="136B0B88" w14:textId="77777777" w:rsidTr="00B13763">
        <w:tc>
          <w:tcPr>
            <w:tcW w:w="1048" w:type="dxa"/>
          </w:tcPr>
          <w:p w14:paraId="39FC8AED" w14:textId="303CF9DF" w:rsidR="00DF5EC6" w:rsidRDefault="00DF5EC6" w:rsidP="00DF5EC6">
            <w:pPr>
              <w:pStyle w:val="Heading2"/>
              <w:numPr>
                <w:ilvl w:val="0"/>
                <w:numId w:val="0"/>
              </w:numPr>
              <w:jc w:val="center"/>
              <w:outlineLvl w:val="1"/>
            </w:pPr>
            <w:r>
              <w:t>1</w:t>
            </w:r>
          </w:p>
        </w:tc>
        <w:tc>
          <w:tcPr>
            <w:tcW w:w="1771" w:type="dxa"/>
          </w:tcPr>
          <w:p w14:paraId="286A8BDA" w14:textId="44C16C0D" w:rsidR="00DF5EC6" w:rsidRDefault="00DF5EC6" w:rsidP="00DF5EC6">
            <w:pPr>
              <w:pStyle w:val="Heading2"/>
              <w:numPr>
                <w:ilvl w:val="0"/>
                <w:numId w:val="0"/>
              </w:numPr>
              <w:jc w:val="left"/>
              <w:outlineLvl w:val="1"/>
            </w:pPr>
            <w:r>
              <w:t>Progress Report</w:t>
            </w:r>
          </w:p>
        </w:tc>
        <w:tc>
          <w:tcPr>
            <w:tcW w:w="3827" w:type="dxa"/>
          </w:tcPr>
          <w:p w14:paraId="1A83F74D" w14:textId="0F2B5564" w:rsidR="00DF5EC6" w:rsidRDefault="00DF5EC6" w:rsidP="00DF5EC6">
            <w:pPr>
              <w:pStyle w:val="Heading2"/>
              <w:numPr>
                <w:ilvl w:val="0"/>
                <w:numId w:val="0"/>
              </w:numPr>
              <w:jc w:val="left"/>
              <w:outlineLvl w:val="1"/>
            </w:pPr>
            <w:r w:rsidRPr="00EB0CA4">
              <w:rPr>
                <w:rFonts w:cs="Arial"/>
              </w:rPr>
              <w:t>Progress reports will be supplied to the DfT project manager by phone or email (to be confirmed). This will include a summary of progress against the delivery.</w:t>
            </w:r>
          </w:p>
        </w:tc>
        <w:tc>
          <w:tcPr>
            <w:tcW w:w="1653" w:type="dxa"/>
          </w:tcPr>
          <w:p w14:paraId="53B2F4ED" w14:textId="39F0860B" w:rsidR="00DF5EC6" w:rsidRDefault="00DF5EC6" w:rsidP="00DF5EC6">
            <w:pPr>
              <w:pStyle w:val="Heading2"/>
              <w:numPr>
                <w:ilvl w:val="0"/>
                <w:numId w:val="0"/>
              </w:numPr>
              <w:outlineLvl w:val="1"/>
            </w:pPr>
            <w:r w:rsidRPr="00E65D5F">
              <w:rPr>
                <w:rFonts w:cs="Arial"/>
              </w:rPr>
              <w:t>Fortnightly</w:t>
            </w:r>
          </w:p>
        </w:tc>
      </w:tr>
      <w:tr w:rsidR="00DF5EC6" w14:paraId="611A7437" w14:textId="77777777" w:rsidTr="00B13763">
        <w:tc>
          <w:tcPr>
            <w:tcW w:w="1048" w:type="dxa"/>
          </w:tcPr>
          <w:p w14:paraId="0CA6154F" w14:textId="2E4A9E81" w:rsidR="00DF5EC6" w:rsidRDefault="00DF5EC6" w:rsidP="00DF5EC6">
            <w:pPr>
              <w:pStyle w:val="Heading2"/>
              <w:numPr>
                <w:ilvl w:val="0"/>
                <w:numId w:val="0"/>
              </w:numPr>
              <w:jc w:val="center"/>
              <w:outlineLvl w:val="1"/>
            </w:pPr>
            <w:r>
              <w:t>2</w:t>
            </w:r>
          </w:p>
        </w:tc>
        <w:tc>
          <w:tcPr>
            <w:tcW w:w="1771" w:type="dxa"/>
          </w:tcPr>
          <w:p w14:paraId="5A8C3451" w14:textId="4B5AFB99" w:rsidR="00DF5EC6" w:rsidRDefault="00DF5EC6" w:rsidP="00DF5EC6">
            <w:pPr>
              <w:pStyle w:val="Heading2"/>
              <w:numPr>
                <w:ilvl w:val="0"/>
                <w:numId w:val="0"/>
              </w:numPr>
              <w:outlineLvl w:val="1"/>
            </w:pPr>
            <w:r>
              <w:t>Risk monitoring</w:t>
            </w:r>
          </w:p>
        </w:tc>
        <w:tc>
          <w:tcPr>
            <w:tcW w:w="3827" w:type="dxa"/>
          </w:tcPr>
          <w:p w14:paraId="4FBFDF3E" w14:textId="0C779946" w:rsidR="00DF5EC6" w:rsidRDefault="00DF5EC6" w:rsidP="00DF5EC6">
            <w:pPr>
              <w:pStyle w:val="Heading2"/>
              <w:numPr>
                <w:ilvl w:val="0"/>
                <w:numId w:val="0"/>
              </w:numPr>
              <w:outlineLvl w:val="1"/>
            </w:pPr>
            <w:r w:rsidRPr="00EB0CA4">
              <w:rPr>
                <w:rFonts w:cs="Arial"/>
              </w:rPr>
              <w:t xml:space="preserve">The </w:t>
            </w:r>
            <w:r>
              <w:t>Potential Provider</w:t>
            </w:r>
            <w:r w:rsidRPr="00EB0CA4">
              <w:rPr>
                <w:rFonts w:cs="Arial"/>
              </w:rPr>
              <w:t xml:space="preserve"> will raise any concerns about the possibility of failing to meet the overall deadline </w:t>
            </w:r>
            <w:r w:rsidRPr="00EB0CA4">
              <w:rPr>
                <w:rFonts w:cs="Arial"/>
              </w:rPr>
              <w:lastRenderedPageBreak/>
              <w:t>and lack of relevant information to meet the requirements.</w:t>
            </w:r>
          </w:p>
        </w:tc>
        <w:tc>
          <w:tcPr>
            <w:tcW w:w="1653" w:type="dxa"/>
          </w:tcPr>
          <w:p w14:paraId="0EE422DF" w14:textId="5B531CAD" w:rsidR="00DF5EC6" w:rsidRDefault="00DF5EC6" w:rsidP="00DF5EC6">
            <w:pPr>
              <w:pStyle w:val="Heading2"/>
              <w:numPr>
                <w:ilvl w:val="0"/>
                <w:numId w:val="0"/>
              </w:numPr>
              <w:outlineLvl w:val="1"/>
            </w:pPr>
            <w:r>
              <w:rPr>
                <w:rFonts w:cs="Arial"/>
              </w:rPr>
              <w:lastRenderedPageBreak/>
              <w:t>Weekly</w:t>
            </w:r>
          </w:p>
        </w:tc>
      </w:tr>
      <w:tr w:rsidR="00DF5EC6" w14:paraId="368A6710" w14:textId="77777777" w:rsidTr="00B13763">
        <w:tc>
          <w:tcPr>
            <w:tcW w:w="1048" w:type="dxa"/>
          </w:tcPr>
          <w:p w14:paraId="4EE94C74" w14:textId="7FAF8111" w:rsidR="00DF5EC6" w:rsidRDefault="00DF5EC6" w:rsidP="00DF5EC6">
            <w:pPr>
              <w:pStyle w:val="Heading2"/>
              <w:numPr>
                <w:ilvl w:val="0"/>
                <w:numId w:val="0"/>
              </w:numPr>
              <w:jc w:val="center"/>
              <w:outlineLvl w:val="1"/>
            </w:pPr>
            <w:r>
              <w:t>3</w:t>
            </w:r>
          </w:p>
        </w:tc>
        <w:tc>
          <w:tcPr>
            <w:tcW w:w="1771" w:type="dxa"/>
          </w:tcPr>
          <w:p w14:paraId="6726DC40" w14:textId="7C73045B" w:rsidR="00DF5EC6" w:rsidRDefault="00DF5EC6" w:rsidP="00DF5EC6">
            <w:pPr>
              <w:pStyle w:val="Heading2"/>
              <w:numPr>
                <w:ilvl w:val="0"/>
                <w:numId w:val="0"/>
              </w:numPr>
              <w:outlineLvl w:val="1"/>
            </w:pPr>
            <w:r w:rsidRPr="00EB0CA4">
              <w:rPr>
                <w:rFonts w:cs="Arial"/>
              </w:rPr>
              <w:t>Communication</w:t>
            </w:r>
          </w:p>
        </w:tc>
        <w:tc>
          <w:tcPr>
            <w:tcW w:w="3827" w:type="dxa"/>
          </w:tcPr>
          <w:p w14:paraId="58DC627C" w14:textId="0FF4F8CA" w:rsidR="00DF5EC6" w:rsidRDefault="00DF5EC6" w:rsidP="00DF5EC6">
            <w:pPr>
              <w:pStyle w:val="Heading2"/>
              <w:numPr>
                <w:ilvl w:val="0"/>
                <w:numId w:val="0"/>
              </w:numPr>
              <w:outlineLvl w:val="1"/>
            </w:pPr>
            <w:r w:rsidRPr="00EB0CA4">
              <w:rPr>
                <w:rFonts w:cs="Arial"/>
              </w:rPr>
              <w:t xml:space="preserve">The </w:t>
            </w:r>
            <w:r>
              <w:t>Potential Provider</w:t>
            </w:r>
            <w:r w:rsidRPr="00EB0CA4">
              <w:rPr>
                <w:rFonts w:cs="Arial"/>
              </w:rPr>
              <w:t xml:space="preserve"> shall acknowledge any communications from the co</w:t>
            </w:r>
            <w:r>
              <w:rPr>
                <w:rFonts w:cs="Arial"/>
              </w:rPr>
              <w:t>ntract/project manager within 2 working days</w:t>
            </w:r>
            <w:r w:rsidR="00845F43">
              <w:rPr>
                <w:rFonts w:cs="Arial"/>
              </w:rPr>
              <w:t>.</w:t>
            </w:r>
          </w:p>
        </w:tc>
        <w:tc>
          <w:tcPr>
            <w:tcW w:w="1653" w:type="dxa"/>
          </w:tcPr>
          <w:p w14:paraId="19BB03B8" w14:textId="1E7FFA08" w:rsidR="00DF5EC6" w:rsidRDefault="00DF5EC6" w:rsidP="00DF5EC6">
            <w:pPr>
              <w:pStyle w:val="Heading2"/>
              <w:numPr>
                <w:ilvl w:val="0"/>
                <w:numId w:val="0"/>
              </w:numPr>
              <w:outlineLvl w:val="1"/>
            </w:pPr>
            <w:r>
              <w:t>2 working days</w:t>
            </w:r>
          </w:p>
        </w:tc>
      </w:tr>
      <w:tr w:rsidR="00DF5EC6" w14:paraId="69ECF5CB" w14:textId="77777777" w:rsidTr="00B13763">
        <w:tc>
          <w:tcPr>
            <w:tcW w:w="1048" w:type="dxa"/>
          </w:tcPr>
          <w:p w14:paraId="76A093A5" w14:textId="0AF770F3" w:rsidR="00DF5EC6" w:rsidRDefault="00DF5EC6" w:rsidP="00DF5EC6">
            <w:pPr>
              <w:pStyle w:val="Heading2"/>
              <w:numPr>
                <w:ilvl w:val="0"/>
                <w:numId w:val="0"/>
              </w:numPr>
              <w:jc w:val="center"/>
              <w:outlineLvl w:val="1"/>
            </w:pPr>
            <w:r>
              <w:t>4</w:t>
            </w:r>
          </w:p>
        </w:tc>
        <w:tc>
          <w:tcPr>
            <w:tcW w:w="1771" w:type="dxa"/>
          </w:tcPr>
          <w:p w14:paraId="094D220C" w14:textId="637B06DA" w:rsidR="00DF5EC6" w:rsidRDefault="00DF5EC6" w:rsidP="00DF5EC6">
            <w:pPr>
              <w:pStyle w:val="Heading2"/>
              <w:numPr>
                <w:ilvl w:val="0"/>
                <w:numId w:val="0"/>
              </w:numPr>
              <w:outlineLvl w:val="1"/>
            </w:pPr>
            <w:r>
              <w:t>Emergencies</w:t>
            </w:r>
          </w:p>
        </w:tc>
        <w:tc>
          <w:tcPr>
            <w:tcW w:w="3827" w:type="dxa"/>
          </w:tcPr>
          <w:p w14:paraId="6F1FD8A2" w14:textId="22641243" w:rsidR="00DF5EC6" w:rsidRDefault="00DF5EC6" w:rsidP="00DF5EC6">
            <w:pPr>
              <w:pStyle w:val="Heading2"/>
              <w:numPr>
                <w:ilvl w:val="0"/>
                <w:numId w:val="0"/>
              </w:numPr>
              <w:outlineLvl w:val="1"/>
            </w:pPr>
            <w:r w:rsidRPr="00EB0CA4">
              <w:rPr>
                <w:rFonts w:cs="Arial"/>
              </w:rPr>
              <w:t xml:space="preserve">If there is an urgent issue, the </w:t>
            </w:r>
            <w:r>
              <w:t>Potential Provider</w:t>
            </w:r>
            <w:r w:rsidRPr="00EB0CA4">
              <w:rPr>
                <w:rFonts w:cs="Arial"/>
              </w:rPr>
              <w:t xml:space="preserve"> shall make the contract</w:t>
            </w:r>
            <w:r>
              <w:rPr>
                <w:rFonts w:cs="Arial"/>
              </w:rPr>
              <w:t xml:space="preserve"> manager aware of this within 2 working days</w:t>
            </w:r>
            <w:r w:rsidRPr="00EB0CA4">
              <w:rPr>
                <w:rFonts w:cs="Arial"/>
              </w:rPr>
              <w:t>.</w:t>
            </w:r>
          </w:p>
        </w:tc>
        <w:tc>
          <w:tcPr>
            <w:tcW w:w="1653" w:type="dxa"/>
          </w:tcPr>
          <w:p w14:paraId="33C6BA7C" w14:textId="2EA7CEF0" w:rsidR="00DF5EC6" w:rsidRDefault="00DF5EC6" w:rsidP="00DF5EC6">
            <w:pPr>
              <w:pStyle w:val="Heading2"/>
              <w:numPr>
                <w:ilvl w:val="0"/>
                <w:numId w:val="0"/>
              </w:numPr>
              <w:outlineLvl w:val="1"/>
            </w:pPr>
            <w:r>
              <w:t>2 working days</w:t>
            </w:r>
          </w:p>
        </w:tc>
      </w:tr>
    </w:tbl>
    <w:p w14:paraId="2E373C90" w14:textId="77777777" w:rsidR="003F626A" w:rsidRDefault="003F626A" w:rsidP="003F626A">
      <w:pPr>
        <w:pStyle w:val="Heading2"/>
        <w:numPr>
          <w:ilvl w:val="0"/>
          <w:numId w:val="0"/>
        </w:numPr>
        <w:ind w:left="720"/>
      </w:pPr>
    </w:p>
    <w:p w14:paraId="789B15A4" w14:textId="0F603F7A" w:rsidR="0081061A" w:rsidRPr="00DF5EC6" w:rsidRDefault="00DF5EC6" w:rsidP="00DF5EC6">
      <w:pPr>
        <w:pStyle w:val="Heading2"/>
        <w:rPr>
          <w:rFonts w:cs="Arial"/>
        </w:rPr>
      </w:pPr>
      <w:bookmarkStart w:id="36" w:name="_Toc368573040"/>
      <w:r w:rsidRPr="00EB0CA4">
        <w:rPr>
          <w:rFonts w:cs="Arial"/>
        </w:rPr>
        <w:t xml:space="preserve">In the event that the Provider is unable to provide a product to the agreed quality within the specified time the Authorities reserves the right to retain payment, either in whole or in part. </w:t>
      </w:r>
    </w:p>
    <w:p w14:paraId="3F767EF8" w14:textId="77777777" w:rsidR="00671798" w:rsidRDefault="00FE18AC">
      <w:pPr>
        <w:pStyle w:val="Heading1"/>
        <w:spacing w:after="120"/>
      </w:pPr>
      <w:bookmarkStart w:id="37" w:name="_Toc444518882"/>
      <w:r>
        <w:t>Security requirements</w:t>
      </w:r>
      <w:bookmarkEnd w:id="36"/>
      <w:bookmarkEnd w:id="37"/>
    </w:p>
    <w:p w14:paraId="47DF1937" w14:textId="77777777" w:rsidR="00C95424" w:rsidRDefault="00C95424" w:rsidP="00C95424">
      <w:pPr>
        <w:pStyle w:val="Heading2"/>
        <w:rPr>
          <w:rFonts w:cs="Arial"/>
        </w:rPr>
      </w:pPr>
      <w:r>
        <w:rPr>
          <w:rFonts w:cs="Arial"/>
        </w:rPr>
        <w:t>The Provider</w:t>
      </w:r>
      <w:r w:rsidRPr="00EB0CA4">
        <w:rPr>
          <w:rFonts w:cs="Arial"/>
        </w:rPr>
        <w:t xml:space="preserve"> must be able to handle and store classified material up to</w:t>
      </w:r>
      <w:r>
        <w:rPr>
          <w:rFonts w:cs="Arial"/>
        </w:rPr>
        <w:t xml:space="preserve"> and including</w:t>
      </w:r>
      <w:r w:rsidRPr="00EB0CA4">
        <w:rPr>
          <w:rFonts w:cs="Arial"/>
        </w:rPr>
        <w:t xml:space="preserve"> OFFICIAL </w:t>
      </w:r>
      <w:r>
        <w:rPr>
          <w:rFonts w:cs="Arial"/>
        </w:rPr>
        <w:t xml:space="preserve">SENSITIVE </w:t>
      </w:r>
      <w:r w:rsidRPr="00EB0CA4">
        <w:rPr>
          <w:rFonts w:cs="Arial"/>
        </w:rPr>
        <w:t xml:space="preserve">level. </w:t>
      </w:r>
      <w:r>
        <w:rPr>
          <w:rFonts w:cs="Arial"/>
        </w:rPr>
        <w:t>The project report will be classified at OFFICIAL SENSITIVE.</w:t>
      </w:r>
    </w:p>
    <w:p w14:paraId="54D73835" w14:textId="77777777" w:rsidR="00C95424" w:rsidRPr="008B4671" w:rsidRDefault="00C95424" w:rsidP="00C95424">
      <w:pPr>
        <w:pStyle w:val="Heading2"/>
        <w:rPr>
          <w:rFonts w:cs="Arial"/>
          <w:szCs w:val="22"/>
        </w:rPr>
      </w:pPr>
      <w:r w:rsidRPr="008B4671">
        <w:rPr>
          <w:rFonts w:cs="Arial"/>
          <w:szCs w:val="22"/>
        </w:rPr>
        <w:t>As a minimum staff should have or be willing to apply for and obtain the Baseline Personnel Security Standard (BPSS)</w:t>
      </w:r>
      <w:r>
        <w:rPr>
          <w:rFonts w:cs="Arial"/>
          <w:szCs w:val="22"/>
        </w:rPr>
        <w:t xml:space="preserve"> and must state this explicitly in their bid</w:t>
      </w:r>
      <w:r w:rsidRPr="008B4671">
        <w:rPr>
          <w:rFonts w:cs="Arial"/>
          <w:szCs w:val="22"/>
        </w:rPr>
        <w:t>.</w:t>
      </w:r>
    </w:p>
    <w:p w14:paraId="5F94324D" w14:textId="77777777" w:rsidR="00C95424" w:rsidRDefault="00C95424" w:rsidP="00C95424">
      <w:pPr>
        <w:pStyle w:val="Heading2"/>
        <w:spacing w:after="0"/>
        <w:rPr>
          <w:rFonts w:cs="Arial"/>
        </w:rPr>
      </w:pPr>
      <w:r>
        <w:rPr>
          <w:rFonts w:cs="Arial"/>
        </w:rPr>
        <w:t>The Provider</w:t>
      </w:r>
      <w:r w:rsidRPr="00AB35E1">
        <w:rPr>
          <w:rFonts w:cs="Arial"/>
        </w:rPr>
        <w:t xml:space="preserve"> should demonstrate the measures in place to keep this information secure</w:t>
      </w:r>
      <w:r>
        <w:rPr>
          <w:rFonts w:cs="Arial"/>
        </w:rPr>
        <w:t>. Specifically, in the bid document the Provider</w:t>
      </w:r>
      <w:r w:rsidRPr="00AB35E1">
        <w:rPr>
          <w:rFonts w:cs="Arial"/>
        </w:rPr>
        <w:t xml:space="preserve"> should provide detail on how they will meet the following requirements:</w:t>
      </w:r>
    </w:p>
    <w:p w14:paraId="535AA723" w14:textId="77777777" w:rsidR="00C95424" w:rsidRPr="00AB35E1" w:rsidRDefault="00C95424" w:rsidP="00C95424">
      <w:pPr>
        <w:pStyle w:val="Heading2"/>
        <w:numPr>
          <w:ilvl w:val="0"/>
          <w:numId w:val="0"/>
        </w:numPr>
        <w:spacing w:after="0"/>
        <w:ind w:left="720"/>
        <w:rPr>
          <w:rFonts w:cs="Arial"/>
        </w:rPr>
      </w:pPr>
    </w:p>
    <w:p w14:paraId="57CACA85" w14:textId="77777777" w:rsidR="00C95424" w:rsidRPr="00C95424" w:rsidRDefault="00C95424" w:rsidP="00C95424">
      <w:pPr>
        <w:pStyle w:val="Heading3"/>
      </w:pPr>
      <w:r w:rsidRPr="00C95424">
        <w:t>Information classified at OFFICIAL SENSITIVE level relating to this project should not be communicated electronically, except between the contractor and DfT (and other parties approved by DfT) and then only using the methods below.</w:t>
      </w:r>
    </w:p>
    <w:p w14:paraId="19C8443C" w14:textId="77777777" w:rsidR="00C95424" w:rsidRPr="00C95424" w:rsidRDefault="00C95424" w:rsidP="00C95424">
      <w:pPr>
        <w:pStyle w:val="Heading3"/>
      </w:pPr>
      <w:r w:rsidRPr="00C95424">
        <w:t>The Potential Provider</w:t>
      </w:r>
      <w:r w:rsidRPr="00C95424" w:rsidDel="00B80F25">
        <w:t xml:space="preserve"> </w:t>
      </w:r>
      <w:r w:rsidRPr="00C95424">
        <w:t>should ensure the security of the information in transit. Electronically this will involve using software (for example Egress Switch system) to encrypt the files, preferably using AES-256, or other measures that offer an equivalent level of protection.</w:t>
      </w:r>
    </w:p>
    <w:p w14:paraId="32EE6533" w14:textId="77777777" w:rsidR="00C95424" w:rsidRPr="00C95424" w:rsidRDefault="00C95424" w:rsidP="00C95424">
      <w:pPr>
        <w:pStyle w:val="Heading3"/>
      </w:pPr>
      <w:r w:rsidRPr="00C95424">
        <w:t>Any passwords used to encrypt files should be complex and should be conveyed separately to the files themselves.</w:t>
      </w:r>
    </w:p>
    <w:p w14:paraId="7EAD203A" w14:textId="2B42C06A" w:rsidR="00C95424" w:rsidRPr="00C95424" w:rsidRDefault="00C95424" w:rsidP="00C95424">
      <w:pPr>
        <w:pStyle w:val="Heading3"/>
      </w:pPr>
      <w:r w:rsidRPr="00C95424">
        <w:t>Any electronic files should be stored on an IT system that has access controls that only allow approved personnel with a genuine ‘need to know’ to access them to read and copy. The IT system should be protected by an appropriate firewall.</w:t>
      </w:r>
      <w:r w:rsidR="00332176">
        <w:t xml:space="preserve"> This also applies to data stored offshore.</w:t>
      </w:r>
    </w:p>
    <w:p w14:paraId="52BA54F1" w14:textId="3ADC75C1" w:rsidR="00C95424" w:rsidRPr="00C95424" w:rsidRDefault="00C95424" w:rsidP="00C95424">
      <w:pPr>
        <w:pStyle w:val="Heading3"/>
      </w:pPr>
      <w:r w:rsidRPr="00C95424">
        <w:lastRenderedPageBreak/>
        <w:t>Once electronic files are no longer needed they should be deleted from the IT system in a way that makes recovery unlikely, either by overwriting the storage space or eventual dilution and deterioration on a busy shared storage system.</w:t>
      </w:r>
      <w:r w:rsidR="00332176">
        <w:t xml:space="preserve"> This also applies to data stored offshore.</w:t>
      </w:r>
    </w:p>
    <w:p w14:paraId="515995C4" w14:textId="77777777" w:rsidR="00C95424" w:rsidRPr="00C95424" w:rsidRDefault="00C95424" w:rsidP="00C95424">
      <w:pPr>
        <w:pStyle w:val="Heading3"/>
      </w:pPr>
      <w:r w:rsidRPr="00C95424">
        <w:t>Paper copies (including drafts and notes) and any removable electronic storage must be locked away when not in use to prevent unauthorised access. Printed material should be marked OFFICIAL SENSITIVE and numbered to ensure no copies are lost. Paper and printed material should be shredded when no longer needed.</w:t>
      </w:r>
    </w:p>
    <w:p w14:paraId="74D34F79" w14:textId="77777777" w:rsidR="00C95424" w:rsidRPr="00C95424" w:rsidRDefault="00C95424" w:rsidP="00C95424">
      <w:pPr>
        <w:pStyle w:val="Heading3"/>
      </w:pPr>
      <w:r w:rsidRPr="00C95424">
        <w:t>If any paper copies are to be posted, advice should be sought from DfT.</w:t>
      </w:r>
    </w:p>
    <w:p w14:paraId="699CDBE7" w14:textId="77777777" w:rsidR="00C95424" w:rsidRPr="00C95424" w:rsidRDefault="00C95424" w:rsidP="00C95424">
      <w:pPr>
        <w:pStyle w:val="Heading3"/>
      </w:pPr>
      <w:r w:rsidRPr="00C95424">
        <w:t>Access to all material generated by this project (not included source data unless supplied by DfT) must be on a limited and controlled basis, by persons approved by the DfT.</w:t>
      </w:r>
    </w:p>
    <w:p w14:paraId="41AD0C01" w14:textId="77777777" w:rsidR="00C95424" w:rsidRPr="00AB35E1" w:rsidRDefault="00C95424" w:rsidP="00C95424">
      <w:pPr>
        <w:pStyle w:val="Heading3"/>
        <w:numPr>
          <w:ilvl w:val="0"/>
          <w:numId w:val="0"/>
        </w:numPr>
        <w:spacing w:after="0"/>
        <w:ind w:left="993"/>
      </w:pPr>
    </w:p>
    <w:p w14:paraId="26B24919" w14:textId="77777777" w:rsidR="00C95424" w:rsidRDefault="00C95424" w:rsidP="00C95424">
      <w:pPr>
        <w:pStyle w:val="Heading2"/>
        <w:rPr>
          <w:rFonts w:cs="Arial"/>
        </w:rPr>
      </w:pPr>
      <w:r w:rsidRPr="00EB0CA4">
        <w:rPr>
          <w:rFonts w:cs="Arial"/>
        </w:rPr>
        <w:t>Any personal information obtained under this contract must be controlled in compliance with the Data Protection Act.</w:t>
      </w:r>
    </w:p>
    <w:p w14:paraId="20AB098B" w14:textId="77777777" w:rsidR="00C95424" w:rsidRPr="00EB0CA4" w:rsidRDefault="00C95424" w:rsidP="00C95424">
      <w:pPr>
        <w:pStyle w:val="Heading2"/>
        <w:rPr>
          <w:rFonts w:cs="Arial"/>
        </w:rPr>
      </w:pPr>
      <w:r w:rsidRPr="00EB0CA4">
        <w:rPr>
          <w:rFonts w:cs="Arial"/>
        </w:rPr>
        <w:t>Further information on security classification is available on the Cabinet Office website at the following addresses:</w:t>
      </w:r>
    </w:p>
    <w:p w14:paraId="5C99DB95" w14:textId="77777777" w:rsidR="00C95424" w:rsidRPr="00EB0CA4" w:rsidRDefault="00984B92" w:rsidP="00C95424">
      <w:pPr>
        <w:pStyle w:val="Heading2"/>
        <w:numPr>
          <w:ilvl w:val="0"/>
          <w:numId w:val="0"/>
        </w:numPr>
        <w:ind w:left="720"/>
        <w:rPr>
          <w:rFonts w:cs="Arial"/>
        </w:rPr>
      </w:pPr>
      <w:hyperlink r:id="rId8" w:history="1">
        <w:r w:rsidR="00C95424" w:rsidRPr="00EB0CA4">
          <w:rPr>
            <w:rStyle w:val="Hyperlink"/>
            <w:rFonts w:cs="Arial"/>
            <w:color w:val="auto"/>
          </w:rPr>
          <w:t>http://www.cabinetoffice.gov.uk/sites/default/files/resources/hmg-personnel-security-controls.pdf</w:t>
        </w:r>
      </w:hyperlink>
    </w:p>
    <w:p w14:paraId="3FF1BF98" w14:textId="6153FA0E" w:rsidR="00671798" w:rsidRPr="00C95424" w:rsidRDefault="00984B92" w:rsidP="00C95424">
      <w:pPr>
        <w:pStyle w:val="Heading2"/>
        <w:numPr>
          <w:ilvl w:val="0"/>
          <w:numId w:val="0"/>
        </w:numPr>
        <w:ind w:left="720"/>
        <w:rPr>
          <w:rFonts w:cs="Arial"/>
        </w:rPr>
      </w:pPr>
      <w:hyperlink r:id="rId9" w:history="1">
        <w:r w:rsidR="00C95424" w:rsidRPr="00EB0CA4">
          <w:rPr>
            <w:rStyle w:val="Hyperlink"/>
            <w:rFonts w:cs="Arial"/>
            <w:color w:val="auto"/>
          </w:rPr>
          <w:t>https://www.gov.uk/government/publications/security-policy-framework</w:t>
        </w:r>
      </w:hyperlink>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1"/>
      <w:bookmarkStart w:id="39" w:name="_Toc444518883"/>
      <w:r>
        <w:rPr>
          <w:rFonts w:cs="Arial"/>
          <w:szCs w:val="22"/>
        </w:rPr>
        <w:t>intellectual property rights (ipr)</w:t>
      </w:r>
      <w:bookmarkEnd w:id="38"/>
      <w:bookmarkEnd w:id="39"/>
    </w:p>
    <w:p w14:paraId="7DBAFA11" w14:textId="6B153E0A" w:rsidR="00FE12D1" w:rsidRDefault="00FE12D1" w:rsidP="00FE12D1">
      <w:pPr>
        <w:pStyle w:val="Heading2"/>
      </w:pPr>
      <w:r>
        <w:rPr>
          <w:rFonts w:cs="Arial"/>
          <w:color w:val="000000"/>
          <w:szCs w:val="22"/>
          <w:shd w:val="clear" w:color="auto" w:fill="FFFFFF"/>
        </w:rPr>
        <w:t>The Intellectual Property Rights on all work undertaken under this contract, including the project reports and any spreadsheets developed will be in line with the contracts standard terms and conditions</w:t>
      </w:r>
      <w:bookmarkStart w:id="40" w:name="_GoBack"/>
      <w:bookmarkEnd w:id="40"/>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44518884"/>
      <w:bookmarkStart w:id="42" w:name="_Toc368573042"/>
      <w:r w:rsidRPr="00874062">
        <w:rPr>
          <w:rFonts w:cs="Arial"/>
          <w:szCs w:val="22"/>
        </w:rPr>
        <w:t>payment</w:t>
      </w:r>
      <w:bookmarkEnd w:id="41"/>
    </w:p>
    <w:p w14:paraId="6347D9FC" w14:textId="77777777" w:rsidR="0009490A" w:rsidRPr="00EB0CA4" w:rsidRDefault="0009490A" w:rsidP="0009490A">
      <w:pPr>
        <w:pStyle w:val="Heading2"/>
        <w:spacing w:after="120"/>
        <w:rPr>
          <w:rFonts w:cs="Arial"/>
        </w:rPr>
      </w:pPr>
      <w:r w:rsidRPr="00EB0CA4">
        <w:rPr>
          <w:rFonts w:cs="Arial"/>
          <w:szCs w:val="22"/>
        </w:rPr>
        <w:t>Prices should be submitted in pounds sterling and be inclusive of expenses and exclusive of VAT.</w:t>
      </w:r>
    </w:p>
    <w:p w14:paraId="568284A9" w14:textId="77777777" w:rsidR="0009490A" w:rsidRPr="00EB0CA4" w:rsidRDefault="0009490A" w:rsidP="0009490A">
      <w:pPr>
        <w:pStyle w:val="Heading2"/>
        <w:spacing w:after="120"/>
        <w:rPr>
          <w:rFonts w:cs="Arial"/>
          <w:szCs w:val="22"/>
        </w:rPr>
      </w:pPr>
      <w:r>
        <w:rPr>
          <w:rFonts w:cs="Arial"/>
          <w:szCs w:val="22"/>
        </w:rPr>
        <w:t>The Authority</w:t>
      </w:r>
      <w:r w:rsidRPr="00EB0CA4">
        <w:rPr>
          <w:rFonts w:cs="Arial"/>
          <w:szCs w:val="22"/>
        </w:rPr>
        <w:t xml:space="preserve"> require invoices to </w:t>
      </w:r>
      <w:r>
        <w:rPr>
          <w:rFonts w:cs="Arial"/>
          <w:szCs w:val="22"/>
        </w:rPr>
        <w:t>be submitted within one month</w:t>
      </w:r>
      <w:r w:rsidRPr="00EB0CA4">
        <w:rPr>
          <w:rFonts w:cs="Arial"/>
          <w:szCs w:val="22"/>
        </w:rPr>
        <w:t xml:space="preserve"> </w:t>
      </w:r>
      <w:r>
        <w:rPr>
          <w:rFonts w:cs="Arial"/>
          <w:szCs w:val="22"/>
        </w:rPr>
        <w:t>of</w:t>
      </w:r>
      <w:r w:rsidRPr="00EB0CA4">
        <w:rPr>
          <w:rFonts w:cs="Arial"/>
          <w:szCs w:val="22"/>
        </w:rPr>
        <w:t xml:space="preserve"> the end of the project.</w:t>
      </w:r>
    </w:p>
    <w:p w14:paraId="6828389C" w14:textId="77777777" w:rsidR="0009490A" w:rsidRPr="00EB0CA4" w:rsidRDefault="0009490A" w:rsidP="0009490A">
      <w:pPr>
        <w:pStyle w:val="Heading2"/>
        <w:rPr>
          <w:rFonts w:cs="Arial"/>
          <w:szCs w:val="22"/>
        </w:rPr>
      </w:pPr>
      <w:r w:rsidRPr="00EB0CA4">
        <w:rPr>
          <w:rFonts w:cs="Arial"/>
          <w:szCs w:val="22"/>
          <w:shd w:val="clear" w:color="auto" w:fill="FFFFFF"/>
        </w:rPr>
        <w:t xml:space="preserve">Payment can only be made following satisfactory delivery of pre-agreed certified products and deliverables. </w:t>
      </w:r>
    </w:p>
    <w:p w14:paraId="6A10A41E" w14:textId="77777777" w:rsidR="0009490A" w:rsidRPr="00EB0CA4" w:rsidRDefault="0009490A" w:rsidP="0009490A">
      <w:pPr>
        <w:pStyle w:val="Heading2"/>
        <w:rPr>
          <w:rFonts w:cs="Arial"/>
          <w:szCs w:val="22"/>
        </w:rPr>
      </w:pPr>
      <w:r w:rsidRPr="00EB0CA4">
        <w:rPr>
          <w:rFonts w:cs="Arial"/>
          <w:szCs w:val="22"/>
          <w:shd w:val="clear" w:color="auto" w:fill="FFFFFF"/>
        </w:rPr>
        <w:t xml:space="preserve">Before payment can be considered, each invoice must include a detailed elemental breakdown of work completed and the associated costs. </w:t>
      </w:r>
    </w:p>
    <w:p w14:paraId="28B41D85" w14:textId="3281302A" w:rsidR="0036555C" w:rsidRPr="0009490A" w:rsidRDefault="0009490A" w:rsidP="0009490A">
      <w:pPr>
        <w:pStyle w:val="Heading2"/>
      </w:pPr>
      <w:r w:rsidRPr="00D02B7D">
        <w:lastRenderedPageBreak/>
        <w:t xml:space="preserve">The Authority shall pay the </w:t>
      </w:r>
      <w:r>
        <w:t>Potential Provider</w:t>
      </w:r>
      <w:r w:rsidRPr="00D02B7D" w:rsidDel="00B80F25">
        <w:t xml:space="preserve"> </w:t>
      </w:r>
      <w:r w:rsidRPr="00D02B7D">
        <w:t>within Thirty (30) calendar days of receipt of a valid invoice, paid against a valid Purchase Order issued by the Authority; the method of payment will be by BACS.</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44518885"/>
      <w:r>
        <w:rPr>
          <w:rFonts w:cs="Arial"/>
          <w:szCs w:val="22"/>
        </w:rPr>
        <w:t>additional information</w:t>
      </w:r>
      <w:bookmarkEnd w:id="42"/>
      <w:bookmarkEnd w:id="43"/>
      <w:r>
        <w:rPr>
          <w:rFonts w:cs="Arial"/>
          <w:szCs w:val="22"/>
        </w:rPr>
        <w:t xml:space="preserve"> </w:t>
      </w:r>
    </w:p>
    <w:p w14:paraId="3F0A2F0D" w14:textId="4575D4AE" w:rsidR="00671798" w:rsidRPr="004D2A21" w:rsidRDefault="0009490A">
      <w:pPr>
        <w:pStyle w:val="Heading2"/>
        <w:tabs>
          <w:tab w:val="clear" w:pos="720"/>
          <w:tab w:val="num" w:pos="709"/>
        </w:tabs>
        <w:spacing w:after="120"/>
        <w:ind w:left="709" w:hanging="709"/>
      </w:pPr>
      <w:r w:rsidRPr="004D2A21">
        <w:t>Not Applicable</w:t>
      </w:r>
      <w:r w:rsidR="00845F43">
        <w:t>.</w:t>
      </w:r>
    </w:p>
    <w:p w14:paraId="04BBE808" w14:textId="77777777" w:rsidR="00671798" w:rsidRDefault="00FE18AC">
      <w:pPr>
        <w:pStyle w:val="Heading1"/>
        <w:spacing w:after="120"/>
      </w:pPr>
      <w:bookmarkStart w:id="44" w:name="_Toc368573043"/>
      <w:bookmarkStart w:id="45" w:name="_Toc444518886"/>
      <w:bookmarkEnd w:id="19"/>
      <w:r>
        <w:t>Location</w:t>
      </w:r>
      <w:bookmarkEnd w:id="44"/>
      <w:bookmarkEnd w:id="45"/>
      <w:r>
        <w:t xml:space="preserve"> </w:t>
      </w:r>
    </w:p>
    <w:p w14:paraId="37C13A5F" w14:textId="5D72B56F" w:rsidR="00671798" w:rsidRDefault="00FE18AC">
      <w:pPr>
        <w:pStyle w:val="Heading2"/>
        <w:tabs>
          <w:tab w:val="clear" w:pos="720"/>
          <w:tab w:val="num" w:pos="709"/>
        </w:tabs>
        <w:spacing w:after="120"/>
        <w:ind w:left="709" w:hanging="709"/>
      </w:pPr>
      <w:r>
        <w:t xml:space="preserve">The location of the Services will be carried out at </w:t>
      </w:r>
      <w:r w:rsidR="0009490A" w:rsidRPr="003449BB">
        <w:t xml:space="preserve">the </w:t>
      </w:r>
      <w:r w:rsidR="0009490A">
        <w:t>Potential Provid</w:t>
      </w:r>
      <w:r w:rsidR="0009490A" w:rsidRPr="003449BB">
        <w:t>er’s premises</w:t>
      </w:r>
      <w:r w:rsidR="0009490A">
        <w:t xml:space="preserve"> within the UK. Any anticipated travel and expenses incurred from engagement with stakeholders or the Authority must be included in the bid price.</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16DFE" w14:textId="77777777" w:rsidR="00984B92" w:rsidRDefault="00984B92">
      <w:pPr>
        <w:spacing w:line="20" w:lineRule="exact"/>
      </w:pPr>
    </w:p>
  </w:endnote>
  <w:endnote w:type="continuationSeparator" w:id="0">
    <w:p w14:paraId="78950254" w14:textId="77777777" w:rsidR="00984B92" w:rsidRDefault="00984B92">
      <w:pPr>
        <w:spacing w:line="20" w:lineRule="exact"/>
      </w:pPr>
      <w:r>
        <w:t xml:space="preserve"> </w:t>
      </w:r>
    </w:p>
  </w:endnote>
  <w:endnote w:type="continuationNotice" w:id="1">
    <w:p w14:paraId="6EB1A342" w14:textId="77777777" w:rsidR="00984B92" w:rsidRDefault="00984B9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4E511C13" w:rsidR="00362A29" w:rsidRDefault="00731730">
        <w:pPr>
          <w:pStyle w:val="Footer"/>
          <w:rPr>
            <w:sz w:val="20"/>
            <w:szCs w:val="20"/>
          </w:rPr>
        </w:pPr>
        <w:r>
          <w:rPr>
            <w:sz w:val="20"/>
            <w:szCs w:val="20"/>
          </w:rPr>
          <w:t>Nick Williams</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57F6B068" w:rsidR="00362A29" w:rsidRPr="00985B4D" w:rsidRDefault="00043FFC" w:rsidP="00985B4D">
        <w:pPr>
          <w:pStyle w:val="Footer"/>
          <w:jc w:val="right"/>
          <w:rPr>
            <w:sz w:val="20"/>
            <w:szCs w:val="20"/>
          </w:rPr>
        </w:pPr>
        <w:r>
          <w:rPr>
            <w:sz w:val="20"/>
            <w:szCs w:val="20"/>
          </w:rPr>
          <w:t xml:space="preserve">V1.0 </w:t>
        </w:r>
        <w:r w:rsidR="00332176">
          <w:rPr>
            <w:sz w:val="20"/>
            <w:szCs w:val="20"/>
          </w:rPr>
          <w:t>7</w:t>
        </w:r>
        <w:r w:rsidR="00332176" w:rsidRPr="00332176">
          <w:rPr>
            <w:sz w:val="20"/>
            <w:szCs w:val="20"/>
            <w:vertAlign w:val="superscript"/>
          </w:rPr>
          <w:t>th</w:t>
        </w:r>
        <w:r w:rsidR="00332176">
          <w:rPr>
            <w:sz w:val="20"/>
            <w:szCs w:val="20"/>
          </w:rPr>
          <w:t xml:space="preserve"> November </w:t>
        </w:r>
        <w:r w:rsidR="00731730">
          <w:rPr>
            <w:sz w:val="20"/>
            <w:szCs w:val="20"/>
          </w:rPr>
          <w:t>2017</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FE12D1">
          <w:rPr>
            <w:noProof/>
            <w:sz w:val="20"/>
            <w:szCs w:val="20"/>
          </w:rPr>
          <w:t>8</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F148E" w14:textId="77777777" w:rsidR="00984B92" w:rsidRDefault="00984B92">
      <w:r>
        <w:separator/>
      </w:r>
    </w:p>
  </w:footnote>
  <w:footnote w:type="continuationSeparator" w:id="0">
    <w:p w14:paraId="71C21CAA" w14:textId="77777777" w:rsidR="00984B92" w:rsidRDefault="00984B92">
      <w:r>
        <w:continuationSeparator/>
      </w:r>
    </w:p>
  </w:footnote>
  <w:footnote w:type="continuationNotice" w:id="1">
    <w:p w14:paraId="3024B7E9" w14:textId="77777777" w:rsidR="00984B92" w:rsidRDefault="00984B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Pr="00731730" w:rsidRDefault="00362A29" w:rsidP="00985B4D">
    <w:pPr>
      <w:tabs>
        <w:tab w:val="center" w:pos="4153"/>
        <w:tab w:val="right" w:pos="8306"/>
      </w:tabs>
      <w:ind w:left="720"/>
      <w:jc w:val="center"/>
      <w:rPr>
        <w:sz w:val="20"/>
        <w:szCs w:val="20"/>
      </w:rPr>
    </w:pPr>
    <w:r w:rsidRPr="00731730">
      <w:rPr>
        <w:sz w:val="20"/>
        <w:szCs w:val="20"/>
      </w:rPr>
      <w:t>Appendix B – Statement of Requirements</w:t>
    </w:r>
  </w:p>
  <w:p w14:paraId="2FFA1B3E" w14:textId="12438A51" w:rsidR="00362A29" w:rsidRPr="00731730" w:rsidRDefault="00731730" w:rsidP="005334EA">
    <w:pPr>
      <w:tabs>
        <w:tab w:val="center" w:pos="4153"/>
        <w:tab w:val="right" w:pos="8306"/>
      </w:tabs>
      <w:ind w:left="720"/>
      <w:jc w:val="center"/>
      <w:rPr>
        <w:rFonts w:cs="Arial"/>
        <w:sz w:val="20"/>
        <w:szCs w:val="20"/>
      </w:rPr>
    </w:pPr>
    <w:r w:rsidRPr="00731730">
      <w:rPr>
        <w:rFonts w:cs="Arial"/>
        <w:sz w:val="20"/>
        <w:szCs w:val="20"/>
      </w:rPr>
      <w:t>Provision of Consultancy for</w:t>
    </w:r>
  </w:p>
  <w:p w14:paraId="0B78D332" w14:textId="354AD113" w:rsidR="00731730" w:rsidRPr="00731730" w:rsidRDefault="00731730" w:rsidP="005334EA">
    <w:pPr>
      <w:tabs>
        <w:tab w:val="center" w:pos="4153"/>
        <w:tab w:val="right" w:pos="8306"/>
      </w:tabs>
      <w:ind w:left="720"/>
      <w:jc w:val="center"/>
      <w:rPr>
        <w:rFonts w:cs="Arial"/>
        <w:sz w:val="20"/>
        <w:szCs w:val="20"/>
      </w:rPr>
    </w:pPr>
    <w:r w:rsidRPr="00731730">
      <w:rPr>
        <w:rFonts w:cs="Arial"/>
        <w:sz w:val="20"/>
        <w:szCs w:val="20"/>
      </w:rPr>
      <w:t>Understanding Port Community Systems</w:t>
    </w:r>
  </w:p>
  <w:p w14:paraId="3CFCFA88" w14:textId="7DDE8F47" w:rsidR="00362A29" w:rsidRPr="005334EA" w:rsidRDefault="00731730" w:rsidP="005334EA">
    <w:pPr>
      <w:tabs>
        <w:tab w:val="center" w:pos="4153"/>
        <w:tab w:val="right" w:pos="8306"/>
      </w:tabs>
      <w:ind w:left="720"/>
      <w:jc w:val="center"/>
      <w:rPr>
        <w:sz w:val="20"/>
        <w:szCs w:val="20"/>
      </w:rPr>
    </w:pPr>
    <w:r w:rsidRPr="00731730">
      <w:rPr>
        <w:rFonts w:cs="Arial"/>
        <w:sz w:val="20"/>
        <w:szCs w:val="20"/>
      </w:rPr>
      <w:t xml:space="preserve">     Contract Reference</w:t>
    </w:r>
    <w:r>
      <w:rPr>
        <w:rFonts w:cs="Arial"/>
        <w:sz w:val="20"/>
        <w:szCs w:val="20"/>
      </w:rPr>
      <w:t>: CCCC17B17</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3711F9"/>
    <w:multiLevelType w:val="hybridMultilevel"/>
    <w:tmpl w:val="217282CC"/>
    <w:lvl w:ilvl="0" w:tplc="6A6660C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7BE31E6"/>
    <w:multiLevelType w:val="multilevel"/>
    <w:tmpl w:val="E6109C4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4"/>
      <w:numFmt w:val="bullet"/>
      <w:lvlText w:val="-"/>
      <w:lvlJc w:val="left"/>
      <w:pPr>
        <w:tabs>
          <w:tab w:val="num" w:pos="1800"/>
        </w:tabs>
        <w:ind w:left="1800" w:hanging="1080"/>
      </w:pPr>
      <w:rPr>
        <w:rFonts w:ascii="Arial" w:eastAsia="Times New Roman" w:hAnsi="Arial" w:cs="Aria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3B0026B9"/>
    <w:multiLevelType w:val="multilevel"/>
    <w:tmpl w:val="BEF8DABE"/>
    <w:lvl w:ilvl="0">
      <w:start w:val="1"/>
      <w:numFmt w:val="bullet"/>
      <w:lvlText w:val=""/>
      <w:lvlJc w:val="left"/>
      <w:pPr>
        <w:tabs>
          <w:tab w:val="num" w:pos="720"/>
        </w:tabs>
        <w:ind w:left="720" w:hanging="720"/>
      </w:pPr>
      <w:rPr>
        <w:rFonts w:ascii="Symbol" w:hAnsi="Symbol"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7"/>
  </w:num>
  <w:num w:numId="3">
    <w:abstractNumId w:val="15"/>
  </w:num>
  <w:num w:numId="4">
    <w:abstractNumId w:val="16"/>
  </w:num>
  <w:num w:numId="5">
    <w:abstractNumId w:val="6"/>
  </w:num>
  <w:num w:numId="6">
    <w:abstractNumId w:val="23"/>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10"/>
  </w:num>
  <w:num w:numId="16">
    <w:abstractNumId w:val="31"/>
  </w:num>
  <w:num w:numId="17">
    <w:abstractNumId w:val="9"/>
  </w:num>
  <w:num w:numId="18">
    <w:abstractNumId w:val="21"/>
  </w:num>
  <w:num w:numId="19">
    <w:abstractNumId w:val="17"/>
  </w:num>
  <w:num w:numId="20">
    <w:abstractNumId w:val="29"/>
  </w:num>
  <w:num w:numId="21">
    <w:abstractNumId w:val="13"/>
  </w:num>
  <w:num w:numId="22">
    <w:abstractNumId w:val="33"/>
  </w:num>
  <w:num w:numId="23">
    <w:abstractNumId w:val="24"/>
  </w:num>
  <w:num w:numId="24">
    <w:abstractNumId w:val="12"/>
  </w:num>
  <w:num w:numId="25">
    <w:abstractNumId w:val="32"/>
  </w:num>
  <w:num w:numId="26">
    <w:abstractNumId w:val="8"/>
  </w:num>
  <w:num w:numId="27">
    <w:abstractNumId w:val="28"/>
  </w:num>
  <w:num w:numId="28">
    <w:abstractNumId w:val="22"/>
  </w:num>
  <w:num w:numId="29">
    <w:abstractNumId w:val="3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5"/>
  </w:num>
  <w:num w:numId="34">
    <w:abstractNumId w:val="27"/>
  </w:num>
  <w:num w:numId="35">
    <w:abstractNumId w:val="27"/>
  </w:num>
  <w:num w:numId="36">
    <w:abstractNumId w:val="20"/>
  </w:num>
  <w:num w:numId="37">
    <w:abstractNumId w:val="27"/>
  </w:num>
  <w:num w:numId="38">
    <w:abstractNumId w:val="27"/>
  </w:num>
  <w:num w:numId="39">
    <w:abstractNumId w:val="19"/>
  </w:num>
  <w:num w:numId="4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0E1C"/>
    <w:rsid w:val="000110CC"/>
    <w:rsid w:val="00011988"/>
    <w:rsid w:val="00012987"/>
    <w:rsid w:val="0001386E"/>
    <w:rsid w:val="0001408F"/>
    <w:rsid w:val="00014A44"/>
    <w:rsid w:val="0001628F"/>
    <w:rsid w:val="00020611"/>
    <w:rsid w:val="000209FA"/>
    <w:rsid w:val="0002117B"/>
    <w:rsid w:val="000213ED"/>
    <w:rsid w:val="00022304"/>
    <w:rsid w:val="0002302C"/>
    <w:rsid w:val="0002409B"/>
    <w:rsid w:val="00024AE7"/>
    <w:rsid w:val="00024B2F"/>
    <w:rsid w:val="00026CBD"/>
    <w:rsid w:val="00026E28"/>
    <w:rsid w:val="00027C05"/>
    <w:rsid w:val="000300DF"/>
    <w:rsid w:val="000318CA"/>
    <w:rsid w:val="0003289F"/>
    <w:rsid w:val="00033742"/>
    <w:rsid w:val="00035A45"/>
    <w:rsid w:val="00037CB6"/>
    <w:rsid w:val="00040A60"/>
    <w:rsid w:val="00043FFC"/>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4885"/>
    <w:rsid w:val="00090D6B"/>
    <w:rsid w:val="000910A7"/>
    <w:rsid w:val="00092145"/>
    <w:rsid w:val="00092C56"/>
    <w:rsid w:val="0009490A"/>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972"/>
    <w:rsid w:val="000C2E05"/>
    <w:rsid w:val="000C68BF"/>
    <w:rsid w:val="000C6BD6"/>
    <w:rsid w:val="000C7C2B"/>
    <w:rsid w:val="000D161A"/>
    <w:rsid w:val="000D3719"/>
    <w:rsid w:val="000D4605"/>
    <w:rsid w:val="000E031B"/>
    <w:rsid w:val="000E4C53"/>
    <w:rsid w:val="000E6052"/>
    <w:rsid w:val="000F232D"/>
    <w:rsid w:val="000F3348"/>
    <w:rsid w:val="000F3500"/>
    <w:rsid w:val="000F3E1D"/>
    <w:rsid w:val="000F52E6"/>
    <w:rsid w:val="00100B77"/>
    <w:rsid w:val="0010318E"/>
    <w:rsid w:val="001040CE"/>
    <w:rsid w:val="00104388"/>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A01"/>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584A"/>
    <w:rsid w:val="001C609B"/>
    <w:rsid w:val="001C63F8"/>
    <w:rsid w:val="001D0473"/>
    <w:rsid w:val="001D0D12"/>
    <w:rsid w:val="001D1728"/>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15727"/>
    <w:rsid w:val="0022047E"/>
    <w:rsid w:val="00220ACA"/>
    <w:rsid w:val="002222F1"/>
    <w:rsid w:val="002229A8"/>
    <w:rsid w:val="002235BF"/>
    <w:rsid w:val="00224FFC"/>
    <w:rsid w:val="0022513D"/>
    <w:rsid w:val="00225865"/>
    <w:rsid w:val="0022592F"/>
    <w:rsid w:val="002262A5"/>
    <w:rsid w:val="002268D4"/>
    <w:rsid w:val="0022721A"/>
    <w:rsid w:val="00233206"/>
    <w:rsid w:val="0023477D"/>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5BD9"/>
    <w:rsid w:val="0029778D"/>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08B"/>
    <w:rsid w:val="002C519F"/>
    <w:rsid w:val="002C538F"/>
    <w:rsid w:val="002C671C"/>
    <w:rsid w:val="002D268A"/>
    <w:rsid w:val="002D2841"/>
    <w:rsid w:val="002D3A27"/>
    <w:rsid w:val="002D556E"/>
    <w:rsid w:val="002D7AC9"/>
    <w:rsid w:val="002E0344"/>
    <w:rsid w:val="002E05A6"/>
    <w:rsid w:val="002E5436"/>
    <w:rsid w:val="002E6400"/>
    <w:rsid w:val="002F13FD"/>
    <w:rsid w:val="002F1F7F"/>
    <w:rsid w:val="002F2163"/>
    <w:rsid w:val="002F3129"/>
    <w:rsid w:val="002F42F4"/>
    <w:rsid w:val="002F7AA1"/>
    <w:rsid w:val="0030038A"/>
    <w:rsid w:val="0030185A"/>
    <w:rsid w:val="003020B8"/>
    <w:rsid w:val="0030285B"/>
    <w:rsid w:val="0030439A"/>
    <w:rsid w:val="003047E0"/>
    <w:rsid w:val="0030606A"/>
    <w:rsid w:val="00315091"/>
    <w:rsid w:val="00315C76"/>
    <w:rsid w:val="0032065B"/>
    <w:rsid w:val="00323541"/>
    <w:rsid w:val="00323EAA"/>
    <w:rsid w:val="00330C5C"/>
    <w:rsid w:val="00331523"/>
    <w:rsid w:val="003316AA"/>
    <w:rsid w:val="00332176"/>
    <w:rsid w:val="00333D28"/>
    <w:rsid w:val="003341DC"/>
    <w:rsid w:val="00336059"/>
    <w:rsid w:val="00336988"/>
    <w:rsid w:val="00341FF8"/>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3DE9"/>
    <w:rsid w:val="00396B62"/>
    <w:rsid w:val="003A0CDA"/>
    <w:rsid w:val="003A199A"/>
    <w:rsid w:val="003A21C8"/>
    <w:rsid w:val="003A2C48"/>
    <w:rsid w:val="003A4DD7"/>
    <w:rsid w:val="003B0599"/>
    <w:rsid w:val="003B062F"/>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3656"/>
    <w:rsid w:val="00404F9C"/>
    <w:rsid w:val="0040508D"/>
    <w:rsid w:val="00405A77"/>
    <w:rsid w:val="004126C0"/>
    <w:rsid w:val="004128DA"/>
    <w:rsid w:val="00413A43"/>
    <w:rsid w:val="0041422C"/>
    <w:rsid w:val="004147A7"/>
    <w:rsid w:val="00415016"/>
    <w:rsid w:val="0041576D"/>
    <w:rsid w:val="00416045"/>
    <w:rsid w:val="0041771B"/>
    <w:rsid w:val="00417801"/>
    <w:rsid w:val="00417E01"/>
    <w:rsid w:val="00422823"/>
    <w:rsid w:val="00424025"/>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7AA9"/>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4FC4"/>
    <w:rsid w:val="004C50CD"/>
    <w:rsid w:val="004C5520"/>
    <w:rsid w:val="004C5A51"/>
    <w:rsid w:val="004C5C6B"/>
    <w:rsid w:val="004C62BB"/>
    <w:rsid w:val="004D0392"/>
    <w:rsid w:val="004D0A59"/>
    <w:rsid w:val="004D1EED"/>
    <w:rsid w:val="004D22DF"/>
    <w:rsid w:val="004D267E"/>
    <w:rsid w:val="004D2A21"/>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269"/>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43CB"/>
    <w:rsid w:val="005750D7"/>
    <w:rsid w:val="005750F5"/>
    <w:rsid w:val="005759DD"/>
    <w:rsid w:val="00576C34"/>
    <w:rsid w:val="00581887"/>
    <w:rsid w:val="005821EF"/>
    <w:rsid w:val="0058297A"/>
    <w:rsid w:val="0058409F"/>
    <w:rsid w:val="00586640"/>
    <w:rsid w:val="00586CC2"/>
    <w:rsid w:val="00590FFC"/>
    <w:rsid w:val="005924FF"/>
    <w:rsid w:val="005936DB"/>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51FB"/>
    <w:rsid w:val="006167BA"/>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0CFB"/>
    <w:rsid w:val="00653D40"/>
    <w:rsid w:val="00654173"/>
    <w:rsid w:val="006549BE"/>
    <w:rsid w:val="00657DE2"/>
    <w:rsid w:val="006600A8"/>
    <w:rsid w:val="00660E0B"/>
    <w:rsid w:val="006641E1"/>
    <w:rsid w:val="006645BF"/>
    <w:rsid w:val="00671798"/>
    <w:rsid w:val="00671C2E"/>
    <w:rsid w:val="00672522"/>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A50A0"/>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1730"/>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679D4"/>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91D"/>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2A52"/>
    <w:rsid w:val="00803909"/>
    <w:rsid w:val="00804229"/>
    <w:rsid w:val="008042A5"/>
    <w:rsid w:val="0080626B"/>
    <w:rsid w:val="00806CB2"/>
    <w:rsid w:val="00806DC0"/>
    <w:rsid w:val="008073BC"/>
    <w:rsid w:val="0081061A"/>
    <w:rsid w:val="00810F49"/>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5F43"/>
    <w:rsid w:val="00846256"/>
    <w:rsid w:val="008465F9"/>
    <w:rsid w:val="008519A1"/>
    <w:rsid w:val="0085331D"/>
    <w:rsid w:val="00854513"/>
    <w:rsid w:val="008556F2"/>
    <w:rsid w:val="00855DAA"/>
    <w:rsid w:val="0086149B"/>
    <w:rsid w:val="00861D08"/>
    <w:rsid w:val="00862C72"/>
    <w:rsid w:val="00862E1D"/>
    <w:rsid w:val="008633FF"/>
    <w:rsid w:val="00867F30"/>
    <w:rsid w:val="00871033"/>
    <w:rsid w:val="00873E83"/>
    <w:rsid w:val="00874062"/>
    <w:rsid w:val="0087463E"/>
    <w:rsid w:val="00874B74"/>
    <w:rsid w:val="00874ED6"/>
    <w:rsid w:val="00877AA1"/>
    <w:rsid w:val="00880C0D"/>
    <w:rsid w:val="00880F9C"/>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5954"/>
    <w:rsid w:val="008B7859"/>
    <w:rsid w:val="008B796C"/>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38FA"/>
    <w:rsid w:val="008E5B1C"/>
    <w:rsid w:val="008E5D54"/>
    <w:rsid w:val="008E6D8C"/>
    <w:rsid w:val="008E7734"/>
    <w:rsid w:val="008E7D6B"/>
    <w:rsid w:val="008F0B3A"/>
    <w:rsid w:val="008F0B5B"/>
    <w:rsid w:val="008F0F5B"/>
    <w:rsid w:val="008F3470"/>
    <w:rsid w:val="008F48B8"/>
    <w:rsid w:val="008F4F1E"/>
    <w:rsid w:val="008F7076"/>
    <w:rsid w:val="008F7730"/>
    <w:rsid w:val="00900BFA"/>
    <w:rsid w:val="00900E71"/>
    <w:rsid w:val="0090144F"/>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0ECF"/>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4B92"/>
    <w:rsid w:val="00985750"/>
    <w:rsid w:val="00985B4D"/>
    <w:rsid w:val="00986DDB"/>
    <w:rsid w:val="00990DBD"/>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38D4"/>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5E3A"/>
    <w:rsid w:val="00A3630D"/>
    <w:rsid w:val="00A363DA"/>
    <w:rsid w:val="00A37384"/>
    <w:rsid w:val="00A4055F"/>
    <w:rsid w:val="00A425FC"/>
    <w:rsid w:val="00A43616"/>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D72"/>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397E"/>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3E47"/>
    <w:rsid w:val="00B7431E"/>
    <w:rsid w:val="00B74E47"/>
    <w:rsid w:val="00B768E2"/>
    <w:rsid w:val="00B769AD"/>
    <w:rsid w:val="00B81025"/>
    <w:rsid w:val="00B81D11"/>
    <w:rsid w:val="00B82F46"/>
    <w:rsid w:val="00B8350D"/>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66D"/>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BA4"/>
    <w:rsid w:val="00C77D9C"/>
    <w:rsid w:val="00C808AA"/>
    <w:rsid w:val="00C81EC7"/>
    <w:rsid w:val="00C847AF"/>
    <w:rsid w:val="00C860DD"/>
    <w:rsid w:val="00C8752E"/>
    <w:rsid w:val="00C901B4"/>
    <w:rsid w:val="00C90C8E"/>
    <w:rsid w:val="00C92F49"/>
    <w:rsid w:val="00C944BE"/>
    <w:rsid w:val="00C94E54"/>
    <w:rsid w:val="00C95424"/>
    <w:rsid w:val="00C959C7"/>
    <w:rsid w:val="00CA2595"/>
    <w:rsid w:val="00CA3052"/>
    <w:rsid w:val="00CA3130"/>
    <w:rsid w:val="00CA3806"/>
    <w:rsid w:val="00CA69F1"/>
    <w:rsid w:val="00CB0B3E"/>
    <w:rsid w:val="00CB14F9"/>
    <w:rsid w:val="00CB1680"/>
    <w:rsid w:val="00CB3318"/>
    <w:rsid w:val="00CB6C6D"/>
    <w:rsid w:val="00CC05D0"/>
    <w:rsid w:val="00CC2078"/>
    <w:rsid w:val="00CC5721"/>
    <w:rsid w:val="00CC5CB2"/>
    <w:rsid w:val="00CD10B1"/>
    <w:rsid w:val="00CD13CF"/>
    <w:rsid w:val="00CD2236"/>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B7186"/>
    <w:rsid w:val="00DC0208"/>
    <w:rsid w:val="00DC3405"/>
    <w:rsid w:val="00DC465C"/>
    <w:rsid w:val="00DC4F6F"/>
    <w:rsid w:val="00DC6E1E"/>
    <w:rsid w:val="00DD4374"/>
    <w:rsid w:val="00DD6502"/>
    <w:rsid w:val="00DD6E07"/>
    <w:rsid w:val="00DD714C"/>
    <w:rsid w:val="00DE0CDD"/>
    <w:rsid w:val="00DE1254"/>
    <w:rsid w:val="00DE29D7"/>
    <w:rsid w:val="00DE3681"/>
    <w:rsid w:val="00DE4B4B"/>
    <w:rsid w:val="00DE4B85"/>
    <w:rsid w:val="00DF0B4F"/>
    <w:rsid w:val="00DF55DF"/>
    <w:rsid w:val="00DF5A32"/>
    <w:rsid w:val="00DF5EC6"/>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083D"/>
    <w:rsid w:val="00E41D60"/>
    <w:rsid w:val="00E420B0"/>
    <w:rsid w:val="00E42A3E"/>
    <w:rsid w:val="00E450B0"/>
    <w:rsid w:val="00E50B0C"/>
    <w:rsid w:val="00E51FA3"/>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3ACE"/>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2D1"/>
    <w:rsid w:val="00FE18AC"/>
    <w:rsid w:val="00FE2F95"/>
    <w:rsid w:val="00FE591B"/>
    <w:rsid w:val="00FE7B9A"/>
    <w:rsid w:val="00FE7D76"/>
    <w:rsid w:val="00FF3BA5"/>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inetoffice.gov.uk/sites/default/files/resources/hmg-personnel-security-control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CB8A-4C6F-4A08-9348-CB187D4A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2</cp:revision>
  <dcterms:created xsi:type="dcterms:W3CDTF">2017-11-13T14:20:00Z</dcterms:created>
  <dcterms:modified xsi:type="dcterms:W3CDTF">2017-11-13T14:20:00Z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