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3AA65" w14:textId="77777777" w:rsidR="00A12E7B" w:rsidRDefault="00A12E7B" w:rsidP="00A12E7B">
      <w:pPr>
        <w:jc w:val="center"/>
      </w:pPr>
    </w:p>
    <w:p w14:paraId="692CB024" w14:textId="77777777" w:rsidR="00A12E7B" w:rsidRDefault="00A12E7B" w:rsidP="00A12E7B">
      <w:pPr>
        <w:jc w:val="center"/>
      </w:pPr>
    </w:p>
    <w:p w14:paraId="726E51E8" w14:textId="77777777" w:rsidR="00A12E7B" w:rsidRPr="00542B0C" w:rsidRDefault="00A12E7B" w:rsidP="00A12E7B">
      <w:pPr>
        <w:spacing w:after="0"/>
        <w:jc w:val="center"/>
        <w:rPr>
          <w:b/>
          <w:color w:val="005190"/>
        </w:rPr>
      </w:pPr>
      <w:r w:rsidRPr="00542B0C">
        <w:rPr>
          <w:b/>
          <w:color w:val="005190"/>
        </w:rPr>
        <w:t>INVITIATION TO TENDER (ITT) FOR:</w:t>
      </w:r>
    </w:p>
    <w:p w14:paraId="0D4922A7" w14:textId="77777777" w:rsidR="00A12E7B" w:rsidRPr="005A14B6" w:rsidRDefault="00A12E7B" w:rsidP="00A12E7B">
      <w:pPr>
        <w:jc w:val="center"/>
      </w:pPr>
      <w:r w:rsidRPr="005A14B6">
        <w:t>Framework for Fabrication and Mechanical Services</w:t>
      </w:r>
    </w:p>
    <w:p w14:paraId="49C30D66" w14:textId="77777777" w:rsidR="00A12E7B" w:rsidRPr="005A14B6" w:rsidRDefault="00A12E7B" w:rsidP="00A12E7B">
      <w:pPr>
        <w:spacing w:after="0"/>
        <w:jc w:val="center"/>
      </w:pPr>
      <w:r w:rsidRPr="005A14B6">
        <w:rPr>
          <w:b/>
          <w:color w:val="005190"/>
        </w:rPr>
        <w:t>Tender Ref:</w:t>
      </w:r>
      <w:r w:rsidRPr="005A14B6">
        <w:t xml:space="preserve"> 1285</w:t>
      </w:r>
    </w:p>
    <w:p w14:paraId="5AE5ECC0" w14:textId="44C82049" w:rsidR="00A12E7B" w:rsidRDefault="00511233" w:rsidP="00A12E7B">
      <w:pPr>
        <w:jc w:val="center"/>
      </w:pPr>
      <w:r>
        <w:t xml:space="preserve">September </w:t>
      </w:r>
      <w:r w:rsidR="00A12E7B" w:rsidRPr="005A14B6">
        <w:t>2019</w:t>
      </w:r>
    </w:p>
    <w:p w14:paraId="41B874C4" w14:textId="77777777" w:rsidR="00B553D5" w:rsidRDefault="00B553D5" w:rsidP="00A12E7B"/>
    <w:p w14:paraId="5C645613" w14:textId="77777777" w:rsidR="00A12E7B" w:rsidRDefault="00A12E7B" w:rsidP="00A12E7B">
      <w:r>
        <w:t>Dear Sir/Madam</w:t>
      </w:r>
    </w:p>
    <w:p w14:paraId="1046ECB3" w14:textId="77777777" w:rsidR="00A12E7B" w:rsidRDefault="00A12E7B" w:rsidP="00A12E7B">
      <w:r>
        <w:t>INVITATION TO TENDER (ITT) REQUEST</w:t>
      </w:r>
    </w:p>
    <w:p w14:paraId="0BF341AF" w14:textId="77777777" w:rsidR="00A12E7B" w:rsidRDefault="00A12E7B" w:rsidP="00A12E7B">
      <w:r>
        <w:t xml:space="preserve">You are invited to submit a tender for the following requirements; </w:t>
      </w:r>
      <w:r w:rsidR="00D63FB6" w:rsidRPr="005A14B6">
        <w:t>framework for fabrication and mechanical services across all CPI business platforms</w:t>
      </w:r>
      <w:r>
        <w:t xml:space="preserve"> as set out in the attached documentation, on behalf of the Centre for Process Innovation Limited (“CPI”,) whom are conducting this procurement exercise as a Contracting Authority under public procurement legislation, (may also be referred to hereafter as the “Authority”.) </w:t>
      </w:r>
    </w:p>
    <w:p w14:paraId="0E2B81F6" w14:textId="77777777" w:rsidR="00A12E7B" w:rsidRDefault="00A12E7B" w:rsidP="00A12E7B">
      <w:pPr>
        <w:pStyle w:val="NoSpacing"/>
      </w:pPr>
      <w:r>
        <w:t xml:space="preserve">Your tender response must be electronically uploaded to the website as stated in the link below only, to arrive in good time, no later than the Bid Return Date:     </w:t>
      </w:r>
    </w:p>
    <w:p w14:paraId="3625745D" w14:textId="54F2F01E" w:rsidR="00A12E7B" w:rsidRPr="00511233" w:rsidRDefault="00A12E7B" w:rsidP="00A12E7B">
      <w:pPr>
        <w:rPr>
          <w:b/>
          <w:color w:val="005190"/>
          <w:u w:val="single"/>
        </w:rPr>
      </w:pPr>
      <w:r w:rsidRPr="00511233">
        <w:rPr>
          <w:b/>
          <w:color w:val="005190"/>
          <w:u w:val="single"/>
        </w:rPr>
        <w:t>12</w:t>
      </w:r>
      <w:r w:rsidR="0088612E">
        <w:rPr>
          <w:b/>
          <w:color w:val="005190"/>
          <w:u w:val="single"/>
        </w:rPr>
        <w:t xml:space="preserve"> noon Friday 27</w:t>
      </w:r>
      <w:r w:rsidR="0088612E" w:rsidRPr="0088612E">
        <w:rPr>
          <w:b/>
          <w:color w:val="005190"/>
          <w:u w:val="single"/>
          <w:vertAlign w:val="superscript"/>
        </w:rPr>
        <w:t>th</w:t>
      </w:r>
      <w:r w:rsidR="0088612E">
        <w:rPr>
          <w:b/>
          <w:color w:val="005190"/>
          <w:u w:val="single"/>
        </w:rPr>
        <w:t xml:space="preserve"> </w:t>
      </w:r>
      <w:r w:rsidR="004F0C58" w:rsidRPr="00511233">
        <w:rPr>
          <w:b/>
          <w:color w:val="005190"/>
          <w:u w:val="single"/>
        </w:rPr>
        <w:t>of September 2019</w:t>
      </w:r>
    </w:p>
    <w:p w14:paraId="55EDDDE3" w14:textId="77777777" w:rsidR="00A12E7B" w:rsidRDefault="00A12E7B" w:rsidP="00A12E7B">
      <w:pPr>
        <w:pStyle w:val="NoSpacing"/>
      </w:pPr>
      <w:r>
        <w:t xml:space="preserve">Electronic Address for Receipt of Tender (Bids): </w:t>
      </w:r>
    </w:p>
    <w:p w14:paraId="21663FF5" w14:textId="77777777" w:rsidR="0065577E" w:rsidRDefault="00C405AB" w:rsidP="00A12E7B">
      <w:hyperlink r:id="rId8" w:history="1">
        <w:r w:rsidR="0065577E" w:rsidRPr="002E6C4A">
          <w:rPr>
            <w:rStyle w:val="Hyperlink"/>
          </w:rPr>
          <w:t>https://ne1procurementservices.com/</w:t>
        </w:r>
      </w:hyperlink>
    </w:p>
    <w:p w14:paraId="6AB06275" w14:textId="77777777" w:rsidR="00A12E7B" w:rsidRDefault="00A12E7B" w:rsidP="00A12E7B">
      <w:r>
        <w:t>Bidders will have to register on the above site to not only access the Tender (Bid) documents, but also to enable their Bid return (Tender Submission,) electronically in order for their Bid to be evaluated after the closing date and time.</w:t>
      </w:r>
    </w:p>
    <w:p w14:paraId="0BBE1526" w14:textId="77777777" w:rsidR="00A12E7B" w:rsidRDefault="00A12E7B" w:rsidP="00A12E7B">
      <w:r>
        <w:t>Your submitted tender response must include all completed documents as required and indicated within the ITT for your tender to be classed as a valid tender response, this also includes the return of this entire document, along with the “Binding Offer” document, dated and signed of which failure to do so may result in the total rejection of your submission and thus may be discarded without being evaluated.</w:t>
      </w:r>
    </w:p>
    <w:p w14:paraId="163E02D6" w14:textId="77777777" w:rsidR="00A12E7B" w:rsidRDefault="00A12E7B" w:rsidP="00A12E7B">
      <w:r>
        <w:t>It is a mandatory requirement that only one Tender (Bid) response is submitted electronically via the “Electronic Address for Receipt of Tender (Bids) address below only (NO hard copy posted tenders or emailed copies to CPI will be accepted.), and all of the response documents are accessible and readable, collated and saved within a compressed ZIP folder ONLY.  Instructions for how to do so are available at the Electronic Address for Receipt of Tender (Bids) above.</w:t>
      </w:r>
    </w:p>
    <w:p w14:paraId="63FF8FC6" w14:textId="77777777" w:rsidR="00A12E7B" w:rsidRDefault="00A12E7B" w:rsidP="00A12E7B">
      <w:r>
        <w:t>Late Tender (Bid) responses arriving after the closing date and time will not be evaluated and will be automatically excluded from this procurement exercise. No postal or email receipts will be accepted.</w:t>
      </w:r>
    </w:p>
    <w:p w14:paraId="5E3B9C6F" w14:textId="77777777" w:rsidR="00A12E7B" w:rsidRDefault="00A12E7B" w:rsidP="00A12E7B">
      <w:r>
        <w:t>Thank you for your co-operation</w:t>
      </w:r>
    </w:p>
    <w:p w14:paraId="2FED31AE" w14:textId="77777777" w:rsidR="00A12E7B" w:rsidRDefault="00A12E7B" w:rsidP="00A12E7B">
      <w:pPr>
        <w:pStyle w:val="NoSpacing"/>
      </w:pPr>
      <w:r>
        <w:t>For and on behalf of the Procurement Department,</w:t>
      </w:r>
    </w:p>
    <w:p w14:paraId="0BF49FF8" w14:textId="26E7DE85" w:rsidR="00A12E7B" w:rsidRDefault="00A12E7B" w:rsidP="00A12E7B">
      <w:r>
        <w:t>Centre for Process Innovation (“CPI”).</w:t>
      </w:r>
    </w:p>
    <w:p w14:paraId="42A99E2C" w14:textId="77777777" w:rsidR="00A12E7B" w:rsidRDefault="00A12E7B" w:rsidP="00A12E7B">
      <w:pPr>
        <w:pStyle w:val="Ref-Lvl1"/>
      </w:pPr>
      <w:r>
        <w:lastRenderedPageBreak/>
        <w:t>Background</w:t>
      </w:r>
    </w:p>
    <w:p w14:paraId="0025D6DB" w14:textId="77777777" w:rsidR="0065577E" w:rsidRPr="00AC1233" w:rsidRDefault="0065577E" w:rsidP="00AC1233">
      <w:r w:rsidRPr="00AC1233">
        <w:t>The Centre for Process Innovation (CPI) uses applied knowledge in science and engineering combined with state of the art development facilities to enable our clients to develop, scale up and take new products and processes to market. We provide solutions for the pharma, food, chemical, energy, transportation and printable electronics markets.</w:t>
      </w:r>
    </w:p>
    <w:p w14:paraId="46B02D01" w14:textId="77777777" w:rsidR="0065577E" w:rsidRPr="00AC1233" w:rsidRDefault="0065577E" w:rsidP="00AC1233">
      <w:r w:rsidRPr="00AC1233">
        <w:t>CPI helps to develop and introduce the next generation of products and processes by reducing risk, reducing cost and increasing the speed of development programmes. We do this by bringing together unique, flexible assets with outstanding engineering talent and market knowledge supported by sustained public investment in our open innovation model.</w:t>
      </w:r>
    </w:p>
    <w:p w14:paraId="6FBB67F6" w14:textId="77777777" w:rsidR="0065577E" w:rsidRPr="00AC1233" w:rsidRDefault="0065577E" w:rsidP="00AC1233">
      <w:r w:rsidRPr="00AC1233">
        <w:t>We aim to improve the business performance of our clients by combining our unique asset base with market knowledge and technology understanding to develop, demonstrate and prototype commercially viable and technically robust products and processes.</w:t>
      </w:r>
    </w:p>
    <w:p w14:paraId="0390467A" w14:textId="77777777" w:rsidR="0065577E" w:rsidRDefault="0065577E" w:rsidP="00AC1233">
      <w:r w:rsidRPr="00AC1233">
        <w:t>CPI works across a range of technology platforms that offer the largest potential impact on the future of manufacturing within our target markets. We provide process and product development facilities in printable electronics, industrial biotechnology, smart chemistry, anaerobic digestion and thermal technologies with the overall aim of creating lower waste, cleaner, more efficient and more economic products and processes. The major markets that benefit directly from our work are: transportation, built environment, pharmaceuticals, personal care, materials production, electronics, food, energy, waste and lighting.</w:t>
      </w:r>
      <w:r>
        <w:t xml:space="preserve"> </w:t>
      </w:r>
    </w:p>
    <w:p w14:paraId="50EC5E68" w14:textId="77777777" w:rsidR="0065577E" w:rsidRPr="00153AE6" w:rsidRDefault="0065577E" w:rsidP="00AC1233">
      <w:pPr>
        <w:rPr>
          <w:rFonts w:eastAsiaTheme="minorHAnsi"/>
          <w:lang w:eastAsia="en-US"/>
        </w:rPr>
      </w:pPr>
      <w:r>
        <w:t xml:space="preserve">CPI are looking to establish a multi supplier framework, in order to appoint suppliers to the framework as per specialised services to be rendered on an as and when basis, as per CPI’s varying requirements for fabrication and mechanical services across all CPI business platforms. </w:t>
      </w:r>
      <w:r>
        <w:br/>
      </w:r>
    </w:p>
    <w:p w14:paraId="16EE9C71" w14:textId="77777777" w:rsidR="00A12E7B" w:rsidRDefault="00A12E7B" w:rsidP="00A12E7B">
      <w:pPr>
        <w:pStyle w:val="Heading2"/>
      </w:pPr>
      <w:r>
        <w:t>Information for Bidders</w:t>
      </w:r>
    </w:p>
    <w:p w14:paraId="5AF45AAA" w14:textId="77777777" w:rsidR="00A12E7B" w:rsidRDefault="00A12E7B" w:rsidP="00A12E7B">
      <w:pPr>
        <w:pStyle w:val="ListParagraph"/>
        <w:numPr>
          <w:ilvl w:val="0"/>
          <w:numId w:val="3"/>
        </w:numPr>
        <w:ind w:left="714" w:hanging="357"/>
        <w:contextualSpacing w:val="0"/>
      </w:pPr>
      <w:r>
        <w:t>Throughout this document, the expressions; “Bidder”, “Tenderer”, “Contractor”, “You”, “We” and “Our” (as the context requires) refer to the legal person who wishes to contract with CPI, whether they are an individual, partnership, company, or any other valid legal entity in any jurisdiction, and such expressions do not refer to the individual who is completing this documentation on behalf of the Tenderer.</w:t>
      </w:r>
    </w:p>
    <w:p w14:paraId="6B470DC3" w14:textId="77777777" w:rsidR="00A12E7B" w:rsidRDefault="00A12E7B" w:rsidP="00A12E7B">
      <w:pPr>
        <w:pStyle w:val="ListParagraph"/>
        <w:numPr>
          <w:ilvl w:val="0"/>
          <w:numId w:val="3"/>
        </w:numPr>
        <w:ind w:left="714" w:hanging="357"/>
        <w:contextualSpacing w:val="0"/>
      </w:pPr>
      <w:r>
        <w:t xml:space="preserve">It is highly recommended that you ensure that you have submitted your completed tender in sufficient time hours/days before the closing date and time via the </w:t>
      </w:r>
      <w:proofErr w:type="spellStart"/>
      <w:r>
        <w:t>e-tendering</w:t>
      </w:r>
      <w:proofErr w:type="spellEnd"/>
      <w:r>
        <w:t xml:space="preserve"> website (see page 1 above,) as CPI will not be responsible for any technical difficulties in failing to do so.  </w:t>
      </w:r>
    </w:p>
    <w:p w14:paraId="1FE7E229" w14:textId="77777777" w:rsidR="00A12E7B" w:rsidRDefault="00A12E7B" w:rsidP="00A12E7B">
      <w:pPr>
        <w:pStyle w:val="ListParagraph"/>
        <w:numPr>
          <w:ilvl w:val="0"/>
          <w:numId w:val="3"/>
        </w:numPr>
        <w:ind w:left="714" w:hanging="357"/>
        <w:contextualSpacing w:val="0"/>
      </w:pPr>
      <w:r>
        <w:t xml:space="preserve">Note that just because you have registered on the </w:t>
      </w:r>
      <w:proofErr w:type="spellStart"/>
      <w:r>
        <w:t>e-tendering</w:t>
      </w:r>
      <w:proofErr w:type="spellEnd"/>
      <w:r>
        <w:t xml:space="preserve"> website and/or downloaded the documents, this does not class as submitting a tender response, nor does an expression of interest constitute a tender response. Further, it is the Tenderer’s responsibility to ensure that the contact details provided at this stage are correct and up to date throughout the tender process.</w:t>
      </w:r>
    </w:p>
    <w:p w14:paraId="1DDBFD2A" w14:textId="77777777" w:rsidR="00A12E7B" w:rsidRDefault="00A12E7B" w:rsidP="00A12E7B">
      <w:pPr>
        <w:pStyle w:val="ListParagraph"/>
        <w:numPr>
          <w:ilvl w:val="0"/>
          <w:numId w:val="3"/>
        </w:numPr>
        <w:ind w:left="714" w:hanging="357"/>
        <w:contextualSpacing w:val="0"/>
      </w:pPr>
      <w:r>
        <w:lastRenderedPageBreak/>
        <w:t>Please read all the documents listed in the Binding Offer document, as should you be successful, these documents and any subsequent correspondence between you and CPI will form a binding contract between you and CPI.</w:t>
      </w:r>
    </w:p>
    <w:p w14:paraId="1B8BE590" w14:textId="77777777" w:rsidR="00A12E7B" w:rsidRDefault="00A12E7B" w:rsidP="00A12E7B">
      <w:pPr>
        <w:pStyle w:val="ListParagraph"/>
        <w:numPr>
          <w:ilvl w:val="0"/>
          <w:numId w:val="3"/>
        </w:numPr>
        <w:ind w:left="714" w:hanging="357"/>
        <w:contextualSpacing w:val="0"/>
      </w:pPr>
      <w:r>
        <w:t xml:space="preserve">The Binding Offer document must be completed, signed and submitted in accordance with these Instructions together with your detailed Response to Tender prepared in accordance with any additional instructions. </w:t>
      </w:r>
    </w:p>
    <w:p w14:paraId="60F28CB8" w14:textId="77777777" w:rsidR="00A12E7B" w:rsidRDefault="00A12E7B" w:rsidP="00A12E7B">
      <w:pPr>
        <w:pStyle w:val="ListParagraph"/>
        <w:numPr>
          <w:ilvl w:val="0"/>
          <w:numId w:val="3"/>
        </w:numPr>
        <w:ind w:left="714" w:hanging="357"/>
        <w:contextualSpacing w:val="0"/>
      </w:pPr>
      <w:r>
        <w:t xml:space="preserve">All documents connected with the tender must be completed in English, fully priced in Pounds Sterling and totalled.  Any bids received in another Currency, at the discretion of CPI, may be excluded from the tender process.  The documents should either be typed or completed in ink. </w:t>
      </w:r>
    </w:p>
    <w:p w14:paraId="540D4CA7" w14:textId="77777777" w:rsidR="00A12E7B" w:rsidRDefault="00A12E7B" w:rsidP="00A12E7B">
      <w:pPr>
        <w:pStyle w:val="ListParagraph"/>
        <w:numPr>
          <w:ilvl w:val="0"/>
          <w:numId w:val="3"/>
        </w:numPr>
        <w:ind w:left="714" w:hanging="357"/>
        <w:contextualSpacing w:val="0"/>
      </w:pPr>
      <w:r>
        <w:t>All documents connected with the tender must be completed in English, fully priced in Pounds Sterling and totalled.  Any bids received in another Currency, at the discretion of CPI, may be excluded from the tender process, and any bids which have been priced in another Currency and not excluded from the process will have their prices converted into Pounds Sterling based on the Bank of England exchange rates applicable at the time of the evaluations.</w:t>
      </w:r>
    </w:p>
    <w:p w14:paraId="1D428C65" w14:textId="77777777" w:rsidR="00A12E7B" w:rsidRDefault="00A12E7B" w:rsidP="00A12E7B">
      <w:pPr>
        <w:pStyle w:val="ListParagraph"/>
        <w:numPr>
          <w:ilvl w:val="0"/>
          <w:numId w:val="3"/>
        </w:numPr>
        <w:ind w:left="714" w:hanging="357"/>
        <w:contextualSpacing w:val="0"/>
      </w:pPr>
      <w:r>
        <w:t>A full copy of the tender document, with the Binding Offer document complete, must be returned with your submission.</w:t>
      </w:r>
    </w:p>
    <w:p w14:paraId="1D10BD7C" w14:textId="77777777" w:rsidR="00A12E7B" w:rsidRDefault="00A12E7B" w:rsidP="00A12E7B">
      <w:pPr>
        <w:pStyle w:val="ListParagraph"/>
        <w:numPr>
          <w:ilvl w:val="0"/>
          <w:numId w:val="3"/>
        </w:numPr>
        <w:ind w:left="714" w:hanging="357"/>
        <w:contextualSpacing w:val="0"/>
      </w:pPr>
      <w:r>
        <w:t>Technical information about this contract can be obtained through the contact as stated in the Specification.</w:t>
      </w:r>
    </w:p>
    <w:p w14:paraId="2641F9C4" w14:textId="77777777" w:rsidR="00A12E7B" w:rsidRDefault="00A12E7B" w:rsidP="00A12E7B">
      <w:pPr>
        <w:pStyle w:val="ListParagraph"/>
        <w:numPr>
          <w:ilvl w:val="0"/>
          <w:numId w:val="3"/>
        </w:numPr>
        <w:ind w:left="714" w:hanging="357"/>
        <w:contextualSpacing w:val="0"/>
      </w:pPr>
      <w:r>
        <w:t>Tenders must be submitted in accordance with the tender documents.  CPI may not consider any tender which is disqualified by any terms or conditions of contract submitted by you, or general reservations, however expressed.</w:t>
      </w:r>
    </w:p>
    <w:p w14:paraId="4C17A520" w14:textId="77777777" w:rsidR="00A12E7B" w:rsidRDefault="00A12E7B" w:rsidP="00A12E7B">
      <w:pPr>
        <w:pStyle w:val="ListParagraph"/>
        <w:numPr>
          <w:ilvl w:val="0"/>
          <w:numId w:val="3"/>
        </w:numPr>
        <w:ind w:left="714" w:hanging="357"/>
        <w:contextualSpacing w:val="0"/>
      </w:pPr>
      <w:r>
        <w:t>CPI is not obliged to accept and/or consider incomplete tenders that do not contain all information and particulars requested and those such tenders may be rejected at any stage of the evaluation process.</w:t>
      </w:r>
    </w:p>
    <w:p w14:paraId="42269D0F" w14:textId="77777777" w:rsidR="00A12E7B" w:rsidRDefault="00A12E7B" w:rsidP="00A12E7B">
      <w:pPr>
        <w:pStyle w:val="ListParagraph"/>
        <w:numPr>
          <w:ilvl w:val="0"/>
          <w:numId w:val="3"/>
        </w:numPr>
        <w:ind w:left="714" w:hanging="357"/>
        <w:contextualSpacing w:val="0"/>
      </w:pPr>
      <w:r>
        <w:t xml:space="preserve">It is a condition of any contract awarded with you from CPI, that performance and/or delivery of the goods and/or services offered in your Response to Tender will be in full compliance to our Terms &amp; Condition of contract, including any terms relating to quality, time and completeness as specified in these documents and any applicable legislation under English Law. Time of delivery/performance is considered to be of the essence, unless mutually agreed to the contrary. </w:t>
      </w:r>
    </w:p>
    <w:p w14:paraId="5E641985" w14:textId="77777777" w:rsidR="00A12E7B" w:rsidRDefault="00A12E7B" w:rsidP="00A12E7B">
      <w:pPr>
        <w:pStyle w:val="ListParagraph"/>
        <w:numPr>
          <w:ilvl w:val="0"/>
          <w:numId w:val="3"/>
        </w:numPr>
        <w:ind w:left="714" w:hanging="357"/>
        <w:contextualSpacing w:val="0"/>
      </w:pPr>
      <w:r>
        <w:t>Where so specified in the Specification it is a condition of the contract that you will provide any applicable performance bond, parent company guarantee or submit to any applicable escrow mechanism.</w:t>
      </w:r>
    </w:p>
    <w:p w14:paraId="4133F1B0" w14:textId="77777777" w:rsidR="00A12E7B" w:rsidRDefault="00A12E7B" w:rsidP="00A12E7B">
      <w:pPr>
        <w:pStyle w:val="ListParagraph"/>
        <w:numPr>
          <w:ilvl w:val="0"/>
          <w:numId w:val="3"/>
        </w:numPr>
        <w:ind w:left="714" w:hanging="357"/>
        <w:contextualSpacing w:val="0"/>
      </w:pPr>
      <w:r>
        <w:t>All requests for clarification or further information in respect of this Tender must only be submitted in a message and sent through the protocol as described below in section 9.</w:t>
      </w:r>
    </w:p>
    <w:p w14:paraId="00CBB5C6" w14:textId="77777777" w:rsidR="00A12E7B" w:rsidRDefault="00A12E7B" w:rsidP="00A12E7B">
      <w:pPr>
        <w:pStyle w:val="ListParagraph"/>
        <w:numPr>
          <w:ilvl w:val="0"/>
          <w:numId w:val="3"/>
        </w:numPr>
        <w:ind w:left="714" w:hanging="357"/>
        <w:contextualSpacing w:val="0"/>
      </w:pPr>
      <w:r>
        <w:t>CPI’s terms and conditions or model contract (as set out in the CONTRACTUAL TERMS document,) shall apply to the successful tender to the exclusion of any other terms and conditions, including but not limited to any terms which the Tenderer purports to apply to its supply of goods and/or services whether in the Response to Tender, or more generally, or otherwise in any way.</w:t>
      </w:r>
    </w:p>
    <w:p w14:paraId="22090F53" w14:textId="77777777" w:rsidR="00A12E7B" w:rsidRDefault="00A12E7B" w:rsidP="00A12E7B">
      <w:pPr>
        <w:pStyle w:val="ListParagraph"/>
        <w:numPr>
          <w:ilvl w:val="0"/>
          <w:numId w:val="3"/>
        </w:numPr>
        <w:ind w:left="714" w:hanging="357"/>
        <w:contextualSpacing w:val="0"/>
      </w:pPr>
      <w:r>
        <w:lastRenderedPageBreak/>
        <w:t>By submitting a response to tender you are agreeing to paragraph 15 above and you agree by doing so that any contract or terms and conditions that you attach to your Response to Tender shall not apply to any goods and/or services supplied by you to CPI, if you are successful in your Tender bid, and any contrary/additional trade, industry specific terms and conditions that you feel must be incorporated within any agreement with us, these will only be allowed if we specifically agree to them prior to contract award/commencement and agreed in writing by all parties.</w:t>
      </w:r>
    </w:p>
    <w:p w14:paraId="509DA4F1" w14:textId="77777777" w:rsidR="00A12E7B" w:rsidRDefault="00A12E7B" w:rsidP="00A12E7B">
      <w:pPr>
        <w:pStyle w:val="ListParagraph"/>
        <w:numPr>
          <w:ilvl w:val="0"/>
          <w:numId w:val="3"/>
        </w:numPr>
        <w:ind w:left="714" w:hanging="357"/>
        <w:contextualSpacing w:val="0"/>
      </w:pPr>
      <w:r>
        <w:t>CPI cannot guarantee a minimum spend, volume call-off or exclusivity with any supplier appointment to provide goods and/or services under this Tender.</w:t>
      </w:r>
    </w:p>
    <w:p w14:paraId="4ACD82F6" w14:textId="77777777" w:rsidR="00A12E7B" w:rsidRDefault="00A12E7B" w:rsidP="00A12E7B">
      <w:pPr>
        <w:pStyle w:val="ListParagraph"/>
        <w:numPr>
          <w:ilvl w:val="0"/>
          <w:numId w:val="3"/>
        </w:numPr>
        <w:ind w:left="714" w:hanging="357"/>
        <w:contextualSpacing w:val="0"/>
      </w:pPr>
      <w:r>
        <w:t>Further, in relation to paragraph 17 above, CPI, shall in any event, not be liable to the successfully appointed supplier(s) for any indirect or consequential loss (including loss of profit, loss of business opportunity, loss of business, loss of goodwill, loss of production and pure economic loss) however caused.</w:t>
      </w:r>
    </w:p>
    <w:p w14:paraId="14FC1653" w14:textId="4C8B57ED" w:rsidR="003D2103" w:rsidRDefault="00A12E7B" w:rsidP="00AE2552">
      <w:pPr>
        <w:pStyle w:val="ListParagraph"/>
        <w:numPr>
          <w:ilvl w:val="0"/>
          <w:numId w:val="3"/>
        </w:numPr>
        <w:ind w:left="714" w:hanging="357"/>
        <w:contextualSpacing w:val="0"/>
      </w:pPr>
      <w:r>
        <w:t xml:space="preserve">Upon successful award, the requirements of this Tender can be procured by any department, branch, division, business unit, site, subsidiary or any other legal entity of CPI, against any existing or future project and/or order, whether or not it is part funded by the European Regional Development Fund (ERDF) Competitive Programme 2014 – 2020, or any subsequent replacement Competitive Programme which may take effect within the contract </w:t>
      </w:r>
      <w:r w:rsidRPr="005A14B6">
        <w:t>duration (including any exte</w:t>
      </w:r>
      <w:r w:rsidR="00FC478F">
        <w:t>nsions,) of the awarded Tender.</w:t>
      </w:r>
    </w:p>
    <w:p w14:paraId="41D3EE25" w14:textId="77777777" w:rsidR="00171811" w:rsidRPr="00171811" w:rsidRDefault="00171811" w:rsidP="00171811">
      <w:pPr>
        <w:pStyle w:val="ListParagraph"/>
        <w:numPr>
          <w:ilvl w:val="0"/>
          <w:numId w:val="3"/>
        </w:numPr>
        <w:ind w:left="714" w:hanging="357"/>
        <w:contextualSpacing w:val="0"/>
      </w:pPr>
      <w:r w:rsidRPr="00171811">
        <w:t>In relation to point 19 above, we wish to state that the requirements of this tender are partly funded by the European Regional Development Fund (ERDF) Competitive Programme 2014 – 2020.</w:t>
      </w:r>
    </w:p>
    <w:p w14:paraId="42FB1CFF" w14:textId="77777777" w:rsidR="00171811" w:rsidRPr="00171811" w:rsidRDefault="00171811" w:rsidP="00171811">
      <w:pPr>
        <w:rPr>
          <w:highlight w:val="yellow"/>
        </w:rPr>
      </w:pPr>
    </w:p>
    <w:p w14:paraId="789D0AAF" w14:textId="0146D23D" w:rsidR="00A12E7B" w:rsidRDefault="00A12E7B" w:rsidP="00A12E7B">
      <w:pPr>
        <w:pStyle w:val="Ref-Lvl1"/>
      </w:pPr>
      <w:r>
        <w:t xml:space="preserve">Contract Duration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828"/>
        <w:gridCol w:w="5953"/>
      </w:tblGrid>
      <w:tr w:rsidR="00A12E7B" w14:paraId="23B274F6" w14:textId="77777777" w:rsidTr="005A14B6">
        <w:trPr>
          <w:cantSplit/>
        </w:trPr>
        <w:tc>
          <w:tcPr>
            <w:tcW w:w="3828" w:type="dxa"/>
            <w:tcBorders>
              <w:top w:val="single" w:sz="18" w:space="0" w:color="005190"/>
              <w:bottom w:val="single" w:sz="4" w:space="0" w:color="A6A6A6" w:themeColor="background1" w:themeShade="A6"/>
            </w:tcBorders>
          </w:tcPr>
          <w:p w14:paraId="3BAFDA6E" w14:textId="77777777" w:rsidR="00A12E7B" w:rsidRPr="004856A8" w:rsidRDefault="00A12E7B" w:rsidP="006976C4">
            <w:pPr>
              <w:pStyle w:val="NoSpacing"/>
              <w:spacing w:line="240" w:lineRule="auto"/>
              <w:rPr>
                <w:szCs w:val="19"/>
              </w:rPr>
            </w:pPr>
            <w:r w:rsidRPr="004856A8">
              <w:rPr>
                <w:szCs w:val="19"/>
              </w:rPr>
              <w:t>Contract Type</w:t>
            </w:r>
          </w:p>
        </w:tc>
        <w:tc>
          <w:tcPr>
            <w:tcW w:w="5953" w:type="dxa"/>
            <w:tcBorders>
              <w:top w:val="single" w:sz="18" w:space="0" w:color="005190"/>
              <w:bottom w:val="single" w:sz="4" w:space="0" w:color="A6A6A6" w:themeColor="background1" w:themeShade="A6"/>
            </w:tcBorders>
            <w:shd w:val="clear" w:color="auto" w:fill="auto"/>
          </w:tcPr>
          <w:p w14:paraId="645B755E" w14:textId="77777777" w:rsidR="00A12E7B" w:rsidRPr="004856A8" w:rsidRDefault="0065577E" w:rsidP="006976C4">
            <w:pPr>
              <w:pStyle w:val="NoSpacing"/>
              <w:spacing w:line="240" w:lineRule="auto"/>
              <w:rPr>
                <w:szCs w:val="19"/>
              </w:rPr>
            </w:pPr>
            <w:r w:rsidRPr="004856A8">
              <w:rPr>
                <w:szCs w:val="19"/>
              </w:rPr>
              <w:t xml:space="preserve">Multi Supplier </w:t>
            </w:r>
            <w:r w:rsidR="00A12E7B" w:rsidRPr="004856A8">
              <w:rPr>
                <w:szCs w:val="19"/>
              </w:rPr>
              <w:t>Framework</w:t>
            </w:r>
          </w:p>
        </w:tc>
      </w:tr>
      <w:tr w:rsidR="00A12E7B" w14:paraId="1C42B34A"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103DC4BB" w14:textId="77777777" w:rsidR="00A12E7B" w:rsidRPr="004856A8" w:rsidRDefault="00A12E7B" w:rsidP="006976C4">
            <w:pPr>
              <w:pStyle w:val="NoSpacing"/>
              <w:tabs>
                <w:tab w:val="center" w:pos="1914"/>
              </w:tabs>
              <w:spacing w:line="240" w:lineRule="auto"/>
              <w:rPr>
                <w:szCs w:val="19"/>
              </w:rPr>
            </w:pPr>
            <w:r w:rsidRPr="004856A8">
              <w:rPr>
                <w:szCs w:val="19"/>
              </w:rPr>
              <w:t>Number of Successful Suppliers</w:t>
            </w:r>
            <w:r w:rsidRPr="004856A8">
              <w:rPr>
                <w:szCs w:val="19"/>
              </w:rPr>
              <w:tab/>
            </w:r>
          </w:p>
        </w:tc>
        <w:tc>
          <w:tcPr>
            <w:tcW w:w="5953" w:type="dxa"/>
            <w:tcBorders>
              <w:top w:val="single" w:sz="4" w:space="0" w:color="A6A6A6" w:themeColor="background1" w:themeShade="A6"/>
              <w:bottom w:val="single" w:sz="4" w:space="0" w:color="A6A6A6" w:themeColor="background1" w:themeShade="A6"/>
            </w:tcBorders>
          </w:tcPr>
          <w:p w14:paraId="2CB0F8BA" w14:textId="209CD393" w:rsidR="00A12E7B" w:rsidRPr="004856A8" w:rsidRDefault="0065577E" w:rsidP="006976C4">
            <w:pPr>
              <w:pStyle w:val="NoSpacing"/>
              <w:spacing w:line="240" w:lineRule="auto"/>
              <w:rPr>
                <w:szCs w:val="19"/>
              </w:rPr>
            </w:pPr>
            <w:r w:rsidRPr="004856A8">
              <w:rPr>
                <w:szCs w:val="19"/>
              </w:rPr>
              <w:t>Minimum of 1</w:t>
            </w:r>
            <w:r w:rsidR="00AC1233">
              <w:rPr>
                <w:szCs w:val="19"/>
              </w:rPr>
              <w:t>,</w:t>
            </w:r>
            <w:r w:rsidRPr="004856A8">
              <w:rPr>
                <w:szCs w:val="19"/>
              </w:rPr>
              <w:t xml:space="preserve"> Maximum of 5 Per Lot</w:t>
            </w:r>
          </w:p>
        </w:tc>
      </w:tr>
      <w:tr w:rsidR="00A12E7B" w14:paraId="6ECA6923"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45E4EECE" w14:textId="77777777" w:rsidR="00A12E7B" w:rsidRPr="004856A8" w:rsidRDefault="00A12E7B" w:rsidP="006976C4">
            <w:pPr>
              <w:pStyle w:val="NoSpacing"/>
              <w:spacing w:line="240" w:lineRule="auto"/>
              <w:rPr>
                <w:szCs w:val="19"/>
              </w:rPr>
            </w:pPr>
            <w:r w:rsidRPr="004856A8">
              <w:rPr>
                <w:szCs w:val="19"/>
              </w:rPr>
              <w:t>Method of Call Off</w:t>
            </w:r>
          </w:p>
        </w:tc>
        <w:tc>
          <w:tcPr>
            <w:tcW w:w="5953" w:type="dxa"/>
            <w:tcBorders>
              <w:top w:val="single" w:sz="4" w:space="0" w:color="A6A6A6" w:themeColor="background1" w:themeShade="A6"/>
              <w:bottom w:val="single" w:sz="4" w:space="0" w:color="A6A6A6" w:themeColor="background1" w:themeShade="A6"/>
            </w:tcBorders>
          </w:tcPr>
          <w:p w14:paraId="7AAA3544" w14:textId="77777777" w:rsidR="00A12E7B" w:rsidRPr="004856A8" w:rsidRDefault="0065577E" w:rsidP="006976C4">
            <w:pPr>
              <w:pStyle w:val="NoSpacing"/>
              <w:spacing w:line="240" w:lineRule="auto"/>
              <w:rPr>
                <w:szCs w:val="19"/>
              </w:rPr>
            </w:pPr>
            <w:r w:rsidRPr="004856A8">
              <w:rPr>
                <w:szCs w:val="19"/>
              </w:rPr>
              <w:t>Direct Award</w:t>
            </w:r>
          </w:p>
        </w:tc>
      </w:tr>
      <w:tr w:rsidR="00A12E7B" w14:paraId="4605C10F"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6630523B" w14:textId="77777777" w:rsidR="00A12E7B" w:rsidRPr="004856A8" w:rsidRDefault="00A12E7B" w:rsidP="006976C4">
            <w:pPr>
              <w:pStyle w:val="NoSpacing"/>
              <w:spacing w:line="240" w:lineRule="auto"/>
              <w:rPr>
                <w:szCs w:val="19"/>
              </w:rPr>
            </w:pPr>
            <w:r w:rsidRPr="004856A8">
              <w:rPr>
                <w:szCs w:val="19"/>
              </w:rPr>
              <w:t>Anticipated Contract Start Date</w:t>
            </w:r>
          </w:p>
        </w:tc>
        <w:tc>
          <w:tcPr>
            <w:tcW w:w="5953" w:type="dxa"/>
            <w:tcBorders>
              <w:top w:val="single" w:sz="4" w:space="0" w:color="A6A6A6" w:themeColor="background1" w:themeShade="A6"/>
              <w:bottom w:val="single" w:sz="4" w:space="0" w:color="A6A6A6" w:themeColor="background1" w:themeShade="A6"/>
            </w:tcBorders>
          </w:tcPr>
          <w:p w14:paraId="66CF9EA3" w14:textId="2E9D24F0" w:rsidR="00A12E7B" w:rsidRPr="004856A8" w:rsidRDefault="006142B2" w:rsidP="006976C4">
            <w:pPr>
              <w:pStyle w:val="NoSpacing"/>
              <w:spacing w:line="240" w:lineRule="auto"/>
              <w:rPr>
                <w:szCs w:val="19"/>
              </w:rPr>
            </w:pPr>
            <w:r>
              <w:rPr>
                <w:szCs w:val="19"/>
              </w:rPr>
              <w:t>Monday 30</w:t>
            </w:r>
            <w:r w:rsidRPr="006142B2">
              <w:rPr>
                <w:szCs w:val="19"/>
                <w:vertAlign w:val="superscript"/>
              </w:rPr>
              <w:t>th</w:t>
            </w:r>
            <w:r>
              <w:rPr>
                <w:szCs w:val="19"/>
              </w:rPr>
              <w:t xml:space="preserve"> </w:t>
            </w:r>
            <w:r w:rsidR="004F0C58">
              <w:rPr>
                <w:szCs w:val="19"/>
              </w:rPr>
              <w:t>of September 2019</w:t>
            </w:r>
          </w:p>
        </w:tc>
      </w:tr>
      <w:tr w:rsidR="00A12E7B" w14:paraId="5E9E3303"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65CC413A" w14:textId="77777777" w:rsidR="00A12E7B" w:rsidRPr="004856A8" w:rsidRDefault="0065577E" w:rsidP="006976C4">
            <w:pPr>
              <w:pStyle w:val="NoSpacing"/>
              <w:spacing w:line="240" w:lineRule="auto"/>
              <w:rPr>
                <w:szCs w:val="19"/>
              </w:rPr>
            </w:pPr>
            <w:r w:rsidRPr="004856A8">
              <w:rPr>
                <w:szCs w:val="19"/>
              </w:rPr>
              <w:t>Framework</w:t>
            </w:r>
            <w:r w:rsidR="00A12E7B" w:rsidRPr="004856A8">
              <w:rPr>
                <w:szCs w:val="19"/>
              </w:rPr>
              <w:t xml:space="preserve"> Duration</w:t>
            </w:r>
          </w:p>
        </w:tc>
        <w:tc>
          <w:tcPr>
            <w:tcW w:w="5953" w:type="dxa"/>
            <w:tcBorders>
              <w:top w:val="single" w:sz="4" w:space="0" w:color="A6A6A6" w:themeColor="background1" w:themeShade="A6"/>
              <w:bottom w:val="single" w:sz="4" w:space="0" w:color="A6A6A6" w:themeColor="background1" w:themeShade="A6"/>
            </w:tcBorders>
          </w:tcPr>
          <w:p w14:paraId="67EF33AC" w14:textId="77777777" w:rsidR="00A12E7B" w:rsidRPr="004856A8" w:rsidRDefault="003A02D1" w:rsidP="006976C4">
            <w:pPr>
              <w:pStyle w:val="NoSpacing"/>
              <w:spacing w:line="240" w:lineRule="auto"/>
              <w:rPr>
                <w:szCs w:val="19"/>
              </w:rPr>
            </w:pPr>
            <w:r w:rsidRPr="004856A8">
              <w:rPr>
                <w:szCs w:val="19"/>
              </w:rPr>
              <w:t xml:space="preserve">36 </w:t>
            </w:r>
            <w:r w:rsidR="00A12E7B" w:rsidRPr="004856A8">
              <w:rPr>
                <w:szCs w:val="19"/>
              </w:rPr>
              <w:t xml:space="preserve">months initial duration with </w:t>
            </w:r>
            <w:r w:rsidR="005A14B6" w:rsidRPr="004856A8">
              <w:rPr>
                <w:szCs w:val="19"/>
              </w:rPr>
              <w:t>one</w:t>
            </w:r>
            <w:r w:rsidR="00A12E7B" w:rsidRPr="004856A8">
              <w:rPr>
                <w:szCs w:val="19"/>
              </w:rPr>
              <w:t xml:space="preserve"> additional 12 months period extension options at the discretion of the Authority.</w:t>
            </w:r>
          </w:p>
        </w:tc>
      </w:tr>
      <w:tr w:rsidR="00A12E7B" w14:paraId="0DE6B7EE"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7617D8A5" w14:textId="77777777" w:rsidR="00A12E7B" w:rsidRPr="004856A8" w:rsidRDefault="00A12E7B" w:rsidP="006976C4">
            <w:pPr>
              <w:pStyle w:val="NoSpacing"/>
              <w:spacing w:line="240" w:lineRule="auto"/>
              <w:rPr>
                <w:szCs w:val="19"/>
              </w:rPr>
            </w:pPr>
            <w:r w:rsidRPr="004856A8">
              <w:rPr>
                <w:szCs w:val="19"/>
              </w:rPr>
              <w:t>Estimated Value</w:t>
            </w:r>
          </w:p>
        </w:tc>
        <w:tc>
          <w:tcPr>
            <w:tcW w:w="5953" w:type="dxa"/>
            <w:tcBorders>
              <w:top w:val="single" w:sz="4" w:space="0" w:color="A6A6A6" w:themeColor="background1" w:themeShade="A6"/>
              <w:bottom w:val="single" w:sz="4" w:space="0" w:color="A6A6A6" w:themeColor="background1" w:themeShade="A6"/>
            </w:tcBorders>
          </w:tcPr>
          <w:p w14:paraId="0BDF3AFD" w14:textId="77777777" w:rsidR="00A12E7B" w:rsidRPr="003D0CBA" w:rsidRDefault="00A00A9B" w:rsidP="006976C4">
            <w:pPr>
              <w:pStyle w:val="NoSpacing"/>
              <w:spacing w:line="240" w:lineRule="auto"/>
              <w:rPr>
                <w:szCs w:val="19"/>
              </w:rPr>
            </w:pPr>
            <w:r w:rsidRPr="003D0CBA">
              <w:rPr>
                <w:szCs w:val="19"/>
              </w:rPr>
              <w:t>£8</w:t>
            </w:r>
            <w:r w:rsidR="0065577E" w:rsidRPr="003D0CBA">
              <w:rPr>
                <w:szCs w:val="19"/>
              </w:rPr>
              <w:t>0,000 estimated spend, £181,000 maximum spend</w:t>
            </w:r>
          </w:p>
        </w:tc>
      </w:tr>
    </w:tbl>
    <w:p w14:paraId="6D1116C2" w14:textId="77777777" w:rsidR="006142B2" w:rsidRDefault="006142B2" w:rsidP="00A12E7B">
      <w:pPr>
        <w:tabs>
          <w:tab w:val="left" w:pos="4350"/>
        </w:tabs>
      </w:pPr>
    </w:p>
    <w:p w14:paraId="74A88023" w14:textId="110F9EFE" w:rsidR="00A12E7B" w:rsidRDefault="00A12E7B" w:rsidP="00A12E7B">
      <w:pPr>
        <w:pStyle w:val="Ref-Lvl2"/>
        <w:ind w:left="567"/>
        <w:rPr>
          <w:color w:val="005190"/>
          <w:sz w:val="24"/>
        </w:rPr>
      </w:pPr>
      <w:r w:rsidRPr="00652A9F">
        <w:rPr>
          <w:color w:val="005190"/>
          <w:sz w:val="24"/>
        </w:rPr>
        <w:t>Scope and Division of Contract into Lots</w:t>
      </w:r>
    </w:p>
    <w:p w14:paraId="1F532D93" w14:textId="0FAED7A1" w:rsidR="003D2103" w:rsidRPr="00652A9F" w:rsidRDefault="003D2103" w:rsidP="00AC1233">
      <w:pPr>
        <w:pStyle w:val="Ref-Lvl2"/>
        <w:numPr>
          <w:ilvl w:val="0"/>
          <w:numId w:val="0"/>
        </w:numPr>
        <w:spacing w:line="360" w:lineRule="auto"/>
        <w:rPr>
          <w:color w:val="005190"/>
          <w:sz w:val="24"/>
        </w:rPr>
      </w:pPr>
      <w:r w:rsidRPr="004C15C4">
        <w:t>In accordance with procurement legislation</w:t>
      </w:r>
      <w:r w:rsidRPr="00AC1233">
        <w:rPr>
          <w:rStyle w:val="FootnoteReference"/>
          <w:rFonts w:asciiTheme="minorHAnsi" w:eastAsiaTheme="minorHAnsi" w:hAnsiTheme="minorHAnsi" w:cstheme="minorBidi"/>
          <w:color w:val="auto"/>
          <w:sz w:val="20"/>
          <w:szCs w:val="20"/>
          <w:lang w:eastAsia="en-US"/>
        </w:rPr>
        <w:footnoteReference w:id="1"/>
      </w:r>
      <w:r w:rsidR="00AC1233">
        <w:t xml:space="preserve">, </w:t>
      </w:r>
      <w:r w:rsidRPr="004C15C4">
        <w:t>CPI has assessed that the requirements of this tender can be fulfilled by dividing this exercise into lots.</w:t>
      </w:r>
      <w:r w:rsidRPr="009F4D79">
        <w:t xml:space="preserve"> </w:t>
      </w:r>
      <w:r w:rsidRPr="00AC1233">
        <w:t>This tender is to cover the call-off requirements as and when required by CPI. This framework agreement is split into the following lots;</w:t>
      </w:r>
    </w:p>
    <w:tbl>
      <w:tblPr>
        <w:tblStyle w:val="TableGrid"/>
        <w:tblW w:w="0" w:type="auto"/>
        <w:tblLook w:val="04A0" w:firstRow="1" w:lastRow="0" w:firstColumn="1" w:lastColumn="0" w:noHBand="0" w:noVBand="1"/>
      </w:tblPr>
      <w:tblGrid>
        <w:gridCol w:w="1278"/>
        <w:gridCol w:w="3967"/>
      </w:tblGrid>
      <w:tr w:rsidR="003D2103" w14:paraId="27EC3B75" w14:textId="77777777" w:rsidTr="003D2103">
        <w:trPr>
          <w:trHeight w:val="372"/>
        </w:trPr>
        <w:tc>
          <w:tcPr>
            <w:tcW w:w="1278" w:type="dxa"/>
          </w:tcPr>
          <w:p w14:paraId="117DE0E1" w14:textId="0959A406" w:rsidR="003D2103" w:rsidRPr="00AC1233" w:rsidRDefault="003D2103" w:rsidP="003D2103">
            <w:pPr>
              <w:pStyle w:val="Heading3"/>
              <w:jc w:val="both"/>
              <w:outlineLvl w:val="2"/>
              <w:rPr>
                <w:rFonts w:ascii="Arial" w:hAnsi="Arial" w:cs="Arial"/>
                <w:b/>
                <w:sz w:val="19"/>
                <w:szCs w:val="19"/>
              </w:rPr>
            </w:pPr>
            <w:r w:rsidRPr="00AC1233">
              <w:rPr>
                <w:rFonts w:ascii="Arial" w:hAnsi="Arial" w:cs="Arial"/>
                <w:b/>
                <w:sz w:val="19"/>
                <w:szCs w:val="19"/>
              </w:rPr>
              <w:lastRenderedPageBreak/>
              <w:t>Lot</w:t>
            </w:r>
            <w:r w:rsidR="00B778E4" w:rsidRPr="00AC1233">
              <w:rPr>
                <w:rFonts w:ascii="Arial" w:hAnsi="Arial" w:cs="Arial"/>
                <w:b/>
                <w:sz w:val="19"/>
                <w:szCs w:val="19"/>
              </w:rPr>
              <w:t xml:space="preserve"> </w:t>
            </w:r>
            <w:r w:rsidRPr="00AC1233">
              <w:rPr>
                <w:rFonts w:ascii="Arial" w:hAnsi="Arial" w:cs="Arial"/>
                <w:b/>
                <w:sz w:val="19"/>
                <w:szCs w:val="19"/>
              </w:rPr>
              <w:t>#</w:t>
            </w:r>
          </w:p>
        </w:tc>
        <w:tc>
          <w:tcPr>
            <w:tcW w:w="3967" w:type="dxa"/>
          </w:tcPr>
          <w:p w14:paraId="2528C3CC" w14:textId="343011C8" w:rsidR="003D2103" w:rsidRPr="00AC1233" w:rsidRDefault="003D2103">
            <w:pPr>
              <w:pStyle w:val="Heading3"/>
              <w:outlineLvl w:val="2"/>
              <w:rPr>
                <w:rFonts w:ascii="Arial" w:hAnsi="Arial" w:cs="Arial"/>
                <w:b/>
                <w:sz w:val="19"/>
                <w:szCs w:val="19"/>
              </w:rPr>
            </w:pPr>
            <w:r w:rsidRPr="00AC1233">
              <w:rPr>
                <w:rFonts w:ascii="Arial" w:hAnsi="Arial" w:cs="Arial"/>
                <w:b/>
                <w:sz w:val="19"/>
                <w:szCs w:val="19"/>
              </w:rPr>
              <w:t>Lot Description</w:t>
            </w:r>
          </w:p>
        </w:tc>
      </w:tr>
      <w:tr w:rsidR="007E4003" w14:paraId="1B05EF4C" w14:textId="77777777" w:rsidTr="003D2103">
        <w:trPr>
          <w:trHeight w:val="372"/>
        </w:trPr>
        <w:tc>
          <w:tcPr>
            <w:tcW w:w="1278" w:type="dxa"/>
          </w:tcPr>
          <w:p w14:paraId="5E27C52C" w14:textId="02C6239E" w:rsidR="007E4003" w:rsidRPr="00AC1233" w:rsidRDefault="007E4003" w:rsidP="003D2103">
            <w:pPr>
              <w:pStyle w:val="Heading3"/>
              <w:jc w:val="both"/>
              <w:outlineLvl w:val="2"/>
              <w:rPr>
                <w:rFonts w:ascii="Arial" w:hAnsi="Arial" w:cs="Arial"/>
                <w:sz w:val="19"/>
                <w:szCs w:val="19"/>
              </w:rPr>
            </w:pPr>
            <w:r w:rsidRPr="00AC1233">
              <w:rPr>
                <w:rFonts w:ascii="Arial" w:hAnsi="Arial" w:cs="Arial"/>
                <w:sz w:val="19"/>
                <w:szCs w:val="19"/>
              </w:rPr>
              <w:t>Lot 1</w:t>
            </w:r>
          </w:p>
        </w:tc>
        <w:tc>
          <w:tcPr>
            <w:tcW w:w="3967" w:type="dxa"/>
          </w:tcPr>
          <w:p w14:paraId="36C4127C" w14:textId="6E9F8B1D" w:rsidR="007E4003" w:rsidRPr="00AC1233" w:rsidRDefault="007E4003">
            <w:pPr>
              <w:pStyle w:val="Heading3"/>
              <w:outlineLvl w:val="2"/>
              <w:rPr>
                <w:rFonts w:ascii="Arial" w:hAnsi="Arial" w:cs="Arial"/>
                <w:sz w:val="19"/>
                <w:szCs w:val="19"/>
              </w:rPr>
            </w:pPr>
            <w:r w:rsidRPr="00AC1233">
              <w:rPr>
                <w:rFonts w:ascii="Arial" w:hAnsi="Arial" w:cs="Arial"/>
                <w:sz w:val="19"/>
                <w:szCs w:val="19"/>
              </w:rPr>
              <w:t>General Engineering</w:t>
            </w:r>
          </w:p>
        </w:tc>
      </w:tr>
      <w:tr w:rsidR="007E4003" w14:paraId="28AD5615" w14:textId="77777777" w:rsidTr="003D2103">
        <w:trPr>
          <w:trHeight w:val="372"/>
        </w:trPr>
        <w:tc>
          <w:tcPr>
            <w:tcW w:w="1278" w:type="dxa"/>
          </w:tcPr>
          <w:p w14:paraId="4DB9FEB1" w14:textId="30D900B5" w:rsidR="007E4003" w:rsidRPr="00AC1233" w:rsidRDefault="007E4003" w:rsidP="003D0CBA">
            <w:pPr>
              <w:pStyle w:val="Heading3"/>
              <w:outlineLvl w:val="2"/>
              <w:rPr>
                <w:rFonts w:ascii="Arial" w:hAnsi="Arial" w:cs="Arial"/>
                <w:sz w:val="19"/>
                <w:szCs w:val="19"/>
              </w:rPr>
            </w:pPr>
            <w:r w:rsidRPr="00AC1233">
              <w:rPr>
                <w:rFonts w:ascii="Arial" w:hAnsi="Arial" w:cs="Arial"/>
                <w:sz w:val="19"/>
                <w:szCs w:val="19"/>
              </w:rPr>
              <w:t>Lot 2</w:t>
            </w:r>
          </w:p>
        </w:tc>
        <w:tc>
          <w:tcPr>
            <w:tcW w:w="3967" w:type="dxa"/>
          </w:tcPr>
          <w:p w14:paraId="736C9C19" w14:textId="462D02FE" w:rsidR="007E4003" w:rsidRPr="00AC1233" w:rsidRDefault="007E4003" w:rsidP="003D0CBA">
            <w:pPr>
              <w:pStyle w:val="Heading3"/>
              <w:outlineLvl w:val="2"/>
              <w:rPr>
                <w:rFonts w:ascii="Arial" w:hAnsi="Arial" w:cs="Arial"/>
                <w:sz w:val="19"/>
                <w:szCs w:val="19"/>
              </w:rPr>
            </w:pPr>
            <w:r w:rsidRPr="00AC1233">
              <w:rPr>
                <w:rFonts w:ascii="Arial" w:hAnsi="Arial" w:cs="Arial"/>
                <w:sz w:val="19"/>
                <w:szCs w:val="19"/>
              </w:rPr>
              <w:t>Bespoke Engineering</w:t>
            </w:r>
          </w:p>
        </w:tc>
      </w:tr>
      <w:tr w:rsidR="007E4003" w14:paraId="512FB2A4" w14:textId="77777777" w:rsidTr="003D2103">
        <w:trPr>
          <w:trHeight w:val="372"/>
        </w:trPr>
        <w:tc>
          <w:tcPr>
            <w:tcW w:w="1278" w:type="dxa"/>
          </w:tcPr>
          <w:p w14:paraId="1CCC25CB" w14:textId="759B9DED" w:rsidR="007E4003" w:rsidRPr="00AC1233" w:rsidRDefault="007E4003" w:rsidP="003D0CBA">
            <w:pPr>
              <w:pStyle w:val="Heading3"/>
              <w:outlineLvl w:val="2"/>
              <w:rPr>
                <w:rFonts w:ascii="Arial" w:hAnsi="Arial" w:cs="Arial"/>
                <w:sz w:val="19"/>
                <w:szCs w:val="19"/>
              </w:rPr>
            </w:pPr>
            <w:r w:rsidRPr="00AC1233">
              <w:rPr>
                <w:rFonts w:ascii="Arial" w:hAnsi="Arial" w:cs="Arial"/>
                <w:sz w:val="19"/>
                <w:szCs w:val="19"/>
              </w:rPr>
              <w:t>Lot 3</w:t>
            </w:r>
          </w:p>
        </w:tc>
        <w:tc>
          <w:tcPr>
            <w:tcW w:w="3967" w:type="dxa"/>
          </w:tcPr>
          <w:p w14:paraId="5ED29F22" w14:textId="45643EE9" w:rsidR="007E4003" w:rsidRPr="00AC1233" w:rsidRDefault="007E4003" w:rsidP="003D0CBA">
            <w:pPr>
              <w:pStyle w:val="Heading3"/>
              <w:outlineLvl w:val="2"/>
              <w:rPr>
                <w:rFonts w:ascii="Arial" w:hAnsi="Arial" w:cs="Arial"/>
                <w:sz w:val="19"/>
                <w:szCs w:val="19"/>
              </w:rPr>
            </w:pPr>
            <w:r w:rsidRPr="00AC1233">
              <w:rPr>
                <w:rFonts w:ascii="Arial" w:hAnsi="Arial" w:cs="Arial"/>
                <w:sz w:val="19"/>
                <w:szCs w:val="19"/>
              </w:rPr>
              <w:t>Coded Welding</w:t>
            </w:r>
            <w:r w:rsidR="00850F1E" w:rsidRPr="00AC1233">
              <w:rPr>
                <w:rFonts w:ascii="Arial" w:hAnsi="Arial" w:cs="Arial"/>
                <w:sz w:val="19"/>
                <w:szCs w:val="19"/>
              </w:rPr>
              <w:t xml:space="preserve"> for Pressure Systems </w:t>
            </w:r>
          </w:p>
        </w:tc>
      </w:tr>
      <w:tr w:rsidR="007E4003" w14:paraId="64EA66A9" w14:textId="77777777" w:rsidTr="003D2103">
        <w:trPr>
          <w:trHeight w:val="372"/>
        </w:trPr>
        <w:tc>
          <w:tcPr>
            <w:tcW w:w="1278" w:type="dxa"/>
          </w:tcPr>
          <w:p w14:paraId="2DE52EDF" w14:textId="086E0281" w:rsidR="007E4003" w:rsidRPr="00AC1233" w:rsidRDefault="007E4003" w:rsidP="003D0CBA">
            <w:pPr>
              <w:pStyle w:val="Heading3"/>
              <w:outlineLvl w:val="2"/>
              <w:rPr>
                <w:rFonts w:ascii="Arial" w:hAnsi="Arial" w:cs="Arial"/>
                <w:sz w:val="19"/>
                <w:szCs w:val="19"/>
              </w:rPr>
            </w:pPr>
            <w:r w:rsidRPr="00AC1233">
              <w:rPr>
                <w:rFonts w:ascii="Arial" w:hAnsi="Arial" w:cs="Arial"/>
                <w:sz w:val="19"/>
                <w:szCs w:val="19"/>
              </w:rPr>
              <w:t>Lot 4</w:t>
            </w:r>
          </w:p>
        </w:tc>
        <w:tc>
          <w:tcPr>
            <w:tcW w:w="3967" w:type="dxa"/>
          </w:tcPr>
          <w:p w14:paraId="4C43ED10" w14:textId="2F05BBE7" w:rsidR="007E4003" w:rsidRPr="00AC1233" w:rsidRDefault="007E4003" w:rsidP="003D0CBA">
            <w:pPr>
              <w:pStyle w:val="Heading3"/>
              <w:outlineLvl w:val="2"/>
              <w:rPr>
                <w:rFonts w:ascii="Arial" w:hAnsi="Arial" w:cs="Arial"/>
                <w:sz w:val="19"/>
                <w:szCs w:val="19"/>
              </w:rPr>
            </w:pPr>
            <w:r w:rsidRPr="00AC1233">
              <w:rPr>
                <w:rFonts w:ascii="Arial" w:hAnsi="Arial" w:cs="Arial"/>
                <w:sz w:val="19"/>
                <w:szCs w:val="19"/>
              </w:rPr>
              <w:t>Plastic Welding</w:t>
            </w:r>
          </w:p>
        </w:tc>
      </w:tr>
      <w:tr w:rsidR="007E4003" w14:paraId="326704C8" w14:textId="77777777" w:rsidTr="003D2103">
        <w:trPr>
          <w:trHeight w:val="372"/>
        </w:trPr>
        <w:tc>
          <w:tcPr>
            <w:tcW w:w="1278" w:type="dxa"/>
          </w:tcPr>
          <w:p w14:paraId="0F715829" w14:textId="7F62C9FA" w:rsidR="007E4003" w:rsidRPr="00AC1233" w:rsidRDefault="007E4003" w:rsidP="003D0CBA">
            <w:pPr>
              <w:pStyle w:val="Heading3"/>
              <w:outlineLvl w:val="2"/>
              <w:rPr>
                <w:rFonts w:ascii="Arial" w:hAnsi="Arial" w:cs="Arial"/>
                <w:sz w:val="19"/>
                <w:szCs w:val="19"/>
              </w:rPr>
            </w:pPr>
            <w:r w:rsidRPr="00AC1233">
              <w:rPr>
                <w:rFonts w:ascii="Arial" w:hAnsi="Arial" w:cs="Arial"/>
                <w:sz w:val="19"/>
                <w:szCs w:val="19"/>
              </w:rPr>
              <w:t>Lot 5</w:t>
            </w:r>
          </w:p>
        </w:tc>
        <w:tc>
          <w:tcPr>
            <w:tcW w:w="3967" w:type="dxa"/>
            <w:vAlign w:val="bottom"/>
          </w:tcPr>
          <w:p w14:paraId="0A4FCC8D" w14:textId="06383072" w:rsidR="007E4003" w:rsidRPr="00AC1233" w:rsidRDefault="00850F1E" w:rsidP="003D0CBA">
            <w:pPr>
              <w:pStyle w:val="Heading3"/>
              <w:outlineLvl w:val="2"/>
              <w:rPr>
                <w:rFonts w:ascii="Arial" w:hAnsi="Arial" w:cs="Arial"/>
                <w:sz w:val="19"/>
                <w:szCs w:val="19"/>
              </w:rPr>
            </w:pPr>
            <w:r w:rsidRPr="00AC1233">
              <w:rPr>
                <w:rFonts w:ascii="Arial" w:hAnsi="Arial" w:cs="Arial"/>
                <w:sz w:val="19"/>
                <w:szCs w:val="19"/>
              </w:rPr>
              <w:t>Sterile Pipe Welding</w:t>
            </w:r>
          </w:p>
        </w:tc>
      </w:tr>
    </w:tbl>
    <w:p w14:paraId="71B052DD" w14:textId="77777777" w:rsidR="00AC1233" w:rsidRDefault="00AC1233" w:rsidP="003D2103">
      <w:pPr>
        <w:tabs>
          <w:tab w:val="left" w:pos="3270"/>
        </w:tabs>
        <w:spacing w:line="240" w:lineRule="auto"/>
        <w:rPr>
          <w:u w:val="single"/>
        </w:rPr>
      </w:pPr>
    </w:p>
    <w:p w14:paraId="62F90AC6" w14:textId="74AED1B7" w:rsidR="00A12E7B" w:rsidRPr="009C3650" w:rsidRDefault="00A12E7B" w:rsidP="003D2103">
      <w:pPr>
        <w:tabs>
          <w:tab w:val="left" w:pos="3270"/>
        </w:tabs>
        <w:spacing w:line="240" w:lineRule="auto"/>
        <w:rPr>
          <w:u w:val="single"/>
        </w:rPr>
      </w:pPr>
      <w:r w:rsidRPr="009C3650">
        <w:rPr>
          <w:u w:val="single"/>
        </w:rPr>
        <w:t>Direct Award</w:t>
      </w:r>
    </w:p>
    <w:p w14:paraId="071F26B9" w14:textId="77777777" w:rsidR="00A12E7B" w:rsidRPr="009C3650" w:rsidRDefault="00A12E7B" w:rsidP="00AC1233">
      <w:r w:rsidRPr="009C3650">
        <w:t xml:space="preserve">CPI will establish a multi supplier framework agreement, against which we will reserve the right to direct award without further competition. </w:t>
      </w:r>
    </w:p>
    <w:p w14:paraId="511D440C" w14:textId="77777777" w:rsidR="00A12E7B" w:rsidRPr="009C3650" w:rsidRDefault="00A12E7B" w:rsidP="00AC1233">
      <w:r w:rsidRPr="009C3650">
        <w:t xml:space="preserve">Suppliers will be in a ranked order of 1st, 2nd and 3rd etc. according to their scores against the evaluation criteria set out below.  </w:t>
      </w:r>
    </w:p>
    <w:p w14:paraId="54CF5131" w14:textId="6D0A864C" w:rsidR="00FA5E83" w:rsidRPr="00AC1233" w:rsidRDefault="00A12E7B" w:rsidP="00A12E7B">
      <w:r w:rsidRPr="009C3650">
        <w:t>As and when we require goods</w:t>
      </w:r>
      <w:r w:rsidR="003D2103">
        <w:t>/services</w:t>
      </w:r>
      <w:r w:rsidRPr="009C3650">
        <w:t xml:space="preserve"> we will confirm our requirements with the preferred (ranked 1st) supplier and place a Purchase Order.  In the event that the 1st placed supplier cannot provide the goods</w:t>
      </w:r>
      <w:r w:rsidR="003D2103">
        <w:t>/services</w:t>
      </w:r>
      <w:r w:rsidRPr="009C3650">
        <w:t xml:space="preserve"> required or meet the delivery timescale, the order will be placed with the 2nd placed supplier on the list in the same manner.  Should the 2nd placed supplier be unable to provide the goods</w:t>
      </w:r>
      <w:r w:rsidR="003D2103">
        <w:t>/services</w:t>
      </w:r>
      <w:r w:rsidRPr="009C3650">
        <w:t xml:space="preserve"> required or meet the delivery timescale, the order will be placed with the 3rd placed supplier in the same manner, with this process continued for any further members on the relevant lot until the goods</w:t>
      </w:r>
      <w:r w:rsidR="003D2103">
        <w:t>/services</w:t>
      </w:r>
      <w:r w:rsidRPr="009C3650">
        <w:t xml:space="preserve"> have been provide</w:t>
      </w:r>
      <w:r w:rsidR="003D2103">
        <w:t xml:space="preserve">d. </w:t>
      </w:r>
      <w:r w:rsidR="00AC1233">
        <w:t>If</w:t>
      </w:r>
      <w:r w:rsidR="003D2103">
        <w:t xml:space="preserve"> no panel members can fulfil the requirement, CPI reserves the right to direct award outside of the framework.</w:t>
      </w:r>
    </w:p>
    <w:p w14:paraId="756AD09C" w14:textId="77777777" w:rsidR="00A92A83" w:rsidRPr="00A92A83" w:rsidRDefault="00A12E7B" w:rsidP="00292BB4">
      <w:pPr>
        <w:pStyle w:val="Ref-Lvl1"/>
      </w:pPr>
      <w:r>
        <w:t>Specification</w:t>
      </w:r>
    </w:p>
    <w:p w14:paraId="46DC8CA5" w14:textId="7E897680" w:rsidR="003D2103" w:rsidRPr="00AC1233" w:rsidRDefault="00A92A83" w:rsidP="00AC1233">
      <w:r w:rsidRPr="00AC1233">
        <w:t>CPI is seeking to create a multi supplier framework for the provision of fabrication and mechanical services to CPI. The framework will be valid for three years from the start date of the contract</w:t>
      </w:r>
      <w:r w:rsidR="00AC1233">
        <w:t xml:space="preserve">, </w:t>
      </w:r>
      <w:r w:rsidRPr="00AC1233">
        <w:t>with the possibility of a further year’s extension which would be agreed between all parties.</w:t>
      </w:r>
    </w:p>
    <w:p w14:paraId="1044AB8B" w14:textId="046F14DA" w:rsidR="003D2103" w:rsidRPr="00AC1233" w:rsidRDefault="003D2103" w:rsidP="00AC1233">
      <w:r w:rsidRPr="00AC1233">
        <w:t>Bidders may apply to any one</w:t>
      </w:r>
      <w:r w:rsidR="00AC1233">
        <w:t xml:space="preserve">, </w:t>
      </w:r>
      <w:r w:rsidRPr="00AC1233">
        <w:t>multiple</w:t>
      </w:r>
      <w:r w:rsidR="00AC1233">
        <w:t>,</w:t>
      </w:r>
      <w:r w:rsidRPr="00AC1233">
        <w:t xml:space="preserve"> or all lots as per their applicable service offering. CPI aims to establish a Multi supplier framework panel of a maximum of 5 suppliers under each lot resulting from the award of this tender.</w:t>
      </w:r>
    </w:p>
    <w:p w14:paraId="041799D3" w14:textId="5CB7DAE8" w:rsidR="0032762F" w:rsidRPr="00AC1233" w:rsidRDefault="003D2103" w:rsidP="00AC1233">
      <w:r w:rsidRPr="00AC1233">
        <w:t>The general description of services required is provided as a reference below, please note that the services provided is not an exhaustive list.</w:t>
      </w:r>
    </w:p>
    <w:p w14:paraId="56D0FA4C" w14:textId="52F8673A" w:rsidR="0032762F" w:rsidRPr="00AC1233" w:rsidRDefault="0032762F" w:rsidP="00AC1233">
      <w:r w:rsidRPr="00AC1233">
        <w:t xml:space="preserve">Bidders are to complete the Response to Tender for each applicable </w:t>
      </w:r>
      <w:r w:rsidR="00AC1233">
        <w:t>l</w:t>
      </w:r>
      <w:r w:rsidRPr="00AC1233">
        <w:t xml:space="preserve">ot you are applying for along with completing the </w:t>
      </w:r>
      <w:r w:rsidR="00AC1233">
        <w:t>p</w:t>
      </w:r>
      <w:r w:rsidRPr="00AC1233">
        <w:t xml:space="preserve">ricing schedule for each </w:t>
      </w:r>
      <w:r w:rsidR="00AC1233">
        <w:t>l</w:t>
      </w:r>
      <w:r w:rsidRPr="00AC1233">
        <w:t>ot you are applying for.</w:t>
      </w:r>
    </w:p>
    <w:p w14:paraId="14C9B187" w14:textId="77777777" w:rsidR="006142B2" w:rsidRDefault="006142B2" w:rsidP="005A182C">
      <w:pPr>
        <w:autoSpaceDE w:val="0"/>
        <w:autoSpaceDN w:val="0"/>
        <w:adjustRightInd w:val="0"/>
        <w:spacing w:after="0" w:line="276" w:lineRule="auto"/>
        <w:rPr>
          <w:rFonts w:eastAsiaTheme="minorHAnsi"/>
          <w:color w:val="auto"/>
          <w:szCs w:val="19"/>
          <w:lang w:eastAsia="en-US"/>
        </w:rPr>
      </w:pPr>
    </w:p>
    <w:p w14:paraId="219102FB" w14:textId="77777777" w:rsidR="00FA5E83" w:rsidRDefault="00FA5E83" w:rsidP="005A182C">
      <w:pPr>
        <w:autoSpaceDE w:val="0"/>
        <w:autoSpaceDN w:val="0"/>
        <w:adjustRightInd w:val="0"/>
        <w:spacing w:after="0" w:line="276" w:lineRule="auto"/>
        <w:rPr>
          <w:rFonts w:eastAsiaTheme="minorHAnsi"/>
          <w:color w:val="auto"/>
          <w:szCs w:val="19"/>
          <w:lang w:eastAsia="en-US"/>
        </w:rPr>
      </w:pPr>
    </w:p>
    <w:p w14:paraId="532C08C9" w14:textId="77777777" w:rsidR="00FA5E83" w:rsidRDefault="00FA5E83" w:rsidP="005A182C">
      <w:pPr>
        <w:autoSpaceDE w:val="0"/>
        <w:autoSpaceDN w:val="0"/>
        <w:adjustRightInd w:val="0"/>
        <w:spacing w:after="0" w:line="276" w:lineRule="auto"/>
        <w:rPr>
          <w:rFonts w:eastAsiaTheme="minorHAnsi"/>
          <w:color w:val="auto"/>
          <w:szCs w:val="19"/>
          <w:lang w:eastAsia="en-US"/>
        </w:rPr>
      </w:pPr>
    </w:p>
    <w:p w14:paraId="5B59EA4C" w14:textId="77777777" w:rsidR="00FA5E83" w:rsidRDefault="00FA5E83" w:rsidP="005A182C">
      <w:pPr>
        <w:autoSpaceDE w:val="0"/>
        <w:autoSpaceDN w:val="0"/>
        <w:adjustRightInd w:val="0"/>
        <w:spacing w:after="0" w:line="276" w:lineRule="auto"/>
        <w:rPr>
          <w:rFonts w:eastAsiaTheme="minorHAnsi"/>
          <w:color w:val="auto"/>
          <w:szCs w:val="19"/>
          <w:lang w:eastAsia="en-US"/>
        </w:rPr>
      </w:pPr>
    </w:p>
    <w:p w14:paraId="237E594D" w14:textId="77777777" w:rsidR="00FA5E83" w:rsidRDefault="00FA5E83" w:rsidP="005A182C">
      <w:pPr>
        <w:autoSpaceDE w:val="0"/>
        <w:autoSpaceDN w:val="0"/>
        <w:adjustRightInd w:val="0"/>
        <w:spacing w:after="0" w:line="276" w:lineRule="auto"/>
        <w:rPr>
          <w:rFonts w:eastAsiaTheme="minorHAnsi"/>
          <w:color w:val="auto"/>
          <w:szCs w:val="19"/>
          <w:lang w:eastAsia="en-US"/>
        </w:rPr>
      </w:pPr>
    </w:p>
    <w:p w14:paraId="4134A3D5" w14:textId="77777777" w:rsidR="00FA5E83" w:rsidRDefault="00FA5E83" w:rsidP="005A182C">
      <w:pPr>
        <w:autoSpaceDE w:val="0"/>
        <w:autoSpaceDN w:val="0"/>
        <w:adjustRightInd w:val="0"/>
        <w:spacing w:after="0" w:line="276" w:lineRule="auto"/>
        <w:rPr>
          <w:rFonts w:eastAsiaTheme="minorHAnsi"/>
          <w:color w:val="auto"/>
          <w:szCs w:val="19"/>
          <w:lang w:eastAsia="en-US"/>
        </w:rPr>
      </w:pPr>
    </w:p>
    <w:p w14:paraId="1B7DF973" w14:textId="588D08A7" w:rsidR="00FA5E83" w:rsidRPr="00FA5E83" w:rsidRDefault="00FA5E83" w:rsidP="00FA5E83">
      <w:pPr>
        <w:pStyle w:val="Heading2"/>
        <w:rPr>
          <w:rFonts w:eastAsiaTheme="minorHAnsi"/>
          <w:u w:val="single"/>
          <w:lang w:eastAsia="en-US"/>
        </w:rPr>
      </w:pPr>
      <w:r w:rsidRPr="00FA5E83">
        <w:rPr>
          <w:rFonts w:eastAsiaTheme="minorHAnsi"/>
          <w:u w:val="single"/>
          <w:lang w:eastAsia="en-US"/>
        </w:rPr>
        <w:lastRenderedPageBreak/>
        <w:t>Lot Breakdown</w:t>
      </w:r>
    </w:p>
    <w:p w14:paraId="1B51A4D8" w14:textId="77777777" w:rsidR="00292BB4" w:rsidRDefault="00292BB4" w:rsidP="00292BB4">
      <w:pPr>
        <w:pStyle w:val="Heading2"/>
      </w:pPr>
      <w:r>
        <w:t>Lot 1 – General Engineering</w:t>
      </w:r>
    </w:p>
    <w:p w14:paraId="262DB65B" w14:textId="586D669E" w:rsidR="00292BB4" w:rsidRPr="00FA5E83" w:rsidRDefault="00292BB4" w:rsidP="00292BB4">
      <w:pPr>
        <w:rPr>
          <w:color w:val="auto"/>
        </w:rPr>
      </w:pPr>
      <w:r w:rsidRPr="00FA5E83">
        <w:rPr>
          <w:color w:val="auto"/>
        </w:rPr>
        <w:t>CPI require the appointment of</w:t>
      </w:r>
      <w:r w:rsidR="00FE4083" w:rsidRPr="00FA5E83">
        <w:rPr>
          <w:color w:val="auto"/>
        </w:rPr>
        <w:t xml:space="preserve"> a supplier</w:t>
      </w:r>
      <w:r w:rsidRPr="00FA5E83">
        <w:rPr>
          <w:color w:val="auto"/>
        </w:rPr>
        <w:t xml:space="preserve"> to carry out general fabrication services such as sheet metalwork, manufacturing, welding and machining.</w:t>
      </w:r>
      <w:r w:rsidR="006D79B5" w:rsidRPr="00FA5E83">
        <w:rPr>
          <w:color w:val="auto"/>
        </w:rPr>
        <w:t xml:space="preserve"> Service requirements will typically include recovery of worn pump shafts by carrying out metal spraying and machining components back to original dimensions, fabrication of stainless steel funnels, and construction of steel platforms.</w:t>
      </w:r>
    </w:p>
    <w:p w14:paraId="42B98A44" w14:textId="77777777" w:rsidR="00292BB4" w:rsidRDefault="00292BB4" w:rsidP="00292BB4">
      <w:pPr>
        <w:pStyle w:val="Heading2"/>
      </w:pPr>
      <w:r w:rsidRPr="009D277F">
        <w:t xml:space="preserve">Lot 2 – </w:t>
      </w:r>
      <w:r>
        <w:t xml:space="preserve">Bespoke Engineering </w:t>
      </w:r>
    </w:p>
    <w:p w14:paraId="62FA17EF" w14:textId="3591CE94" w:rsidR="00292BB4" w:rsidRPr="003602F5" w:rsidRDefault="00292BB4" w:rsidP="00292BB4">
      <w:pPr>
        <w:rPr>
          <w:szCs w:val="19"/>
        </w:rPr>
      </w:pPr>
      <w:r w:rsidRPr="00FA5E83">
        <w:rPr>
          <w:color w:val="auto"/>
          <w:szCs w:val="19"/>
        </w:rPr>
        <w:t>CPI require the appointment of an experienced vendor to provide specialised engineering services such as the manufacture and machining of components needing close tolerance, high quality finish, which would also include engineering (drawing and sketching) of existing sample components</w:t>
      </w:r>
      <w:r w:rsidR="006D79B5" w:rsidRPr="00FA5E83">
        <w:rPr>
          <w:color w:val="auto"/>
          <w:szCs w:val="19"/>
        </w:rPr>
        <w:t>.</w:t>
      </w:r>
      <w:r w:rsidR="0082090E" w:rsidRPr="00FA5E83">
        <w:rPr>
          <w:color w:val="auto"/>
          <w:szCs w:val="19"/>
        </w:rPr>
        <w:t xml:space="preserve"> CPI would require a supplier to mill and machine bespoke high precision components to fit robotic machinery, the manufacture of identical components with repeatable 0.001” tolerances and to work with wide cross section materials such as novel plastics, high grade alloys and austenitic stainless steels.</w:t>
      </w:r>
    </w:p>
    <w:p w14:paraId="2F7525BC" w14:textId="526B2473" w:rsidR="00292BB4" w:rsidRDefault="00292BB4" w:rsidP="00292BB4">
      <w:pPr>
        <w:pStyle w:val="Heading2"/>
      </w:pPr>
      <w:r>
        <w:t>Lot 3 – Coded Welding</w:t>
      </w:r>
      <w:r w:rsidR="00850F1E">
        <w:t xml:space="preserve"> for Pressure Systems</w:t>
      </w:r>
    </w:p>
    <w:p w14:paraId="3C356514" w14:textId="60E67DE1" w:rsidR="00292BB4" w:rsidRPr="00AC1233" w:rsidRDefault="00292BB4" w:rsidP="00292BB4">
      <w:pPr>
        <w:rPr>
          <w:color w:val="auto"/>
          <w:szCs w:val="19"/>
        </w:rPr>
      </w:pPr>
      <w:r w:rsidRPr="00AC1233">
        <w:rPr>
          <w:color w:val="auto"/>
          <w:szCs w:val="19"/>
        </w:rPr>
        <w:t>CPI require the appointment of a coded welding specialist in order to provide coded welding for higher pressure and welded steam pipe systems, as well as the manufacturing of pressure vessels.</w:t>
      </w:r>
      <w:r w:rsidR="00FD161B" w:rsidRPr="00AC1233">
        <w:rPr>
          <w:color w:val="auto"/>
          <w:szCs w:val="19"/>
        </w:rPr>
        <w:t xml:space="preserve"> In addition to this suppliers would be expected to carry out services such as construction of &lt;20barg steam pipework, modification of port arrangements for </w:t>
      </w:r>
      <w:r w:rsidR="00DD28D9" w:rsidRPr="00AC1233">
        <w:rPr>
          <w:color w:val="auto"/>
          <w:szCs w:val="19"/>
        </w:rPr>
        <w:t xml:space="preserve">10,000L stainless steel vessel lids. </w:t>
      </w:r>
    </w:p>
    <w:p w14:paraId="67738A8D" w14:textId="77777777" w:rsidR="00292BB4" w:rsidRDefault="00292BB4" w:rsidP="00292BB4">
      <w:pPr>
        <w:pStyle w:val="Heading2"/>
      </w:pPr>
      <w:r>
        <w:t>Lot 4 – Plastic Welding</w:t>
      </w:r>
    </w:p>
    <w:p w14:paraId="1FD7E2DF" w14:textId="1B098B13" w:rsidR="005A182C" w:rsidRPr="00AC1233" w:rsidRDefault="00292BB4" w:rsidP="00292BB4">
      <w:pPr>
        <w:rPr>
          <w:color w:val="auto"/>
          <w:szCs w:val="19"/>
        </w:rPr>
      </w:pPr>
      <w:r w:rsidRPr="00AC1233">
        <w:rPr>
          <w:color w:val="auto"/>
          <w:szCs w:val="19"/>
        </w:rPr>
        <w:t xml:space="preserve">CPI require the appointment of a plastic welding vendor, some CPI piping systems use plastic rather than metal for flowing acid and alkali, ductwork, waste pipes and so on. These piping systems can be 10” by diameter and require plastic welding during construction or modifications as CPI retain no ‘in house’ ability or equipment to carry out such maintenance work. </w:t>
      </w:r>
      <w:r w:rsidR="005A182C" w:rsidRPr="00AC1233">
        <w:rPr>
          <w:color w:val="auto"/>
          <w:szCs w:val="19"/>
        </w:rPr>
        <w:t xml:space="preserve">Requirements would include connection of 5,000L fibreglass tanks with 6” plastic pipework, modification of plastic ductwork to fit 4” branches with isolation valves, and to run plastic pipes from solvent benches to low level bunds. </w:t>
      </w:r>
    </w:p>
    <w:p w14:paraId="034D666C" w14:textId="0C4A2B02" w:rsidR="00292BB4" w:rsidRDefault="00292BB4" w:rsidP="00292BB4">
      <w:pPr>
        <w:pStyle w:val="Heading2"/>
      </w:pPr>
      <w:r>
        <w:t xml:space="preserve">Lot 5 – </w:t>
      </w:r>
      <w:r w:rsidR="00850F1E">
        <w:t xml:space="preserve">Sterile </w:t>
      </w:r>
      <w:r>
        <w:t>Pipe Welding</w:t>
      </w:r>
      <w:r w:rsidRPr="009D277F">
        <w:t xml:space="preserve"> </w:t>
      </w:r>
    </w:p>
    <w:p w14:paraId="0D987617" w14:textId="2CF71691" w:rsidR="00FA5E83" w:rsidRPr="00AC1233" w:rsidRDefault="00292BB4" w:rsidP="00292BB4">
      <w:pPr>
        <w:rPr>
          <w:color w:val="auto"/>
          <w:szCs w:val="19"/>
        </w:rPr>
      </w:pPr>
      <w:r w:rsidRPr="000A3BD0">
        <w:rPr>
          <w:color w:val="auto"/>
          <w:szCs w:val="19"/>
        </w:rPr>
        <w:t>CPI require piper welding services to be carried out including stainless steel systems where sterile welding is required, on site welding and specialist techniques, as a point of reference pipework can be anywhere between ½”</w:t>
      </w:r>
      <w:r>
        <w:rPr>
          <w:color w:val="auto"/>
          <w:szCs w:val="19"/>
        </w:rPr>
        <w:t xml:space="preserve"> </w:t>
      </w:r>
      <w:r w:rsidRPr="000A3BD0">
        <w:rPr>
          <w:color w:val="auto"/>
          <w:szCs w:val="19"/>
        </w:rPr>
        <w:t>-</w:t>
      </w:r>
      <w:r>
        <w:rPr>
          <w:color w:val="auto"/>
          <w:szCs w:val="19"/>
        </w:rPr>
        <w:t xml:space="preserve"> </w:t>
      </w:r>
      <w:r w:rsidRPr="000A3BD0">
        <w:rPr>
          <w:color w:val="auto"/>
          <w:szCs w:val="19"/>
        </w:rPr>
        <w:t>6”</w:t>
      </w:r>
      <w:r>
        <w:rPr>
          <w:color w:val="auto"/>
          <w:szCs w:val="19"/>
        </w:rPr>
        <w:t xml:space="preserve"> in diameter.</w:t>
      </w:r>
      <w:r w:rsidR="005A182C">
        <w:rPr>
          <w:color w:val="auto"/>
          <w:szCs w:val="19"/>
        </w:rPr>
        <w:t xml:space="preserve"> Suppliers would also be extended to modify 750l 2 bag stainless steel vessels </w:t>
      </w:r>
      <w:r w:rsidR="005A182C" w:rsidRPr="00AC1233">
        <w:rPr>
          <w:color w:val="auto"/>
          <w:szCs w:val="19"/>
        </w:rPr>
        <w:t xml:space="preserve">to enlarge ½” </w:t>
      </w:r>
      <w:proofErr w:type="spellStart"/>
      <w:r w:rsidR="005A182C" w:rsidRPr="00AC1233">
        <w:rPr>
          <w:color w:val="auto"/>
          <w:szCs w:val="19"/>
        </w:rPr>
        <w:t>triclamp</w:t>
      </w:r>
      <w:proofErr w:type="spellEnd"/>
      <w:r w:rsidR="005A182C" w:rsidRPr="00AC1233">
        <w:rPr>
          <w:color w:val="auto"/>
          <w:szCs w:val="19"/>
        </w:rPr>
        <w:t xml:space="preserve"> port to 4”. </w:t>
      </w:r>
      <w:r w:rsidR="009458C0" w:rsidRPr="00AC1233">
        <w:rPr>
          <w:color w:val="auto"/>
          <w:szCs w:val="19"/>
        </w:rPr>
        <w:t>And to provide short term solutions such as resolving issues with effluent pipework through sterile welding to enable fermentations to resume as planned.</w:t>
      </w:r>
    </w:p>
    <w:p w14:paraId="12DDF7F6" w14:textId="1E2973B9" w:rsidR="00292BB4" w:rsidRPr="009A6924" w:rsidRDefault="00FA5E83" w:rsidP="007E4003">
      <w:pPr>
        <w:pStyle w:val="Heading2"/>
      </w:pPr>
      <w:r>
        <w:lastRenderedPageBreak/>
        <w:br/>
      </w:r>
      <w:r w:rsidR="009A6924" w:rsidRPr="009A6924">
        <w:t xml:space="preserve">Contractor Responsibilities </w:t>
      </w:r>
    </w:p>
    <w:p w14:paraId="687E4C71" w14:textId="77777777" w:rsidR="00A92A83" w:rsidRPr="00AC1233" w:rsidRDefault="00A92A83" w:rsidP="00AC1233">
      <w:r w:rsidRPr="00AC1233">
        <w:t>The contractor will also be required to comply with the following requirements:</w:t>
      </w:r>
    </w:p>
    <w:p w14:paraId="50476E1B" w14:textId="77777777" w:rsidR="00A92A83" w:rsidRPr="00AC1233" w:rsidRDefault="00A92A83" w:rsidP="00AC1233">
      <w:pPr>
        <w:pStyle w:val="ListParagraph"/>
        <w:numPr>
          <w:ilvl w:val="0"/>
          <w:numId w:val="7"/>
        </w:numPr>
      </w:pPr>
      <w:r w:rsidRPr="00AC1233">
        <w:t>Fabricate, install and commission the necessary connections to the services for the equipment items in accordance</w:t>
      </w:r>
      <w:r w:rsidR="0098773C" w:rsidRPr="00AC1233">
        <w:t xml:space="preserve"> with the user specification which may include</w:t>
      </w:r>
      <w:r w:rsidRPr="00AC1233">
        <w:t xml:space="preserve"> Designs and Specifications </w:t>
      </w:r>
      <w:r w:rsidR="0098773C" w:rsidRPr="00AC1233">
        <w:t xml:space="preserve">which will be </w:t>
      </w:r>
      <w:r w:rsidRPr="00AC1233">
        <w:t>provided.</w:t>
      </w:r>
    </w:p>
    <w:p w14:paraId="5F57E097" w14:textId="77777777" w:rsidR="00A92A83" w:rsidRPr="00AC1233" w:rsidRDefault="00A92A83" w:rsidP="00AC1233">
      <w:pPr>
        <w:pStyle w:val="ListParagraph"/>
        <w:numPr>
          <w:ilvl w:val="0"/>
          <w:numId w:val="7"/>
        </w:numPr>
      </w:pPr>
      <w:r w:rsidRPr="00AC1233">
        <w:t>Ensure all employees or subcontractors are appropriately qualified to perform the work where appropriate or</w:t>
      </w:r>
    </w:p>
    <w:p w14:paraId="494FF871" w14:textId="77777777" w:rsidR="00A92A83" w:rsidRPr="00AC1233" w:rsidRDefault="0098773C" w:rsidP="00AC1233">
      <w:pPr>
        <w:pStyle w:val="ListParagraph"/>
        <w:numPr>
          <w:ilvl w:val="0"/>
          <w:numId w:val="7"/>
        </w:numPr>
      </w:pPr>
      <w:r w:rsidRPr="00AC1233">
        <w:t>Required</w:t>
      </w:r>
      <w:r w:rsidR="00A92A83" w:rsidRPr="00AC1233">
        <w:t xml:space="preserve"> by legislation.</w:t>
      </w:r>
    </w:p>
    <w:p w14:paraId="242EA037" w14:textId="38443F08" w:rsidR="0061668F" w:rsidRPr="00AC1233" w:rsidRDefault="00A92A83" w:rsidP="00AC1233">
      <w:pPr>
        <w:pStyle w:val="ListParagraph"/>
        <w:numPr>
          <w:ilvl w:val="0"/>
          <w:numId w:val="7"/>
        </w:numPr>
      </w:pPr>
      <w:r w:rsidRPr="00AC1233">
        <w:t>Provide the necessary electrical an</w:t>
      </w:r>
      <w:r w:rsidR="002C231E" w:rsidRPr="00AC1233">
        <w:t>d mechanical test certification</w:t>
      </w:r>
    </w:p>
    <w:p w14:paraId="47C7874A" w14:textId="059743DD" w:rsidR="0061668F" w:rsidRDefault="0061668F" w:rsidP="0061668F">
      <w:pPr>
        <w:pStyle w:val="Heading2"/>
      </w:pPr>
      <w:r>
        <w:t>Pricing Methodology</w:t>
      </w:r>
    </w:p>
    <w:p w14:paraId="26A0E5A9" w14:textId="5B56C44B" w:rsidR="0061668F" w:rsidRDefault="0061668F" w:rsidP="0061668F">
      <w:r>
        <w:t xml:space="preserve">In order to compare pricing on an even basis, we will require an hourly labour rate to be input into the pricing schedule. </w:t>
      </w:r>
      <w:r w:rsidR="00AC1233">
        <w:t>However,</w:t>
      </w:r>
      <w:r>
        <w:t xml:space="preserve"> in addition to this we will require further details on </w:t>
      </w:r>
      <w:r w:rsidR="00AC1233">
        <w:t>your pricing methodology</w:t>
      </w:r>
      <w:r>
        <w:t xml:space="preserve"> for</w:t>
      </w:r>
      <w:r w:rsidR="00AC1233">
        <w:t xml:space="preserve"> items </w:t>
      </w:r>
      <w:r>
        <w:t xml:space="preserve">specialist rates, </w:t>
      </w:r>
      <w:r w:rsidR="00AC1233">
        <w:t xml:space="preserve">any </w:t>
      </w:r>
      <w:r>
        <w:t>mark up on materials</w:t>
      </w:r>
      <w:r w:rsidR="00AC1233">
        <w:t xml:space="preserve"> (where applicable)</w:t>
      </w:r>
      <w:r>
        <w:t>, and any</w:t>
      </w:r>
      <w:r w:rsidR="00377752">
        <w:t xml:space="preserve"> added</w:t>
      </w:r>
      <w:r>
        <w:t xml:space="preserve"> charges for inspection</w:t>
      </w:r>
      <w:r w:rsidR="00377752">
        <w:t>, before any schedule of works are carried out on behalf of CPI</w:t>
      </w:r>
      <w:r>
        <w:t>.</w:t>
      </w:r>
      <w:r w:rsidR="00AC1233">
        <w:t xml:space="preserve"> This is to enable CPI to be aware of the bidders’ approach to pricing, and that approach to job costing is clear and transparent up front. </w:t>
      </w:r>
    </w:p>
    <w:p w14:paraId="21C3EAA3" w14:textId="05E11D28" w:rsidR="0061668F" w:rsidRPr="0061668F" w:rsidRDefault="0061668F" w:rsidP="0061668F">
      <w:r>
        <w:t>Please add these rates into each worksheet for any lot(s) you are intending to apply for</w:t>
      </w:r>
      <w:r w:rsidR="00FD58C3">
        <w:t xml:space="preserve"> in the ‘1285 – Pricing Schedule’ document</w:t>
      </w:r>
      <w:r>
        <w:t>. These rates will not be included as part of the pricing evaluation, nonetheless CPI still require th</w:t>
      </w:r>
      <w:r w:rsidR="00377752">
        <w:t>ese rates in order to give us some indication of any added costs which will be incurred during the lifespan of this framework</w:t>
      </w:r>
      <w:r>
        <w:t xml:space="preserve">. CPI does not expect these additional rates to be fixed for the duration of this framework, however it is important we are aware of </w:t>
      </w:r>
      <w:r w:rsidR="00AC1233">
        <w:t>your approach to job costing,</w:t>
      </w:r>
      <w:r>
        <w:t xml:space="preserve"> for services to b</w:t>
      </w:r>
      <w:r w:rsidR="00377752">
        <w:t>e rendered to CPI subject to this</w:t>
      </w:r>
      <w:r>
        <w:t xml:space="preserve"> framework. </w:t>
      </w:r>
    </w:p>
    <w:p w14:paraId="5DA5F193" w14:textId="77777777" w:rsidR="00A12E7B" w:rsidRDefault="00A12E7B" w:rsidP="00A12E7B">
      <w:pPr>
        <w:pStyle w:val="Ref-Lvl1"/>
      </w:pPr>
      <w:r>
        <w:t>Procurement Timetable</w:t>
      </w:r>
    </w:p>
    <w:p w14:paraId="42317583" w14:textId="77777777" w:rsidR="00A12E7B" w:rsidRDefault="00A12E7B" w:rsidP="00A12E7B">
      <w:r>
        <w:t>The planned timescale for this procurement is given below, and is a guide only, as timescales may vary during evaluation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828"/>
        <w:gridCol w:w="2835"/>
      </w:tblGrid>
      <w:tr w:rsidR="00A12E7B" w:rsidRPr="00A83354" w14:paraId="02BA32FE" w14:textId="77777777" w:rsidTr="006976C4">
        <w:trPr>
          <w:cantSplit/>
        </w:trPr>
        <w:tc>
          <w:tcPr>
            <w:tcW w:w="3828" w:type="dxa"/>
            <w:tcBorders>
              <w:bottom w:val="single" w:sz="18" w:space="0" w:color="005190"/>
            </w:tcBorders>
            <w:vAlign w:val="bottom"/>
          </w:tcPr>
          <w:p w14:paraId="7E75FCA6" w14:textId="77777777" w:rsidR="00A12E7B" w:rsidRPr="00A83354" w:rsidRDefault="00A12E7B" w:rsidP="006976C4">
            <w:pPr>
              <w:pStyle w:val="NoSpacing"/>
              <w:spacing w:line="240" w:lineRule="auto"/>
              <w:rPr>
                <w:b/>
                <w:color w:val="005190"/>
                <w:sz w:val="14"/>
              </w:rPr>
            </w:pPr>
            <w:r w:rsidRPr="00A83354">
              <w:rPr>
                <w:b/>
                <w:color w:val="005190"/>
                <w:sz w:val="14"/>
              </w:rPr>
              <w:t>STAGE</w:t>
            </w:r>
          </w:p>
        </w:tc>
        <w:tc>
          <w:tcPr>
            <w:tcW w:w="2835" w:type="dxa"/>
            <w:tcBorders>
              <w:bottom w:val="single" w:sz="18" w:space="0" w:color="005190"/>
            </w:tcBorders>
            <w:vAlign w:val="bottom"/>
          </w:tcPr>
          <w:p w14:paraId="0F6A7940" w14:textId="77777777" w:rsidR="00A12E7B" w:rsidRPr="00A83354" w:rsidRDefault="00A12E7B" w:rsidP="006976C4">
            <w:pPr>
              <w:pStyle w:val="NoSpacing"/>
              <w:spacing w:line="240" w:lineRule="auto"/>
              <w:rPr>
                <w:b/>
                <w:color w:val="005190"/>
                <w:sz w:val="14"/>
              </w:rPr>
            </w:pPr>
            <w:r w:rsidRPr="00A83354">
              <w:rPr>
                <w:b/>
                <w:color w:val="005190"/>
                <w:sz w:val="14"/>
              </w:rPr>
              <w:t>DATE(S) / TIME</w:t>
            </w:r>
          </w:p>
        </w:tc>
      </w:tr>
      <w:tr w:rsidR="00A12E7B" w14:paraId="733A9EC3" w14:textId="77777777" w:rsidTr="006976C4">
        <w:trPr>
          <w:cantSplit/>
        </w:trPr>
        <w:tc>
          <w:tcPr>
            <w:tcW w:w="3828" w:type="dxa"/>
            <w:tcBorders>
              <w:top w:val="single" w:sz="18" w:space="0" w:color="005190"/>
              <w:bottom w:val="single" w:sz="4" w:space="0" w:color="A6A6A6" w:themeColor="background1" w:themeShade="A6"/>
            </w:tcBorders>
          </w:tcPr>
          <w:p w14:paraId="3C42EA3A" w14:textId="77777777" w:rsidR="00A12E7B" w:rsidRPr="00A83354" w:rsidRDefault="00A12E7B" w:rsidP="006976C4">
            <w:pPr>
              <w:pStyle w:val="NoSpacing"/>
              <w:spacing w:line="240" w:lineRule="auto"/>
              <w:rPr>
                <w:sz w:val="16"/>
              </w:rPr>
            </w:pPr>
            <w:r w:rsidRPr="00A83354">
              <w:rPr>
                <w:sz w:val="16"/>
              </w:rPr>
              <w:t>Advertisement of Invitation to Tender</w:t>
            </w:r>
          </w:p>
        </w:tc>
        <w:tc>
          <w:tcPr>
            <w:tcW w:w="2835" w:type="dxa"/>
            <w:tcBorders>
              <w:top w:val="single" w:sz="18" w:space="0" w:color="005190"/>
              <w:bottom w:val="single" w:sz="4" w:space="0" w:color="A6A6A6" w:themeColor="background1" w:themeShade="A6"/>
            </w:tcBorders>
          </w:tcPr>
          <w:p w14:paraId="6E209680" w14:textId="2AB55221" w:rsidR="00A12E7B" w:rsidRPr="00054D89" w:rsidRDefault="00E826F2" w:rsidP="006976C4">
            <w:pPr>
              <w:pStyle w:val="NoSpacing"/>
              <w:spacing w:line="240" w:lineRule="auto"/>
              <w:rPr>
                <w:sz w:val="16"/>
              </w:rPr>
            </w:pPr>
            <w:r>
              <w:rPr>
                <w:sz w:val="16"/>
              </w:rPr>
              <w:t>Thursday 12</w:t>
            </w:r>
            <w:r w:rsidR="006142B2" w:rsidRPr="006142B2">
              <w:rPr>
                <w:sz w:val="16"/>
                <w:vertAlign w:val="superscript"/>
              </w:rPr>
              <w:t>th</w:t>
            </w:r>
            <w:r w:rsidR="00BB4C8B">
              <w:rPr>
                <w:sz w:val="16"/>
              </w:rPr>
              <w:t xml:space="preserve"> September 2019</w:t>
            </w:r>
          </w:p>
        </w:tc>
      </w:tr>
      <w:tr w:rsidR="00A12E7B" w14:paraId="3E723F2A"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2AE99F32" w14:textId="77777777" w:rsidR="00A12E7B" w:rsidRPr="00A83354" w:rsidRDefault="00A12E7B" w:rsidP="006976C4">
            <w:pPr>
              <w:pStyle w:val="NoSpacing"/>
              <w:spacing w:line="240" w:lineRule="auto"/>
              <w:rPr>
                <w:sz w:val="16"/>
              </w:rPr>
            </w:pPr>
            <w:r w:rsidRPr="00A83354">
              <w:rPr>
                <w:sz w:val="16"/>
              </w:rPr>
              <w:t>Site visits (if applicable)</w:t>
            </w:r>
          </w:p>
        </w:tc>
        <w:tc>
          <w:tcPr>
            <w:tcW w:w="2835" w:type="dxa"/>
            <w:tcBorders>
              <w:top w:val="single" w:sz="4" w:space="0" w:color="A6A6A6" w:themeColor="background1" w:themeShade="A6"/>
              <w:bottom w:val="single" w:sz="4" w:space="0" w:color="A6A6A6" w:themeColor="background1" w:themeShade="A6"/>
            </w:tcBorders>
          </w:tcPr>
          <w:p w14:paraId="5F8CFA7C" w14:textId="77777777" w:rsidR="00A12E7B" w:rsidRPr="00054D89" w:rsidRDefault="003E6A53" w:rsidP="006976C4">
            <w:pPr>
              <w:pStyle w:val="NoSpacing"/>
              <w:spacing w:line="240" w:lineRule="auto"/>
              <w:rPr>
                <w:sz w:val="16"/>
              </w:rPr>
            </w:pPr>
            <w:r w:rsidRPr="00054D89">
              <w:rPr>
                <w:sz w:val="16"/>
              </w:rPr>
              <w:t>N/A</w:t>
            </w:r>
          </w:p>
        </w:tc>
      </w:tr>
      <w:tr w:rsidR="00A12E7B" w14:paraId="2457A35F"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3FEDF91D" w14:textId="77777777" w:rsidR="00A12E7B" w:rsidRPr="00A83354" w:rsidRDefault="00A12E7B" w:rsidP="006976C4">
            <w:pPr>
              <w:pStyle w:val="NoSpacing"/>
              <w:spacing w:line="240" w:lineRule="auto"/>
              <w:rPr>
                <w:sz w:val="16"/>
              </w:rPr>
            </w:pPr>
            <w:r>
              <w:rPr>
                <w:sz w:val="16"/>
              </w:rPr>
              <w:t>Deadline for Clarifications</w:t>
            </w:r>
          </w:p>
        </w:tc>
        <w:tc>
          <w:tcPr>
            <w:tcW w:w="2835" w:type="dxa"/>
            <w:tcBorders>
              <w:top w:val="single" w:sz="4" w:space="0" w:color="A6A6A6" w:themeColor="background1" w:themeShade="A6"/>
              <w:bottom w:val="single" w:sz="4" w:space="0" w:color="A6A6A6" w:themeColor="background1" w:themeShade="A6"/>
            </w:tcBorders>
          </w:tcPr>
          <w:p w14:paraId="277A929F" w14:textId="091C9083" w:rsidR="00A12E7B" w:rsidRPr="00054D89" w:rsidRDefault="00E826F2" w:rsidP="00C93288">
            <w:pPr>
              <w:pStyle w:val="NoSpacing"/>
              <w:spacing w:line="240" w:lineRule="auto"/>
              <w:rPr>
                <w:sz w:val="16"/>
              </w:rPr>
            </w:pPr>
            <w:r>
              <w:rPr>
                <w:sz w:val="16"/>
              </w:rPr>
              <w:t>Wednesday 25</w:t>
            </w:r>
            <w:r w:rsidRPr="00E826F2">
              <w:rPr>
                <w:sz w:val="16"/>
                <w:vertAlign w:val="superscript"/>
              </w:rPr>
              <w:t>th</w:t>
            </w:r>
            <w:r>
              <w:rPr>
                <w:sz w:val="16"/>
              </w:rPr>
              <w:t xml:space="preserve"> </w:t>
            </w:r>
            <w:r w:rsidR="006142B2">
              <w:rPr>
                <w:sz w:val="16"/>
              </w:rPr>
              <w:t>September 2019</w:t>
            </w:r>
          </w:p>
        </w:tc>
      </w:tr>
      <w:tr w:rsidR="00A12E7B" w14:paraId="24C58ADD"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51234389" w14:textId="77777777" w:rsidR="00A12E7B" w:rsidRPr="00A83354" w:rsidRDefault="00A12E7B" w:rsidP="006976C4">
            <w:pPr>
              <w:pStyle w:val="NoSpacing"/>
              <w:spacing w:line="240" w:lineRule="auto"/>
              <w:rPr>
                <w:sz w:val="16"/>
              </w:rPr>
            </w:pPr>
            <w:r w:rsidRPr="00A83354">
              <w:rPr>
                <w:sz w:val="16"/>
              </w:rPr>
              <w:t>Submission of Tenders (closing date)</w:t>
            </w:r>
          </w:p>
        </w:tc>
        <w:tc>
          <w:tcPr>
            <w:tcW w:w="2835" w:type="dxa"/>
            <w:tcBorders>
              <w:top w:val="single" w:sz="4" w:space="0" w:color="A6A6A6" w:themeColor="background1" w:themeShade="A6"/>
              <w:bottom w:val="single" w:sz="4" w:space="0" w:color="A6A6A6" w:themeColor="background1" w:themeShade="A6"/>
            </w:tcBorders>
          </w:tcPr>
          <w:p w14:paraId="50E2B84F" w14:textId="27E0A0DF" w:rsidR="00A12E7B" w:rsidRPr="00054D89" w:rsidRDefault="00E826F2" w:rsidP="00171811">
            <w:pPr>
              <w:pStyle w:val="NoSpacing"/>
              <w:spacing w:line="240" w:lineRule="auto"/>
              <w:rPr>
                <w:sz w:val="16"/>
              </w:rPr>
            </w:pPr>
            <w:r>
              <w:rPr>
                <w:sz w:val="16"/>
              </w:rPr>
              <w:t>Friday 27</w:t>
            </w:r>
            <w:r w:rsidRPr="00E826F2">
              <w:rPr>
                <w:sz w:val="16"/>
                <w:vertAlign w:val="superscript"/>
              </w:rPr>
              <w:t>th</w:t>
            </w:r>
            <w:r w:rsidR="006142B2">
              <w:rPr>
                <w:sz w:val="16"/>
              </w:rPr>
              <w:t xml:space="preserve"> September 2019</w:t>
            </w:r>
          </w:p>
        </w:tc>
      </w:tr>
      <w:tr w:rsidR="00A12E7B" w14:paraId="48B06C95"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496D03CC" w14:textId="77777777" w:rsidR="00A12E7B" w:rsidRPr="00A83354" w:rsidRDefault="00A12E7B" w:rsidP="006976C4">
            <w:pPr>
              <w:pStyle w:val="NoSpacing"/>
              <w:spacing w:line="240" w:lineRule="auto"/>
              <w:rPr>
                <w:sz w:val="16"/>
              </w:rPr>
            </w:pPr>
            <w:r w:rsidRPr="00A83354">
              <w:rPr>
                <w:sz w:val="16"/>
              </w:rPr>
              <w:t>Evaluation of Tenders</w:t>
            </w:r>
          </w:p>
        </w:tc>
        <w:tc>
          <w:tcPr>
            <w:tcW w:w="2835" w:type="dxa"/>
            <w:tcBorders>
              <w:top w:val="single" w:sz="4" w:space="0" w:color="A6A6A6" w:themeColor="background1" w:themeShade="A6"/>
              <w:bottom w:val="single" w:sz="4" w:space="0" w:color="A6A6A6" w:themeColor="background1" w:themeShade="A6"/>
            </w:tcBorders>
          </w:tcPr>
          <w:p w14:paraId="763775D5" w14:textId="1A5C63E6" w:rsidR="00A12E7B" w:rsidRPr="00054D89" w:rsidRDefault="00BB4C8B" w:rsidP="00171811">
            <w:pPr>
              <w:pStyle w:val="NoSpacing"/>
              <w:spacing w:line="240" w:lineRule="auto"/>
              <w:rPr>
                <w:sz w:val="16"/>
              </w:rPr>
            </w:pPr>
            <w:r>
              <w:rPr>
                <w:sz w:val="16"/>
              </w:rPr>
              <w:t>September 2019</w:t>
            </w:r>
          </w:p>
        </w:tc>
      </w:tr>
      <w:tr w:rsidR="00A12E7B" w14:paraId="7F892C66"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334261E0" w14:textId="77777777" w:rsidR="00A12E7B" w:rsidRPr="00A83354" w:rsidRDefault="00A12E7B" w:rsidP="006976C4">
            <w:pPr>
              <w:pStyle w:val="NoSpacing"/>
              <w:spacing w:line="240" w:lineRule="auto"/>
              <w:rPr>
                <w:sz w:val="16"/>
              </w:rPr>
            </w:pPr>
            <w:r w:rsidRPr="00A83354">
              <w:rPr>
                <w:sz w:val="16"/>
              </w:rPr>
              <w:t>Clarification meetings (if applicable)</w:t>
            </w:r>
          </w:p>
        </w:tc>
        <w:tc>
          <w:tcPr>
            <w:tcW w:w="2835" w:type="dxa"/>
            <w:tcBorders>
              <w:top w:val="single" w:sz="4" w:space="0" w:color="A6A6A6" w:themeColor="background1" w:themeShade="A6"/>
              <w:bottom w:val="single" w:sz="4" w:space="0" w:color="A6A6A6" w:themeColor="background1" w:themeShade="A6"/>
            </w:tcBorders>
          </w:tcPr>
          <w:p w14:paraId="14B1AEBC" w14:textId="77777777" w:rsidR="00A12E7B" w:rsidRPr="00054D89" w:rsidRDefault="003E6A53" w:rsidP="006976C4">
            <w:pPr>
              <w:pStyle w:val="NoSpacing"/>
              <w:spacing w:line="240" w:lineRule="auto"/>
              <w:rPr>
                <w:sz w:val="16"/>
              </w:rPr>
            </w:pPr>
            <w:r w:rsidRPr="00054D89">
              <w:rPr>
                <w:sz w:val="16"/>
              </w:rPr>
              <w:t>N/A</w:t>
            </w:r>
          </w:p>
        </w:tc>
      </w:tr>
      <w:tr w:rsidR="00A12E7B" w14:paraId="0B15F5B5"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4C79378B" w14:textId="77777777" w:rsidR="00A12E7B" w:rsidRPr="00A83354" w:rsidRDefault="00A12E7B" w:rsidP="006976C4">
            <w:pPr>
              <w:pStyle w:val="NoSpacing"/>
              <w:spacing w:line="240" w:lineRule="auto"/>
              <w:rPr>
                <w:sz w:val="16"/>
              </w:rPr>
            </w:pPr>
            <w:r w:rsidRPr="00A83354">
              <w:rPr>
                <w:sz w:val="16"/>
              </w:rPr>
              <w:t>Expected date of award of Contract</w:t>
            </w:r>
          </w:p>
        </w:tc>
        <w:tc>
          <w:tcPr>
            <w:tcW w:w="2835" w:type="dxa"/>
            <w:tcBorders>
              <w:top w:val="single" w:sz="4" w:space="0" w:color="A6A6A6" w:themeColor="background1" w:themeShade="A6"/>
              <w:bottom w:val="single" w:sz="4" w:space="0" w:color="A6A6A6" w:themeColor="background1" w:themeShade="A6"/>
            </w:tcBorders>
          </w:tcPr>
          <w:p w14:paraId="6154BE50" w14:textId="2F340EE5" w:rsidR="00A12E7B" w:rsidRPr="00054D89" w:rsidRDefault="00AC1233" w:rsidP="006976C4">
            <w:pPr>
              <w:pStyle w:val="NoSpacing"/>
              <w:spacing w:line="240" w:lineRule="auto"/>
              <w:rPr>
                <w:sz w:val="16"/>
              </w:rPr>
            </w:pPr>
            <w:r>
              <w:rPr>
                <w:sz w:val="16"/>
              </w:rPr>
              <w:t>October 2019</w:t>
            </w:r>
          </w:p>
        </w:tc>
      </w:tr>
      <w:tr w:rsidR="00A12E7B" w14:paraId="4C3FB73A" w14:textId="77777777" w:rsidTr="006976C4">
        <w:trPr>
          <w:cantSplit/>
        </w:trPr>
        <w:tc>
          <w:tcPr>
            <w:tcW w:w="3828" w:type="dxa"/>
            <w:tcBorders>
              <w:top w:val="single" w:sz="4" w:space="0" w:color="A6A6A6" w:themeColor="background1" w:themeShade="A6"/>
              <w:bottom w:val="single" w:sz="4" w:space="0" w:color="A6A6A6" w:themeColor="background1" w:themeShade="A6"/>
            </w:tcBorders>
          </w:tcPr>
          <w:p w14:paraId="647FD0C8" w14:textId="77777777" w:rsidR="00A12E7B" w:rsidRPr="00A83354" w:rsidRDefault="00A12E7B" w:rsidP="006976C4">
            <w:pPr>
              <w:pStyle w:val="NoSpacing"/>
              <w:spacing w:line="240" w:lineRule="auto"/>
              <w:rPr>
                <w:sz w:val="16"/>
              </w:rPr>
            </w:pPr>
            <w:r w:rsidRPr="00A83354">
              <w:rPr>
                <w:sz w:val="16"/>
              </w:rPr>
              <w:t>Contract commencement</w:t>
            </w:r>
          </w:p>
        </w:tc>
        <w:tc>
          <w:tcPr>
            <w:tcW w:w="2835" w:type="dxa"/>
            <w:tcBorders>
              <w:top w:val="single" w:sz="4" w:space="0" w:color="A6A6A6" w:themeColor="background1" w:themeShade="A6"/>
              <w:bottom w:val="single" w:sz="4" w:space="0" w:color="A6A6A6" w:themeColor="background1" w:themeShade="A6"/>
            </w:tcBorders>
          </w:tcPr>
          <w:p w14:paraId="1679730F" w14:textId="05746C60" w:rsidR="00A12E7B" w:rsidRPr="00054D89" w:rsidRDefault="00AC1233" w:rsidP="006976C4">
            <w:pPr>
              <w:pStyle w:val="NoSpacing"/>
              <w:spacing w:line="240" w:lineRule="auto"/>
              <w:rPr>
                <w:sz w:val="16"/>
              </w:rPr>
            </w:pPr>
            <w:r>
              <w:rPr>
                <w:sz w:val="16"/>
              </w:rPr>
              <w:t>October 2019</w:t>
            </w:r>
          </w:p>
        </w:tc>
      </w:tr>
    </w:tbl>
    <w:p w14:paraId="43650F6D" w14:textId="77777777" w:rsidR="00A12E7B" w:rsidRDefault="00A12E7B" w:rsidP="00A12E7B"/>
    <w:p w14:paraId="170D9CE5" w14:textId="77777777" w:rsidR="00A12E7B" w:rsidRDefault="00A12E7B" w:rsidP="00A12E7B">
      <w:pPr>
        <w:pStyle w:val="Ref-Lvl1"/>
      </w:pPr>
      <w:r>
        <w:lastRenderedPageBreak/>
        <w:t>Selection &amp; Award Criteria</w:t>
      </w:r>
    </w:p>
    <w:p w14:paraId="2C50D2A6" w14:textId="1460C8FE" w:rsidR="00AE2552" w:rsidRDefault="00A12E7B" w:rsidP="00AC1233">
      <w:r>
        <w:t>Each tender will be assessed by an evaluation panel.  Selection Criteria will be based on compliance with the Authority’s specification and the following:</w:t>
      </w:r>
    </w:p>
    <w:p w14:paraId="1E99B8C9" w14:textId="77777777" w:rsidR="00A12E7B" w:rsidRDefault="00A12E7B" w:rsidP="00A12E7B">
      <w:pPr>
        <w:pStyle w:val="Heading2"/>
      </w:pPr>
      <w:r>
        <w:t>Selection Criteria</w:t>
      </w:r>
    </w:p>
    <w:p w14:paraId="0A52C935" w14:textId="77777777" w:rsidR="00A12E7B" w:rsidRDefault="00A12E7B" w:rsidP="00A12E7B">
      <w:r>
        <w:t xml:space="preserve">Selection Criteria will be based on compliance with the completion and return of the following – </w:t>
      </w:r>
    </w:p>
    <w:p w14:paraId="24FDB3CF" w14:textId="77777777" w:rsidR="00A12E7B" w:rsidRPr="00FE4083" w:rsidRDefault="00A12E7B" w:rsidP="00A12E7B">
      <w:pPr>
        <w:pStyle w:val="ListParagraph"/>
        <w:numPr>
          <w:ilvl w:val="0"/>
          <w:numId w:val="5"/>
        </w:numPr>
      </w:pPr>
      <w:r w:rsidRPr="00FE4083">
        <w:t>Bidder Information Form (BIF</w:t>
      </w:r>
      <w:r w:rsidR="003A02D1" w:rsidRPr="00FE4083">
        <w:t>)</w:t>
      </w:r>
    </w:p>
    <w:p w14:paraId="33E7DB36" w14:textId="77777777" w:rsidR="00A12E7B" w:rsidRPr="00FE4083" w:rsidRDefault="00A12E7B" w:rsidP="00A12E7B">
      <w:pPr>
        <w:pStyle w:val="ListParagraph"/>
        <w:numPr>
          <w:ilvl w:val="0"/>
          <w:numId w:val="5"/>
        </w:numPr>
      </w:pPr>
      <w:r w:rsidRPr="00FE4083">
        <w:t xml:space="preserve">Response to Tender </w:t>
      </w:r>
    </w:p>
    <w:p w14:paraId="60D181FE" w14:textId="77777777" w:rsidR="00A12E7B" w:rsidRPr="00FE4083" w:rsidRDefault="00A12E7B" w:rsidP="00A12E7B">
      <w:pPr>
        <w:pStyle w:val="ListParagraph"/>
        <w:numPr>
          <w:ilvl w:val="0"/>
          <w:numId w:val="5"/>
        </w:numPr>
      </w:pPr>
      <w:r w:rsidRPr="00FE4083">
        <w:t>Binding Offer</w:t>
      </w:r>
    </w:p>
    <w:p w14:paraId="6074C786" w14:textId="77777777" w:rsidR="00A12E7B" w:rsidRPr="00FE4083" w:rsidRDefault="00A12E7B" w:rsidP="00A12E7B">
      <w:pPr>
        <w:pStyle w:val="ListParagraph"/>
        <w:numPr>
          <w:ilvl w:val="0"/>
          <w:numId w:val="5"/>
        </w:numPr>
      </w:pPr>
      <w:r w:rsidRPr="00FE4083">
        <w:t>Pricing Schedule</w:t>
      </w:r>
    </w:p>
    <w:p w14:paraId="35B210E2" w14:textId="0B3E6B9F" w:rsidR="00171811" w:rsidRDefault="00A12E7B" w:rsidP="00A12E7B">
      <w:r>
        <w:t xml:space="preserve">Bids will be evaluated on a Pass/Fail basis in line with the successful completion of the above listed documents. </w:t>
      </w:r>
      <w:r w:rsidRPr="009C5352">
        <w:t xml:space="preserve">CPI is not obliged to accept and/or consider incomplete tenders that do not contain all information and particulars requested and those such tenders may be rejected at any stage of the evaluation process. </w:t>
      </w:r>
    </w:p>
    <w:p w14:paraId="46AD01FA" w14:textId="77777777" w:rsidR="00A12E7B" w:rsidRDefault="00A12E7B" w:rsidP="00A12E7B">
      <w:pPr>
        <w:pStyle w:val="Heading2"/>
      </w:pPr>
      <w:r>
        <w:t>Award Criteria</w:t>
      </w:r>
    </w:p>
    <w:p w14:paraId="0849685C" w14:textId="7B75E5D9" w:rsidR="00FC478F" w:rsidRDefault="00A12E7B" w:rsidP="00A12E7B">
      <w:r>
        <w:t>Will be ascertained by the combined scores out of 100% (see Award Criteria Ratio,) as to whom is successfully awarded.</w:t>
      </w:r>
    </w:p>
    <w:p w14:paraId="4EE1BE57" w14:textId="5E41C4C8" w:rsidR="00510E05" w:rsidRDefault="00A12E7B" w:rsidP="00AC1233">
      <w:pPr>
        <w:pStyle w:val="Ref-Lvl1"/>
      </w:pPr>
      <w:r>
        <w:t>Evaluation Scoring and Weightings</w:t>
      </w:r>
    </w:p>
    <w:p w14:paraId="1C271FD3" w14:textId="00B221C2" w:rsidR="00AC1233" w:rsidRPr="00AC1233" w:rsidRDefault="00AC1233" w:rsidP="00AC1233">
      <w:pPr>
        <w:pStyle w:val="Ref-Lvl1"/>
        <w:numPr>
          <w:ilvl w:val="0"/>
          <w:numId w:val="0"/>
        </w:numPr>
        <w:rPr>
          <w:sz w:val="24"/>
        </w:rPr>
      </w:pPr>
      <w:r w:rsidRPr="00AC1233">
        <w:rPr>
          <w:sz w:val="24"/>
        </w:rPr>
        <w:t>All Lots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134"/>
        <w:gridCol w:w="6237"/>
        <w:gridCol w:w="1418"/>
        <w:gridCol w:w="1417"/>
      </w:tblGrid>
      <w:tr w:rsidR="00510E05" w:rsidRPr="00302690" w14:paraId="41E9E219" w14:textId="77777777" w:rsidTr="006976C4">
        <w:trPr>
          <w:cantSplit/>
        </w:trPr>
        <w:tc>
          <w:tcPr>
            <w:tcW w:w="1134" w:type="dxa"/>
            <w:tcBorders>
              <w:bottom w:val="single" w:sz="18" w:space="0" w:color="005190"/>
            </w:tcBorders>
            <w:vAlign w:val="bottom"/>
          </w:tcPr>
          <w:p w14:paraId="454FFDD3" w14:textId="77777777" w:rsidR="00510E05" w:rsidRPr="00302690" w:rsidRDefault="00510E05" w:rsidP="006976C4">
            <w:pPr>
              <w:pStyle w:val="NoSpacing"/>
              <w:spacing w:line="240" w:lineRule="auto"/>
              <w:jc w:val="center"/>
              <w:rPr>
                <w:b/>
                <w:color w:val="005190"/>
                <w:sz w:val="14"/>
              </w:rPr>
            </w:pPr>
            <w:r w:rsidRPr="00302690">
              <w:rPr>
                <w:b/>
                <w:color w:val="005190"/>
                <w:sz w:val="14"/>
              </w:rPr>
              <w:t>Question Number</w:t>
            </w:r>
          </w:p>
        </w:tc>
        <w:tc>
          <w:tcPr>
            <w:tcW w:w="6237" w:type="dxa"/>
            <w:tcBorders>
              <w:bottom w:val="single" w:sz="18" w:space="0" w:color="005190"/>
            </w:tcBorders>
            <w:vAlign w:val="bottom"/>
          </w:tcPr>
          <w:p w14:paraId="28C968E9" w14:textId="77777777" w:rsidR="00510E05" w:rsidRPr="00302690" w:rsidRDefault="00510E05" w:rsidP="006976C4">
            <w:pPr>
              <w:pStyle w:val="NoSpacing"/>
              <w:spacing w:line="240" w:lineRule="auto"/>
              <w:rPr>
                <w:b/>
                <w:color w:val="005190"/>
                <w:sz w:val="14"/>
              </w:rPr>
            </w:pPr>
            <w:r w:rsidRPr="00302690">
              <w:rPr>
                <w:b/>
                <w:color w:val="005190"/>
                <w:sz w:val="14"/>
              </w:rPr>
              <w:t>QUALITY RESPONSE</w:t>
            </w:r>
          </w:p>
          <w:p w14:paraId="51CA83A4" w14:textId="77777777" w:rsidR="00510E05" w:rsidRPr="00302690" w:rsidRDefault="00510E05" w:rsidP="006976C4">
            <w:pPr>
              <w:pStyle w:val="NoSpacing"/>
              <w:spacing w:line="240" w:lineRule="auto"/>
              <w:rPr>
                <w:color w:val="005190"/>
                <w:sz w:val="14"/>
              </w:rPr>
            </w:pPr>
            <w:r w:rsidRPr="00302690">
              <w:rPr>
                <w:color w:val="005190"/>
                <w:sz w:val="14"/>
              </w:rPr>
              <w:t>(Questions relating to the specification / requirements)</w:t>
            </w:r>
          </w:p>
        </w:tc>
        <w:tc>
          <w:tcPr>
            <w:tcW w:w="1418" w:type="dxa"/>
            <w:tcBorders>
              <w:bottom w:val="single" w:sz="18" w:space="0" w:color="005190"/>
            </w:tcBorders>
            <w:vAlign w:val="bottom"/>
          </w:tcPr>
          <w:p w14:paraId="612911FA" w14:textId="77777777" w:rsidR="00510E05" w:rsidRPr="00302690" w:rsidRDefault="00510E05" w:rsidP="006976C4">
            <w:pPr>
              <w:pStyle w:val="NoSpacing"/>
              <w:spacing w:line="240" w:lineRule="auto"/>
              <w:jc w:val="center"/>
              <w:rPr>
                <w:b/>
                <w:color w:val="005190"/>
                <w:sz w:val="14"/>
              </w:rPr>
            </w:pPr>
            <w:r w:rsidRPr="00302690">
              <w:rPr>
                <w:b/>
                <w:color w:val="005190"/>
                <w:sz w:val="14"/>
              </w:rPr>
              <w:t>SCORE RANGE</w:t>
            </w:r>
          </w:p>
        </w:tc>
        <w:tc>
          <w:tcPr>
            <w:tcW w:w="1417" w:type="dxa"/>
            <w:tcBorders>
              <w:bottom w:val="single" w:sz="18" w:space="0" w:color="005190"/>
            </w:tcBorders>
            <w:vAlign w:val="bottom"/>
          </w:tcPr>
          <w:p w14:paraId="7FA39722" w14:textId="77777777" w:rsidR="00510E05" w:rsidRPr="00302690" w:rsidRDefault="00510E05" w:rsidP="006976C4">
            <w:pPr>
              <w:pStyle w:val="NoSpacing"/>
              <w:spacing w:line="240" w:lineRule="auto"/>
              <w:jc w:val="center"/>
              <w:rPr>
                <w:b/>
                <w:color w:val="005190"/>
                <w:sz w:val="14"/>
              </w:rPr>
            </w:pPr>
            <w:r w:rsidRPr="00302690">
              <w:rPr>
                <w:b/>
                <w:color w:val="005190"/>
                <w:sz w:val="14"/>
              </w:rPr>
              <w:t>WEIGHTING</w:t>
            </w:r>
          </w:p>
        </w:tc>
      </w:tr>
      <w:tr w:rsidR="00510E05" w:rsidRPr="00302690" w14:paraId="728460DF" w14:textId="77777777" w:rsidTr="006976C4">
        <w:trPr>
          <w:cantSplit/>
        </w:trPr>
        <w:tc>
          <w:tcPr>
            <w:tcW w:w="1134" w:type="dxa"/>
            <w:tcBorders>
              <w:top w:val="single" w:sz="18" w:space="0" w:color="005190"/>
              <w:bottom w:val="single" w:sz="4" w:space="0" w:color="A6A6A6" w:themeColor="background1" w:themeShade="A6"/>
            </w:tcBorders>
          </w:tcPr>
          <w:p w14:paraId="44939E8A" w14:textId="77777777" w:rsidR="00510E05" w:rsidRPr="00302690" w:rsidRDefault="00510E05" w:rsidP="006976C4">
            <w:pPr>
              <w:pStyle w:val="NoSpacing"/>
              <w:spacing w:line="240" w:lineRule="auto"/>
              <w:jc w:val="center"/>
              <w:rPr>
                <w:sz w:val="16"/>
              </w:rPr>
            </w:pPr>
            <w:r w:rsidRPr="00302690">
              <w:rPr>
                <w:sz w:val="16"/>
              </w:rPr>
              <w:t>1</w:t>
            </w:r>
          </w:p>
        </w:tc>
        <w:tc>
          <w:tcPr>
            <w:tcW w:w="6237" w:type="dxa"/>
            <w:tcBorders>
              <w:top w:val="single" w:sz="18" w:space="0" w:color="005190"/>
              <w:bottom w:val="single" w:sz="4" w:space="0" w:color="A6A6A6" w:themeColor="background1" w:themeShade="A6"/>
            </w:tcBorders>
          </w:tcPr>
          <w:p w14:paraId="6E35FC95" w14:textId="3F9EF38A" w:rsidR="00510E05" w:rsidRPr="00302690" w:rsidRDefault="0061668F" w:rsidP="006976C4">
            <w:pPr>
              <w:pStyle w:val="NoSpacing"/>
              <w:spacing w:line="240" w:lineRule="auto"/>
              <w:rPr>
                <w:sz w:val="16"/>
              </w:rPr>
            </w:pPr>
            <w:r>
              <w:rPr>
                <w:sz w:val="16"/>
              </w:rPr>
              <w:t>Methodology</w:t>
            </w:r>
          </w:p>
        </w:tc>
        <w:tc>
          <w:tcPr>
            <w:tcW w:w="1418" w:type="dxa"/>
            <w:tcBorders>
              <w:top w:val="single" w:sz="18" w:space="0" w:color="005190"/>
              <w:bottom w:val="single" w:sz="4" w:space="0" w:color="A6A6A6" w:themeColor="background1" w:themeShade="A6"/>
            </w:tcBorders>
          </w:tcPr>
          <w:p w14:paraId="2827C1EA" w14:textId="77777777" w:rsidR="00510E05" w:rsidRPr="00302690" w:rsidRDefault="00510E05" w:rsidP="006976C4">
            <w:pPr>
              <w:pStyle w:val="NoSpacing"/>
              <w:spacing w:line="240" w:lineRule="auto"/>
              <w:jc w:val="center"/>
              <w:rPr>
                <w:sz w:val="16"/>
              </w:rPr>
            </w:pPr>
            <w:r w:rsidRPr="00302690">
              <w:rPr>
                <w:sz w:val="16"/>
              </w:rPr>
              <w:t>0-5</w:t>
            </w:r>
          </w:p>
        </w:tc>
        <w:tc>
          <w:tcPr>
            <w:tcW w:w="1417" w:type="dxa"/>
            <w:tcBorders>
              <w:top w:val="single" w:sz="18" w:space="0" w:color="005190"/>
              <w:bottom w:val="single" w:sz="4" w:space="0" w:color="A6A6A6" w:themeColor="background1" w:themeShade="A6"/>
            </w:tcBorders>
          </w:tcPr>
          <w:p w14:paraId="1846E322" w14:textId="5A9F0852" w:rsidR="00510E05" w:rsidRPr="00302690" w:rsidRDefault="006976C4" w:rsidP="006976C4">
            <w:pPr>
              <w:pStyle w:val="NoSpacing"/>
              <w:spacing w:line="240" w:lineRule="auto"/>
              <w:jc w:val="center"/>
              <w:rPr>
                <w:sz w:val="16"/>
              </w:rPr>
            </w:pPr>
            <w:r>
              <w:rPr>
                <w:sz w:val="16"/>
              </w:rPr>
              <w:t>3</w:t>
            </w:r>
            <w:r w:rsidR="00510E05" w:rsidRPr="00302690">
              <w:rPr>
                <w:sz w:val="16"/>
              </w:rPr>
              <w:t>0%</w:t>
            </w:r>
          </w:p>
        </w:tc>
      </w:tr>
      <w:tr w:rsidR="00510E05" w:rsidRPr="00302690" w14:paraId="2E74A0F5" w14:textId="77777777" w:rsidTr="006976C4">
        <w:trPr>
          <w:cantSplit/>
        </w:trPr>
        <w:tc>
          <w:tcPr>
            <w:tcW w:w="1134" w:type="dxa"/>
            <w:tcBorders>
              <w:top w:val="single" w:sz="4" w:space="0" w:color="A6A6A6" w:themeColor="background1" w:themeShade="A6"/>
              <w:bottom w:val="single" w:sz="4" w:space="0" w:color="A6A6A6" w:themeColor="background1" w:themeShade="A6"/>
            </w:tcBorders>
          </w:tcPr>
          <w:p w14:paraId="5B853CD4" w14:textId="77777777" w:rsidR="00510E05" w:rsidRPr="00302690" w:rsidRDefault="00510E05" w:rsidP="006976C4">
            <w:pPr>
              <w:pStyle w:val="NoSpacing"/>
              <w:spacing w:line="240" w:lineRule="auto"/>
              <w:jc w:val="center"/>
              <w:rPr>
                <w:sz w:val="16"/>
              </w:rPr>
            </w:pPr>
            <w:r>
              <w:rPr>
                <w:sz w:val="16"/>
              </w:rPr>
              <w:t>2</w:t>
            </w:r>
          </w:p>
        </w:tc>
        <w:tc>
          <w:tcPr>
            <w:tcW w:w="6237" w:type="dxa"/>
            <w:tcBorders>
              <w:top w:val="single" w:sz="4" w:space="0" w:color="A6A6A6" w:themeColor="background1" w:themeShade="A6"/>
              <w:bottom w:val="single" w:sz="4" w:space="0" w:color="A6A6A6" w:themeColor="background1" w:themeShade="A6"/>
            </w:tcBorders>
          </w:tcPr>
          <w:p w14:paraId="217B678F" w14:textId="0FA8217E" w:rsidR="00510E05" w:rsidRPr="00302690" w:rsidRDefault="006976C4" w:rsidP="006976C4">
            <w:pPr>
              <w:pStyle w:val="NoSpacing"/>
              <w:spacing w:line="240" w:lineRule="auto"/>
              <w:rPr>
                <w:sz w:val="16"/>
              </w:rPr>
            </w:pPr>
            <w:r w:rsidRPr="003229D3">
              <w:rPr>
                <w:sz w:val="16"/>
              </w:rPr>
              <w:t>Lead Time / Average Turnaround for services rendered</w:t>
            </w:r>
          </w:p>
        </w:tc>
        <w:tc>
          <w:tcPr>
            <w:tcW w:w="1418" w:type="dxa"/>
            <w:tcBorders>
              <w:top w:val="single" w:sz="4" w:space="0" w:color="A6A6A6" w:themeColor="background1" w:themeShade="A6"/>
              <w:bottom w:val="single" w:sz="4" w:space="0" w:color="A6A6A6" w:themeColor="background1" w:themeShade="A6"/>
            </w:tcBorders>
          </w:tcPr>
          <w:p w14:paraId="1640AAEC" w14:textId="77777777" w:rsidR="00510E05" w:rsidRPr="00302690" w:rsidRDefault="00510E05" w:rsidP="006976C4">
            <w:pPr>
              <w:pStyle w:val="NoSpacing"/>
              <w:spacing w:line="240" w:lineRule="auto"/>
              <w:jc w:val="center"/>
              <w:rPr>
                <w:sz w:val="16"/>
              </w:rPr>
            </w:pPr>
            <w:r w:rsidRPr="00302690">
              <w:rPr>
                <w:sz w:val="16"/>
              </w:rPr>
              <w:t>0-5</w:t>
            </w:r>
          </w:p>
        </w:tc>
        <w:tc>
          <w:tcPr>
            <w:tcW w:w="1417" w:type="dxa"/>
            <w:tcBorders>
              <w:top w:val="single" w:sz="4" w:space="0" w:color="A6A6A6" w:themeColor="background1" w:themeShade="A6"/>
              <w:bottom w:val="single" w:sz="4" w:space="0" w:color="A6A6A6" w:themeColor="background1" w:themeShade="A6"/>
            </w:tcBorders>
          </w:tcPr>
          <w:p w14:paraId="49E9EEA2" w14:textId="364690C6" w:rsidR="00510E05" w:rsidRPr="00302690" w:rsidRDefault="006976C4" w:rsidP="006976C4">
            <w:pPr>
              <w:pStyle w:val="NoSpacing"/>
              <w:spacing w:line="240" w:lineRule="auto"/>
              <w:jc w:val="center"/>
              <w:rPr>
                <w:sz w:val="16"/>
              </w:rPr>
            </w:pPr>
            <w:r>
              <w:rPr>
                <w:sz w:val="16"/>
              </w:rPr>
              <w:t>2</w:t>
            </w:r>
            <w:r w:rsidR="00510E05" w:rsidRPr="00302690">
              <w:rPr>
                <w:sz w:val="16"/>
              </w:rPr>
              <w:t>0%</w:t>
            </w:r>
          </w:p>
        </w:tc>
      </w:tr>
      <w:tr w:rsidR="00510E05" w:rsidRPr="00302690" w14:paraId="19FD410E" w14:textId="77777777" w:rsidTr="006976C4">
        <w:trPr>
          <w:cantSplit/>
          <w:trHeight w:val="26"/>
        </w:trPr>
        <w:tc>
          <w:tcPr>
            <w:tcW w:w="1134" w:type="dxa"/>
            <w:tcBorders>
              <w:top w:val="single" w:sz="4" w:space="0" w:color="A6A6A6" w:themeColor="background1" w:themeShade="A6"/>
              <w:bottom w:val="single" w:sz="4" w:space="0" w:color="A6A6A6" w:themeColor="background1" w:themeShade="A6"/>
            </w:tcBorders>
          </w:tcPr>
          <w:p w14:paraId="4B4FA441" w14:textId="77777777" w:rsidR="00510E05" w:rsidRPr="00302690" w:rsidRDefault="00510E05" w:rsidP="006976C4">
            <w:pPr>
              <w:pStyle w:val="NoSpacing"/>
              <w:spacing w:line="240" w:lineRule="auto"/>
              <w:jc w:val="center"/>
              <w:rPr>
                <w:sz w:val="16"/>
              </w:rPr>
            </w:pPr>
            <w:r>
              <w:rPr>
                <w:sz w:val="16"/>
              </w:rPr>
              <w:t>3</w:t>
            </w:r>
          </w:p>
        </w:tc>
        <w:tc>
          <w:tcPr>
            <w:tcW w:w="6237" w:type="dxa"/>
            <w:tcBorders>
              <w:top w:val="single" w:sz="4" w:space="0" w:color="A6A6A6" w:themeColor="background1" w:themeShade="A6"/>
              <w:bottom w:val="single" w:sz="4" w:space="0" w:color="A6A6A6" w:themeColor="background1" w:themeShade="A6"/>
            </w:tcBorders>
          </w:tcPr>
          <w:p w14:paraId="495D35DE" w14:textId="77777777" w:rsidR="00510E05" w:rsidRPr="00302690" w:rsidRDefault="00510E05" w:rsidP="006976C4">
            <w:pPr>
              <w:pStyle w:val="NoSpacing"/>
              <w:spacing w:line="240" w:lineRule="auto"/>
              <w:rPr>
                <w:sz w:val="16"/>
              </w:rPr>
            </w:pPr>
            <w:r w:rsidRPr="00302690">
              <w:rPr>
                <w:sz w:val="16"/>
              </w:rPr>
              <w:t>Account Management</w:t>
            </w:r>
          </w:p>
        </w:tc>
        <w:tc>
          <w:tcPr>
            <w:tcW w:w="1418" w:type="dxa"/>
            <w:tcBorders>
              <w:top w:val="single" w:sz="4" w:space="0" w:color="A6A6A6" w:themeColor="background1" w:themeShade="A6"/>
              <w:bottom w:val="single" w:sz="4" w:space="0" w:color="A6A6A6" w:themeColor="background1" w:themeShade="A6"/>
            </w:tcBorders>
          </w:tcPr>
          <w:p w14:paraId="17E860D7" w14:textId="77777777" w:rsidR="00510E05" w:rsidRPr="00302690" w:rsidRDefault="00510E05" w:rsidP="006976C4">
            <w:pPr>
              <w:pStyle w:val="NoSpacing"/>
              <w:spacing w:line="240" w:lineRule="auto"/>
              <w:jc w:val="center"/>
              <w:rPr>
                <w:sz w:val="16"/>
              </w:rPr>
            </w:pPr>
            <w:r w:rsidRPr="00302690">
              <w:rPr>
                <w:sz w:val="16"/>
              </w:rPr>
              <w:t>0-5</w:t>
            </w:r>
          </w:p>
        </w:tc>
        <w:tc>
          <w:tcPr>
            <w:tcW w:w="1417" w:type="dxa"/>
            <w:tcBorders>
              <w:top w:val="single" w:sz="4" w:space="0" w:color="A6A6A6" w:themeColor="background1" w:themeShade="A6"/>
              <w:bottom w:val="single" w:sz="4" w:space="0" w:color="A6A6A6" w:themeColor="background1" w:themeShade="A6"/>
            </w:tcBorders>
          </w:tcPr>
          <w:p w14:paraId="48D7CDC1" w14:textId="77777777" w:rsidR="00510E05" w:rsidRPr="00302690" w:rsidRDefault="00510E05" w:rsidP="006976C4">
            <w:pPr>
              <w:pStyle w:val="NoSpacing"/>
              <w:spacing w:line="240" w:lineRule="auto"/>
              <w:jc w:val="center"/>
              <w:rPr>
                <w:sz w:val="16"/>
              </w:rPr>
            </w:pPr>
            <w:r w:rsidRPr="00302690">
              <w:rPr>
                <w:sz w:val="16"/>
              </w:rPr>
              <w:t>10%</w:t>
            </w:r>
          </w:p>
        </w:tc>
      </w:tr>
      <w:tr w:rsidR="00510E05" w:rsidRPr="00302690" w14:paraId="4DEFD68A" w14:textId="77777777" w:rsidTr="00D62E92">
        <w:trPr>
          <w:cantSplit/>
          <w:trHeight w:val="333"/>
        </w:trPr>
        <w:tc>
          <w:tcPr>
            <w:tcW w:w="1134" w:type="dxa"/>
            <w:tcBorders>
              <w:top w:val="single" w:sz="18" w:space="0" w:color="005190"/>
            </w:tcBorders>
          </w:tcPr>
          <w:p w14:paraId="23B564B2" w14:textId="77777777" w:rsidR="00510E05" w:rsidRPr="00302690" w:rsidRDefault="00510E05" w:rsidP="006976C4">
            <w:pPr>
              <w:pStyle w:val="NoSpacing"/>
              <w:spacing w:line="240" w:lineRule="auto"/>
              <w:jc w:val="center"/>
              <w:rPr>
                <w:sz w:val="16"/>
              </w:rPr>
            </w:pPr>
          </w:p>
        </w:tc>
        <w:tc>
          <w:tcPr>
            <w:tcW w:w="6237" w:type="dxa"/>
            <w:tcBorders>
              <w:top w:val="single" w:sz="18" w:space="0" w:color="005190"/>
            </w:tcBorders>
          </w:tcPr>
          <w:p w14:paraId="00E4B365" w14:textId="77777777" w:rsidR="00510E05" w:rsidRPr="00302690" w:rsidRDefault="00510E05" w:rsidP="006976C4">
            <w:pPr>
              <w:pStyle w:val="NoSpacing"/>
              <w:spacing w:line="240" w:lineRule="auto"/>
              <w:rPr>
                <w:sz w:val="16"/>
              </w:rPr>
            </w:pPr>
            <w:r w:rsidRPr="00302690">
              <w:rPr>
                <w:b/>
                <w:color w:val="005190"/>
                <w:sz w:val="18"/>
              </w:rPr>
              <w:t>Price</w:t>
            </w:r>
            <w:r w:rsidRPr="00302690">
              <w:rPr>
                <w:sz w:val="14"/>
              </w:rPr>
              <w:t xml:space="preserve"> </w:t>
            </w:r>
            <w:r w:rsidRPr="00302690">
              <w:rPr>
                <w:sz w:val="16"/>
              </w:rPr>
              <w:t>(See separate Pricing Schedule</w:t>
            </w:r>
          </w:p>
        </w:tc>
        <w:tc>
          <w:tcPr>
            <w:tcW w:w="1418" w:type="dxa"/>
            <w:tcBorders>
              <w:top w:val="single" w:sz="18" w:space="0" w:color="005190"/>
              <w:bottom w:val="single" w:sz="18" w:space="0" w:color="005190"/>
            </w:tcBorders>
          </w:tcPr>
          <w:p w14:paraId="60C2DC0B" w14:textId="21B7DAB3" w:rsidR="00510E05" w:rsidRPr="00302690" w:rsidRDefault="00510E05" w:rsidP="006976C4">
            <w:pPr>
              <w:pStyle w:val="NoSpacing"/>
              <w:spacing w:line="240" w:lineRule="auto"/>
              <w:jc w:val="center"/>
              <w:rPr>
                <w:sz w:val="16"/>
              </w:rPr>
            </w:pPr>
            <w:r w:rsidRPr="00302690">
              <w:rPr>
                <w:sz w:val="16"/>
              </w:rPr>
              <w:t>N/A</w:t>
            </w:r>
          </w:p>
        </w:tc>
        <w:tc>
          <w:tcPr>
            <w:tcW w:w="1417" w:type="dxa"/>
            <w:tcBorders>
              <w:top w:val="single" w:sz="18" w:space="0" w:color="005190"/>
              <w:bottom w:val="single" w:sz="18" w:space="0" w:color="005190"/>
            </w:tcBorders>
          </w:tcPr>
          <w:p w14:paraId="15753E9D" w14:textId="63F29D05" w:rsidR="00510E05" w:rsidRPr="00302690" w:rsidRDefault="006976C4" w:rsidP="00D62E92">
            <w:pPr>
              <w:pStyle w:val="NoSpacing"/>
              <w:spacing w:line="240" w:lineRule="auto"/>
              <w:jc w:val="center"/>
              <w:rPr>
                <w:sz w:val="16"/>
              </w:rPr>
            </w:pPr>
            <w:r>
              <w:rPr>
                <w:sz w:val="16"/>
              </w:rPr>
              <w:t>4</w:t>
            </w:r>
            <w:r w:rsidR="00510E05" w:rsidRPr="00302690">
              <w:rPr>
                <w:sz w:val="16"/>
              </w:rPr>
              <w:t>0%</w:t>
            </w:r>
          </w:p>
        </w:tc>
      </w:tr>
      <w:tr w:rsidR="00510E05" w:rsidRPr="00302690" w14:paraId="572C38C6" w14:textId="77777777" w:rsidTr="003D2103">
        <w:trPr>
          <w:cantSplit/>
          <w:trHeight w:val="55"/>
        </w:trPr>
        <w:tc>
          <w:tcPr>
            <w:tcW w:w="1134" w:type="dxa"/>
          </w:tcPr>
          <w:p w14:paraId="05064D3E" w14:textId="77777777" w:rsidR="00510E05" w:rsidRPr="00302690" w:rsidRDefault="00510E05" w:rsidP="006976C4">
            <w:pPr>
              <w:pStyle w:val="NoSpacing"/>
              <w:spacing w:line="240" w:lineRule="auto"/>
              <w:jc w:val="center"/>
              <w:rPr>
                <w:sz w:val="16"/>
              </w:rPr>
            </w:pPr>
          </w:p>
        </w:tc>
        <w:tc>
          <w:tcPr>
            <w:tcW w:w="6237" w:type="dxa"/>
          </w:tcPr>
          <w:p w14:paraId="5DCE0695" w14:textId="77777777" w:rsidR="00510E05" w:rsidRPr="00302690" w:rsidRDefault="00510E05" w:rsidP="006976C4">
            <w:pPr>
              <w:pStyle w:val="NoSpacing"/>
              <w:spacing w:line="240" w:lineRule="auto"/>
              <w:rPr>
                <w:sz w:val="16"/>
              </w:rPr>
            </w:pPr>
          </w:p>
        </w:tc>
        <w:tc>
          <w:tcPr>
            <w:tcW w:w="1418" w:type="dxa"/>
            <w:tcBorders>
              <w:top w:val="single" w:sz="18" w:space="0" w:color="005190"/>
              <w:bottom w:val="single" w:sz="18" w:space="0" w:color="005190"/>
            </w:tcBorders>
          </w:tcPr>
          <w:p w14:paraId="43DF71C6" w14:textId="77777777" w:rsidR="00510E05" w:rsidRPr="00302690" w:rsidRDefault="00510E05" w:rsidP="006976C4">
            <w:pPr>
              <w:pStyle w:val="NoSpacing"/>
              <w:spacing w:line="240" w:lineRule="auto"/>
              <w:jc w:val="center"/>
              <w:rPr>
                <w:b/>
                <w:color w:val="005190"/>
                <w:sz w:val="14"/>
              </w:rPr>
            </w:pPr>
            <w:r w:rsidRPr="00302690">
              <w:rPr>
                <w:b/>
                <w:color w:val="005190"/>
                <w:sz w:val="14"/>
              </w:rPr>
              <w:t>TOTAL</w:t>
            </w:r>
          </w:p>
        </w:tc>
        <w:tc>
          <w:tcPr>
            <w:tcW w:w="1417" w:type="dxa"/>
            <w:tcBorders>
              <w:top w:val="single" w:sz="18" w:space="0" w:color="005190"/>
              <w:bottom w:val="single" w:sz="18" w:space="0" w:color="005190"/>
            </w:tcBorders>
          </w:tcPr>
          <w:p w14:paraId="6E1C8521" w14:textId="77777777" w:rsidR="00510E05" w:rsidRPr="00302690" w:rsidRDefault="00510E05" w:rsidP="006976C4">
            <w:pPr>
              <w:pStyle w:val="NoSpacing"/>
              <w:spacing w:line="240" w:lineRule="auto"/>
              <w:jc w:val="center"/>
              <w:rPr>
                <w:sz w:val="16"/>
              </w:rPr>
            </w:pPr>
            <w:r w:rsidRPr="00302690">
              <w:rPr>
                <w:sz w:val="16"/>
              </w:rPr>
              <w:t>100%</w:t>
            </w:r>
          </w:p>
        </w:tc>
      </w:tr>
    </w:tbl>
    <w:p w14:paraId="072318A9" w14:textId="354E8328" w:rsidR="00510E05" w:rsidRPr="00302690" w:rsidRDefault="00510E05" w:rsidP="00510E05">
      <w:pPr>
        <w:pStyle w:val="Heading2"/>
      </w:pPr>
      <w:r w:rsidRPr="00302690">
        <w:t>Scoring Criteria</w:t>
      </w:r>
    </w:p>
    <w:p w14:paraId="6875C7EF" w14:textId="77777777" w:rsidR="00510E05" w:rsidRPr="00302690" w:rsidRDefault="00510E05" w:rsidP="00510E05">
      <w:pPr>
        <w:pStyle w:val="NoSpacing"/>
      </w:pPr>
      <w:r w:rsidRPr="00302690">
        <w:rPr>
          <w:color w:val="005190"/>
        </w:rPr>
        <w:t>0</w:t>
      </w:r>
      <w:r w:rsidRPr="00302690">
        <w:t xml:space="preserve"> = no response/answer not relevant to requirement</w:t>
      </w:r>
    </w:p>
    <w:p w14:paraId="0984130A" w14:textId="77777777" w:rsidR="00510E05" w:rsidRPr="00302690" w:rsidRDefault="00510E05" w:rsidP="00510E05">
      <w:pPr>
        <w:pStyle w:val="NoSpacing"/>
      </w:pPr>
      <w:r w:rsidRPr="00302690">
        <w:rPr>
          <w:color w:val="005190"/>
        </w:rPr>
        <w:t>1</w:t>
      </w:r>
      <w:r w:rsidRPr="00302690">
        <w:t xml:space="preserve"> = limited response to requirements</w:t>
      </w:r>
    </w:p>
    <w:p w14:paraId="2ADB19BC" w14:textId="77777777" w:rsidR="00510E05" w:rsidRPr="00302690" w:rsidRDefault="00510E05" w:rsidP="00510E05">
      <w:pPr>
        <w:pStyle w:val="NoSpacing"/>
      </w:pPr>
      <w:r w:rsidRPr="00302690">
        <w:rPr>
          <w:color w:val="005190"/>
        </w:rPr>
        <w:t>2</w:t>
      </w:r>
      <w:r w:rsidRPr="00302690">
        <w:t xml:space="preserve"> = less than adequate, fulfils some of the basic requirements</w:t>
      </w:r>
    </w:p>
    <w:p w14:paraId="3277167E" w14:textId="77777777" w:rsidR="00510E05" w:rsidRPr="00302690" w:rsidRDefault="00510E05" w:rsidP="00510E05">
      <w:pPr>
        <w:pStyle w:val="NoSpacing"/>
      </w:pPr>
      <w:r w:rsidRPr="00302690">
        <w:rPr>
          <w:color w:val="005190"/>
        </w:rPr>
        <w:t>3</w:t>
      </w:r>
      <w:r w:rsidRPr="00302690">
        <w:t xml:space="preserve"> = adequate response, fulfils all basic requirements</w:t>
      </w:r>
    </w:p>
    <w:p w14:paraId="1DA6A768" w14:textId="77777777" w:rsidR="00510E05" w:rsidRPr="00302690" w:rsidRDefault="00510E05" w:rsidP="00510E05">
      <w:pPr>
        <w:pStyle w:val="NoSpacing"/>
      </w:pPr>
      <w:r w:rsidRPr="00302690">
        <w:rPr>
          <w:color w:val="005190"/>
        </w:rPr>
        <w:t>4</w:t>
      </w:r>
      <w:r w:rsidRPr="00302690">
        <w:t xml:space="preserve"> = good response, fulfils all requirements to a high standard</w:t>
      </w:r>
    </w:p>
    <w:p w14:paraId="1D710D23" w14:textId="77777777" w:rsidR="00510E05" w:rsidRPr="00302690" w:rsidRDefault="00510E05" w:rsidP="00D62E92">
      <w:pPr>
        <w:spacing w:line="276" w:lineRule="auto"/>
      </w:pPr>
      <w:r w:rsidRPr="00302690">
        <w:rPr>
          <w:color w:val="005190"/>
        </w:rPr>
        <w:t>5</w:t>
      </w:r>
      <w:r w:rsidRPr="00302690">
        <w:t xml:space="preserve"> = excellent response, fulfils requirements to an exceptionally high standard</w:t>
      </w:r>
    </w:p>
    <w:p w14:paraId="1511AEB7" w14:textId="77777777" w:rsidR="00510E05" w:rsidRPr="00302690" w:rsidRDefault="00510E05" w:rsidP="00D62E92">
      <w:pPr>
        <w:pStyle w:val="Heading2"/>
        <w:spacing w:after="0"/>
      </w:pPr>
      <w:r w:rsidRPr="00302690">
        <w:lastRenderedPageBreak/>
        <w:t>Pricing Score and Weighting</w:t>
      </w:r>
    </w:p>
    <w:p w14:paraId="2D56C518" w14:textId="01794014" w:rsidR="00FC478F" w:rsidRPr="00302690" w:rsidRDefault="00510E05" w:rsidP="00D62E92">
      <w:pPr>
        <w:spacing w:after="0"/>
      </w:pPr>
      <w:r w:rsidRPr="00302690">
        <w:t>Responses will be evaluated based on the following standard formula*, which comprises of the weighting multiplied by the lowest price, divided by each submitted price:-</w:t>
      </w:r>
    </w:p>
    <w:p w14:paraId="59939435" w14:textId="77777777" w:rsidR="00510E05" w:rsidRPr="00302690" w:rsidRDefault="00510E05" w:rsidP="00510E05">
      <w:pPr>
        <w:pStyle w:val="NoSpacing"/>
        <w:jc w:val="center"/>
        <w:rPr>
          <w:u w:val="single"/>
        </w:rPr>
      </w:pPr>
      <w:r w:rsidRPr="00302690">
        <w:rPr>
          <w:u w:val="single"/>
        </w:rPr>
        <w:t>Weighting x Lowest Tendered Pricing</w:t>
      </w:r>
    </w:p>
    <w:p w14:paraId="0DA99517" w14:textId="77777777" w:rsidR="00510E05" w:rsidRPr="00302690" w:rsidRDefault="00510E05" w:rsidP="00510E05">
      <w:pPr>
        <w:jc w:val="center"/>
      </w:pPr>
      <w:r w:rsidRPr="00302690">
        <w:t>Tendered Pricing</w:t>
      </w:r>
    </w:p>
    <w:p w14:paraId="3DC9530C" w14:textId="77777777" w:rsidR="00510E05" w:rsidRPr="00302690" w:rsidRDefault="00510E05" w:rsidP="00510E05">
      <w:pPr>
        <w:tabs>
          <w:tab w:val="left" w:pos="142"/>
        </w:tabs>
        <w:spacing w:after="60"/>
        <w:ind w:left="142" w:hanging="142"/>
        <w:rPr>
          <w:color w:val="7F7F7F" w:themeColor="text1" w:themeTint="80"/>
          <w:sz w:val="14"/>
        </w:rPr>
      </w:pPr>
      <w:r w:rsidRPr="00302690">
        <w:rPr>
          <w:color w:val="7F7F7F" w:themeColor="text1" w:themeTint="80"/>
          <w:sz w:val="14"/>
        </w:rPr>
        <w:t>*</w:t>
      </w:r>
      <w:r w:rsidRPr="00302690">
        <w:rPr>
          <w:color w:val="7F7F7F" w:themeColor="text1" w:themeTint="80"/>
          <w:sz w:val="14"/>
        </w:rPr>
        <w:tab/>
        <w:t>For example, if the Price weighting is 40%, and the lowest tendered price is £1,000, this would achieve the maximum 40%, and subsequently higher priced tenders would achieve the difference in percentage between lowest and that pricing.</w:t>
      </w:r>
    </w:p>
    <w:p w14:paraId="6F83B5F8" w14:textId="77777777" w:rsidR="00510E05" w:rsidRPr="00302690" w:rsidRDefault="00510E05" w:rsidP="00510E05">
      <w:pPr>
        <w:ind w:left="142"/>
        <w:rPr>
          <w:color w:val="7F7F7F" w:themeColor="text1" w:themeTint="80"/>
          <w:sz w:val="14"/>
        </w:rPr>
      </w:pPr>
      <w:r w:rsidRPr="00302690">
        <w:rPr>
          <w:color w:val="7F7F7F" w:themeColor="text1" w:themeTint="80"/>
          <w:sz w:val="14"/>
        </w:rPr>
        <w:t>Thus formula examples based on 3 submissions would calculate as such:-</w:t>
      </w:r>
    </w:p>
    <w:p w14:paraId="2AE8D74B" w14:textId="77777777" w:rsidR="00510E05" w:rsidRPr="00302690" w:rsidRDefault="00510E05" w:rsidP="00510E05">
      <w:pPr>
        <w:pStyle w:val="NoSpacing"/>
        <w:ind w:left="142"/>
        <w:rPr>
          <w:color w:val="7F7F7F" w:themeColor="text1" w:themeTint="80"/>
          <w:sz w:val="14"/>
        </w:rPr>
      </w:pPr>
      <w:r w:rsidRPr="00302690">
        <w:rPr>
          <w:color w:val="7F7F7F" w:themeColor="text1" w:themeTint="80"/>
          <w:sz w:val="14"/>
          <w:u w:val="single"/>
        </w:rPr>
        <w:t>40% x £1,000</w:t>
      </w:r>
      <w:r w:rsidRPr="00302690">
        <w:rPr>
          <w:color w:val="7F7F7F" w:themeColor="text1" w:themeTint="80"/>
          <w:sz w:val="14"/>
        </w:rPr>
        <w:t xml:space="preserve">    </w:t>
      </w:r>
      <w:proofErr w:type="gramStart"/>
      <w:r w:rsidRPr="00302690">
        <w:rPr>
          <w:color w:val="7F7F7F" w:themeColor="text1" w:themeTint="80"/>
          <w:sz w:val="14"/>
        </w:rPr>
        <w:t>=  40</w:t>
      </w:r>
      <w:proofErr w:type="gramEnd"/>
      <w:r w:rsidRPr="00302690">
        <w:rPr>
          <w:color w:val="7F7F7F" w:themeColor="text1" w:themeTint="80"/>
          <w:sz w:val="14"/>
        </w:rPr>
        <w:t>%</w:t>
      </w:r>
      <w:r w:rsidRPr="00302690">
        <w:rPr>
          <w:color w:val="7F7F7F" w:themeColor="text1" w:themeTint="80"/>
          <w:sz w:val="14"/>
        </w:rPr>
        <w:tab/>
      </w:r>
      <w:r w:rsidRPr="00302690">
        <w:rPr>
          <w:color w:val="7F7F7F" w:themeColor="text1" w:themeTint="80"/>
          <w:sz w:val="14"/>
        </w:rPr>
        <w:tab/>
      </w:r>
      <w:r w:rsidRPr="00302690">
        <w:rPr>
          <w:color w:val="7F7F7F" w:themeColor="text1" w:themeTint="80"/>
          <w:sz w:val="14"/>
          <w:u w:val="single"/>
        </w:rPr>
        <w:t>40% x £1,000</w:t>
      </w:r>
      <w:r w:rsidRPr="00302690">
        <w:rPr>
          <w:color w:val="7F7F7F" w:themeColor="text1" w:themeTint="80"/>
          <w:sz w:val="14"/>
        </w:rPr>
        <w:t xml:space="preserve">    =  33.3%</w:t>
      </w:r>
      <w:r w:rsidRPr="00302690">
        <w:rPr>
          <w:color w:val="7F7F7F" w:themeColor="text1" w:themeTint="80"/>
          <w:sz w:val="14"/>
        </w:rPr>
        <w:tab/>
      </w:r>
      <w:r w:rsidRPr="00302690">
        <w:rPr>
          <w:color w:val="7F7F7F" w:themeColor="text1" w:themeTint="80"/>
          <w:sz w:val="14"/>
        </w:rPr>
        <w:tab/>
      </w:r>
      <w:r w:rsidRPr="00302690">
        <w:rPr>
          <w:color w:val="7F7F7F" w:themeColor="text1" w:themeTint="80"/>
          <w:sz w:val="14"/>
          <w:u w:val="single"/>
        </w:rPr>
        <w:t>40% x £1,000</w:t>
      </w:r>
      <w:r w:rsidRPr="00302690">
        <w:rPr>
          <w:color w:val="7F7F7F" w:themeColor="text1" w:themeTint="80"/>
          <w:sz w:val="14"/>
        </w:rPr>
        <w:t xml:space="preserve">    =  29.6%</w:t>
      </w:r>
    </w:p>
    <w:p w14:paraId="419816D0" w14:textId="77777777" w:rsidR="00510E05" w:rsidRPr="00302690" w:rsidRDefault="00510E05" w:rsidP="00510E05">
      <w:pPr>
        <w:ind w:left="142"/>
        <w:rPr>
          <w:color w:val="7F7F7F" w:themeColor="text1" w:themeTint="80"/>
          <w:sz w:val="14"/>
        </w:rPr>
      </w:pPr>
      <w:r w:rsidRPr="00302690">
        <w:rPr>
          <w:color w:val="7F7F7F" w:themeColor="text1" w:themeTint="80"/>
          <w:sz w:val="14"/>
        </w:rPr>
        <w:t xml:space="preserve">      £1,000</w:t>
      </w:r>
      <w:r w:rsidRPr="00302690">
        <w:rPr>
          <w:color w:val="7F7F7F" w:themeColor="text1" w:themeTint="80"/>
          <w:sz w:val="14"/>
        </w:rPr>
        <w:tab/>
      </w:r>
      <w:r w:rsidRPr="00302690">
        <w:rPr>
          <w:color w:val="7F7F7F" w:themeColor="text1" w:themeTint="80"/>
          <w:sz w:val="14"/>
        </w:rPr>
        <w:tab/>
      </w:r>
      <w:r w:rsidRPr="00302690">
        <w:rPr>
          <w:color w:val="7F7F7F" w:themeColor="text1" w:themeTint="80"/>
          <w:sz w:val="14"/>
        </w:rPr>
        <w:tab/>
        <w:t xml:space="preserve">      £1,200</w:t>
      </w:r>
      <w:r w:rsidRPr="00302690">
        <w:rPr>
          <w:color w:val="7F7F7F" w:themeColor="text1" w:themeTint="80"/>
          <w:sz w:val="14"/>
        </w:rPr>
        <w:tab/>
      </w:r>
      <w:r w:rsidRPr="00302690">
        <w:rPr>
          <w:color w:val="7F7F7F" w:themeColor="text1" w:themeTint="80"/>
          <w:sz w:val="14"/>
        </w:rPr>
        <w:tab/>
      </w:r>
      <w:r w:rsidRPr="00302690">
        <w:rPr>
          <w:color w:val="7F7F7F" w:themeColor="text1" w:themeTint="80"/>
          <w:sz w:val="14"/>
        </w:rPr>
        <w:tab/>
      </w:r>
      <w:r w:rsidRPr="00302690">
        <w:rPr>
          <w:color w:val="7F7F7F" w:themeColor="text1" w:themeTint="80"/>
          <w:sz w:val="14"/>
        </w:rPr>
        <w:tab/>
        <w:t xml:space="preserve">      £1,350</w:t>
      </w:r>
    </w:p>
    <w:p w14:paraId="4709C0F0" w14:textId="77777777" w:rsidR="0032762F" w:rsidRDefault="00510E05" w:rsidP="00510E05">
      <w:pPr>
        <w:pStyle w:val="Heading2"/>
      </w:pPr>
      <w:r w:rsidRPr="00302690">
        <w:t>Award Criteria Ratio</w:t>
      </w:r>
    </w:p>
    <w:p w14:paraId="71856F37" w14:textId="1764EBED" w:rsidR="006976C4" w:rsidRPr="00AC1233" w:rsidRDefault="00AC1233" w:rsidP="006976C4">
      <w:pPr>
        <w:rPr>
          <w:b/>
        </w:rPr>
      </w:pPr>
      <w:r w:rsidRPr="00AC1233">
        <w:rPr>
          <w:b/>
        </w:rPr>
        <w:t>All Lots</w:t>
      </w:r>
    </w:p>
    <w:p w14:paraId="15BB8FAF" w14:textId="26F7AF11" w:rsidR="00AC1233" w:rsidRPr="00AC1233" w:rsidRDefault="00AC1233" w:rsidP="006976C4">
      <w:pPr>
        <w:rPr>
          <w:b/>
        </w:rPr>
      </w:pPr>
      <w:r w:rsidRPr="00AC1233">
        <w:rPr>
          <w:b/>
        </w:rPr>
        <w:t>Quality – 60%</w:t>
      </w:r>
    </w:p>
    <w:p w14:paraId="0703EED4" w14:textId="110FC324" w:rsidR="00AC1233" w:rsidRPr="00AC1233" w:rsidRDefault="00AC1233" w:rsidP="006976C4">
      <w:pPr>
        <w:rPr>
          <w:b/>
        </w:rPr>
      </w:pPr>
      <w:r w:rsidRPr="00AC1233">
        <w:rPr>
          <w:b/>
        </w:rPr>
        <w:t>Price – 40%</w:t>
      </w:r>
    </w:p>
    <w:p w14:paraId="06B958CD" w14:textId="49F95B97" w:rsidR="00510E05" w:rsidRDefault="00510E05" w:rsidP="00510E05">
      <w:r w:rsidRPr="00302690">
        <w:t xml:space="preserve">Any additional documents will not be scored, but, where required, must be completed and returned see “Evaluation Process” section below. </w:t>
      </w:r>
    </w:p>
    <w:p w14:paraId="4EB0B13B" w14:textId="77777777" w:rsidR="00511233" w:rsidRDefault="00511233" w:rsidP="00511233">
      <w:pPr>
        <w:pStyle w:val="Ref-Lvl1"/>
      </w:pPr>
      <w:r>
        <w:t>Evaluation &amp; Award Process</w:t>
      </w:r>
    </w:p>
    <w:p w14:paraId="2C15FED7" w14:textId="77777777" w:rsidR="00511233" w:rsidRDefault="00511233" w:rsidP="00511233">
      <w:r>
        <w:t xml:space="preserve">Scores will be awarded to each tender response by an evaluation panel, but only at each stage contained within the “Evaluation Process” as described below.  </w:t>
      </w:r>
    </w:p>
    <w:p w14:paraId="62DE4429" w14:textId="77777777" w:rsidR="00511233" w:rsidRDefault="00511233" w:rsidP="00511233">
      <w:pPr>
        <w:pStyle w:val="Heading2"/>
      </w:pPr>
      <w:r>
        <w:t>Evaluation Process</w:t>
      </w:r>
    </w:p>
    <w:p w14:paraId="03E9D2BB" w14:textId="77777777" w:rsidR="00511233" w:rsidRDefault="00511233" w:rsidP="00511233">
      <w:r>
        <w:t>The panel will agree a shortlist at each stage of the process based on the responses at each relevant stage of elimination, based on the following:</w:t>
      </w:r>
    </w:p>
    <w:p w14:paraId="3C4610BF" w14:textId="77777777" w:rsidR="00511233" w:rsidRDefault="00511233" w:rsidP="00511233">
      <w:r>
        <w:t>This will be up to a 3-stage process consisting of:</w:t>
      </w:r>
    </w:p>
    <w:p w14:paraId="66FD4DCB" w14:textId="77777777" w:rsidR="00511233" w:rsidRDefault="00511233" w:rsidP="00511233">
      <w:pPr>
        <w:pStyle w:val="ListParagraph"/>
        <w:numPr>
          <w:ilvl w:val="0"/>
          <w:numId w:val="4"/>
        </w:numPr>
      </w:pPr>
      <w:r>
        <w:t>Only *fully compliant completed Bids will be evaluated and thus the number of Bidders whom have provided the most competitive proposal based on their Pricing Response and completion all of the Quality Response questions will be carried forward to stage 2.</w:t>
      </w:r>
    </w:p>
    <w:p w14:paraId="1E9E5FDB" w14:textId="77777777" w:rsidR="00511233" w:rsidRPr="00781624" w:rsidRDefault="00511233" w:rsidP="00511233">
      <w:pPr>
        <w:pStyle w:val="ListParagraph"/>
        <w:numPr>
          <w:ilvl w:val="0"/>
          <w:numId w:val="0"/>
        </w:numPr>
        <w:ind w:left="720"/>
        <w:contextualSpacing w:val="0"/>
        <w:rPr>
          <w:color w:val="7F7F7F" w:themeColor="text1" w:themeTint="80"/>
          <w:sz w:val="14"/>
        </w:rPr>
      </w:pPr>
      <w:r w:rsidRPr="000C5F9C">
        <w:rPr>
          <w:color w:val="7F7F7F" w:themeColor="text1" w:themeTint="80"/>
          <w:sz w:val="14"/>
        </w:rPr>
        <w:t>(* Subject to Bidder’s completion and response to all sections contained within this document, and all other completed returns of attached documents, including Pricing Schedule and any other documents required as per the Specification documents.)</w:t>
      </w:r>
    </w:p>
    <w:p w14:paraId="3CD018BE" w14:textId="77777777" w:rsidR="00511233" w:rsidRDefault="00511233" w:rsidP="00511233">
      <w:pPr>
        <w:pStyle w:val="ListParagraph"/>
        <w:numPr>
          <w:ilvl w:val="0"/>
          <w:numId w:val="4"/>
        </w:numPr>
        <w:ind w:left="714" w:hanging="357"/>
        <w:contextualSpacing w:val="0"/>
      </w:pPr>
      <w:r>
        <w:t>The total scores of Bids which have enabled succession to this stage will then be carried forward to stage 3, unless by the total scoring achieved per Bid there is an outright winner, whereby any score adjustments within stage 3 would not sufficiently alter the outcome or their ranking, and thus an award could be recommended at this stage.</w:t>
      </w:r>
    </w:p>
    <w:p w14:paraId="5FE2A00D" w14:textId="00F3F544" w:rsidR="00171811" w:rsidRDefault="00511233" w:rsidP="00171811">
      <w:pPr>
        <w:pStyle w:val="ListParagraph"/>
        <w:numPr>
          <w:ilvl w:val="0"/>
          <w:numId w:val="4"/>
        </w:numPr>
      </w:pPr>
      <w:r>
        <w:lastRenderedPageBreak/>
        <w:t>Based on stage 3, (regardless of outcome or ranking at stage 2,), if a clarification meeting is deemed to be preferred, then the final short-listed Bidders may be invited to the Authority to conduct a “Supplier Presentation” (see below,) of their submitted bids of which the evaluation team may only adjust their original Quality scoring to determine the award of the final successful Bidder post presentation.</w:t>
      </w:r>
    </w:p>
    <w:p w14:paraId="6626BE8E" w14:textId="77777777" w:rsidR="00511233" w:rsidRDefault="00511233" w:rsidP="00511233">
      <w:pPr>
        <w:pStyle w:val="Heading2"/>
      </w:pPr>
      <w:r>
        <w:t>Supplier Presentations</w:t>
      </w:r>
    </w:p>
    <w:p w14:paraId="776948FD" w14:textId="77777777" w:rsidR="00511233" w:rsidRDefault="00511233" w:rsidP="00511233">
      <w:r>
        <w:t>Based on the “Evaluation Process”, shortlisted suppliers may be invited to present their proposal to a selection panel.  The supplier needs to ensure an account manager and the person or persons who will be managing any quality/technical aspect of the project, attends the presentation.</w:t>
      </w:r>
    </w:p>
    <w:p w14:paraId="1D221855" w14:textId="77777777" w:rsidR="00511233" w:rsidRDefault="00511233" w:rsidP="00511233">
      <w:r>
        <w:t>The presentation should demonstrate the proposal detailing the service being provided, the value for money of the proposal, the implementation procedure and timetable of the project. The presentation will be part of the award criteria.  The presentation will be an opportunity to clarify the supplier’s proposals.</w:t>
      </w:r>
    </w:p>
    <w:p w14:paraId="2EB3646B" w14:textId="77777777" w:rsidR="00A12E7B" w:rsidRPr="009C3650" w:rsidRDefault="00A12E7B" w:rsidP="00A12E7B">
      <w:pPr>
        <w:pStyle w:val="Heading2"/>
      </w:pPr>
      <w:r w:rsidRPr="009C3650">
        <w:t xml:space="preserve">Shortlisting of Suppliers (Framework) </w:t>
      </w:r>
    </w:p>
    <w:p w14:paraId="33203B35" w14:textId="77777777" w:rsidR="00A12E7B" w:rsidRDefault="00A12E7B" w:rsidP="00A12E7B">
      <w:r w:rsidRPr="003D0CBA">
        <w:t>Fully compliant and completed responses that hav</w:t>
      </w:r>
      <w:r w:rsidR="00D3539F" w:rsidRPr="001D48DB">
        <w:t xml:space="preserve">e achieved a minimum score of </w:t>
      </w:r>
      <w:r w:rsidR="00D3539F" w:rsidRPr="0032762F">
        <w:rPr>
          <w:b/>
          <w:u w:val="single"/>
        </w:rPr>
        <w:t>50</w:t>
      </w:r>
      <w:r w:rsidRPr="0032762F">
        <w:rPr>
          <w:b/>
          <w:u w:val="single"/>
        </w:rPr>
        <w:t>%</w:t>
      </w:r>
      <w:r w:rsidRPr="001D48DB">
        <w:t xml:space="preserve"> out of 100% will be appointed onto the framework agreement and ranked accordingly</w:t>
      </w:r>
      <w:r w:rsidR="00D3539F" w:rsidRPr="009C3650">
        <w:t>.</w:t>
      </w:r>
      <w:r w:rsidRPr="009C3650">
        <w:t xml:space="preserve"> </w:t>
      </w:r>
    </w:p>
    <w:p w14:paraId="768C2E07" w14:textId="2A53F718" w:rsidR="00A12E7B" w:rsidRDefault="00A12E7B" w:rsidP="00A12E7B">
      <w:pPr>
        <w:pStyle w:val="Heading2"/>
      </w:pPr>
      <w:r>
        <w:t>Pre-Award Due Diligence</w:t>
      </w:r>
    </w:p>
    <w:p w14:paraId="7ACEB135" w14:textId="77777777" w:rsidR="00A12E7B" w:rsidRDefault="00A12E7B" w:rsidP="00A12E7B">
      <w:r>
        <w:t>In addition to the above 3 stage “Evaluation Process”, as either part of stage 2 and/or or 3, (or post those stages), CPI reserves the right to conduct reference/due diligence checks given in support of a Tender response and this may also include physical site reference visits to appraise suitability of goods/services/assets which have been put forward by the Bidder, and subject to this due diligence, an award may either be granted or rescinded, and either 2nd placed Bidder (and subsequent ranked Bidders thereof,) may be subject to the same due diligence protocol until an award can either be conducted/or the tender exercise cancelled.</w:t>
      </w:r>
    </w:p>
    <w:p w14:paraId="339B4726" w14:textId="7D5F75B4" w:rsidR="00851497" w:rsidRPr="00AC1233" w:rsidRDefault="00A12E7B" w:rsidP="00A12E7B">
      <w:r w:rsidRPr="000B0DC0">
        <w:t>Failure to comply with any of the above (and any other instruction requirements), may result in automatic disqualification of bid, and thus, bid would be excluded and not evaluated, at the sole discretion of the Authority.</w:t>
      </w:r>
    </w:p>
    <w:p w14:paraId="23198D5F" w14:textId="77777777" w:rsidR="00A12E7B" w:rsidRDefault="00A12E7B" w:rsidP="00A12E7B">
      <w:pPr>
        <w:pStyle w:val="Ref-Lvl1"/>
      </w:pPr>
      <w:r>
        <w:t>Additional Information to Bidders</w:t>
      </w:r>
    </w:p>
    <w:p w14:paraId="26513BA6" w14:textId="77777777" w:rsidR="00A12E7B" w:rsidRDefault="00A12E7B" w:rsidP="00A12E7B">
      <w:r>
        <w:t>These conditions shall read with in conjunction with any additional enclosed documents, as per attached appendices, and shall form part of the Contract between the CPI and the Contractor.</w:t>
      </w:r>
    </w:p>
    <w:p w14:paraId="156A0362" w14:textId="2F6E08DA" w:rsidR="00A12E7B" w:rsidRDefault="00AC1233" w:rsidP="00AC1233">
      <w:pPr>
        <w:pStyle w:val="Ref-Lvl2"/>
      </w:pPr>
      <w:r>
        <w:t xml:space="preserve"> </w:t>
      </w:r>
      <w:r>
        <w:tab/>
      </w:r>
      <w:r w:rsidR="00A12E7B">
        <w:t>The requirement for the above is set out in the Specification.</w:t>
      </w:r>
    </w:p>
    <w:p w14:paraId="1F10834C" w14:textId="2573716C" w:rsidR="00A12E7B" w:rsidRDefault="00AC1233" w:rsidP="00FC478F">
      <w:pPr>
        <w:pStyle w:val="Ref-Lvl2"/>
        <w:spacing w:line="276" w:lineRule="auto"/>
      </w:pPr>
      <w:r>
        <w:t xml:space="preserve"> </w:t>
      </w:r>
      <w:r>
        <w:tab/>
      </w:r>
      <w:r w:rsidR="00A12E7B">
        <w:t xml:space="preserve">Bidders are required to quote for </w:t>
      </w:r>
      <w:proofErr w:type="gramStart"/>
      <w:r w:rsidR="00A12E7B">
        <w:t>all of</w:t>
      </w:r>
      <w:proofErr w:type="gramEnd"/>
      <w:r w:rsidR="00A12E7B">
        <w:t xml:space="preserve"> the items listed within the tender documents.</w:t>
      </w:r>
    </w:p>
    <w:p w14:paraId="5789B307" w14:textId="6EDA2947" w:rsidR="00A12E7B" w:rsidRDefault="00AC1233" w:rsidP="00FC478F">
      <w:pPr>
        <w:pStyle w:val="Ref-Lvl2"/>
        <w:spacing w:line="276" w:lineRule="auto"/>
      </w:pPr>
      <w:r>
        <w:t xml:space="preserve"> </w:t>
      </w:r>
      <w:r>
        <w:tab/>
      </w:r>
      <w:r w:rsidR="00A12E7B">
        <w:t>No Tender will be considered unless made on the official tender forms contained within this document and any additional ones as requested to do so.</w:t>
      </w:r>
    </w:p>
    <w:p w14:paraId="58A60B21" w14:textId="3B91080D" w:rsidR="00A12E7B" w:rsidRDefault="00AC1233" w:rsidP="00FC478F">
      <w:pPr>
        <w:pStyle w:val="Ref-Lvl2"/>
        <w:spacing w:line="276" w:lineRule="auto"/>
      </w:pPr>
      <w:r>
        <w:t xml:space="preserve"> </w:t>
      </w:r>
      <w:r>
        <w:tab/>
      </w:r>
      <w:r w:rsidR="00A12E7B">
        <w:t>Bidders must obtain for themselves all necessary information as to risks or contingencies which may affect their tenders.</w:t>
      </w:r>
    </w:p>
    <w:p w14:paraId="7505C6EE" w14:textId="0B60A117" w:rsidR="00A12E7B" w:rsidRDefault="00AC1233" w:rsidP="00FC478F">
      <w:pPr>
        <w:pStyle w:val="Ref-Lvl2"/>
        <w:spacing w:line="276" w:lineRule="auto"/>
      </w:pPr>
      <w:r>
        <w:lastRenderedPageBreak/>
        <w:t xml:space="preserve"> </w:t>
      </w:r>
      <w:r>
        <w:tab/>
      </w:r>
      <w:r w:rsidR="00A12E7B">
        <w:t>Goods and services must conform to the specification provided in the Tender pack and the successful contractor must ensure consistent quality throughout the full contract period.</w:t>
      </w:r>
    </w:p>
    <w:p w14:paraId="79AD7F69" w14:textId="4AB615B0" w:rsidR="00A12E7B" w:rsidRDefault="00AC1233" w:rsidP="00FC478F">
      <w:pPr>
        <w:pStyle w:val="Ref-Lvl2"/>
        <w:spacing w:line="276" w:lineRule="auto"/>
      </w:pPr>
      <w:r>
        <w:t xml:space="preserve"> </w:t>
      </w:r>
      <w:r>
        <w:tab/>
      </w:r>
      <w:r w:rsidR="00A12E7B">
        <w:t xml:space="preserve">Bidders may supply any other additional information that they wish to be considered as part of their offer as separate attachments providing these are cross referenced to which </w:t>
      </w:r>
      <w:proofErr w:type="gramStart"/>
      <w:r w:rsidR="00A12E7B">
        <w:t>particular Quality</w:t>
      </w:r>
      <w:proofErr w:type="gramEnd"/>
      <w:r w:rsidR="00A12E7B">
        <w:t xml:space="preserve"> and Pricing questions they relate to.</w:t>
      </w:r>
    </w:p>
    <w:p w14:paraId="0FFDCF2A" w14:textId="50AE8B2E" w:rsidR="00A12E7B" w:rsidRDefault="00AC1233" w:rsidP="00FC478F">
      <w:pPr>
        <w:pStyle w:val="Ref-Lvl2"/>
        <w:spacing w:line="276" w:lineRule="auto"/>
      </w:pPr>
      <w:r>
        <w:t xml:space="preserve"> </w:t>
      </w:r>
      <w:r>
        <w:tab/>
      </w:r>
      <w:r w:rsidR="00A12E7B">
        <w:t>Contractors must conform to the Health and Safety at Work Act 1974 and should adhere to any additional Health &amp; Safety Requirement and Guidance which may have been included in the Tender package.</w:t>
      </w:r>
    </w:p>
    <w:p w14:paraId="17014704" w14:textId="545647A0" w:rsidR="00A12E7B" w:rsidRDefault="00AC1233" w:rsidP="00FC478F">
      <w:pPr>
        <w:pStyle w:val="Ref-Lvl2"/>
        <w:spacing w:line="276" w:lineRule="auto"/>
      </w:pPr>
      <w:r>
        <w:t xml:space="preserve"> </w:t>
      </w:r>
      <w:r>
        <w:tab/>
      </w:r>
      <w:r w:rsidR="00A12E7B">
        <w:t xml:space="preserve">The Authority expects the Contractor to work within an underlying culture and philosophy of continuous improvement throughout the term of the Contract and both parties will seek to foster this through a partnership approach.  </w:t>
      </w:r>
    </w:p>
    <w:p w14:paraId="270E263E" w14:textId="3FCF80FE" w:rsidR="00A12E7B" w:rsidRDefault="00AC1233" w:rsidP="00FC478F">
      <w:pPr>
        <w:pStyle w:val="Ref-Lvl2"/>
        <w:spacing w:line="276" w:lineRule="auto"/>
      </w:pPr>
      <w:r>
        <w:t xml:space="preserve"> </w:t>
      </w:r>
      <w:r>
        <w:tab/>
      </w:r>
      <w:r w:rsidR="00A12E7B">
        <w:t>Bidders are requested to initial any alterations and amendments, which may occur on the tender document.  Failure to do so may result in the tender submission being disqualified.</w:t>
      </w:r>
    </w:p>
    <w:p w14:paraId="64DDDE6E" w14:textId="77777777" w:rsidR="00A12E7B" w:rsidRDefault="00A12E7B" w:rsidP="00FC478F">
      <w:pPr>
        <w:pStyle w:val="Ref-Lvl2"/>
        <w:spacing w:line="276" w:lineRule="auto"/>
      </w:pPr>
      <w:r>
        <w:t>The CPI is concerned to obtain bona fide competitive tenders.  Any action taken to canvas or solicit any Member, Office or Agent of the Authority or to obtain any unfair advantage or arrangement with any person concerning the Tender which CPI considers contrary to this object shall result in immediate disqualification.</w:t>
      </w:r>
    </w:p>
    <w:p w14:paraId="2EAB0DDC" w14:textId="14230345" w:rsidR="00A12E7B" w:rsidRDefault="00A12E7B" w:rsidP="00FC478F">
      <w:pPr>
        <w:pStyle w:val="Ref-Lvl2"/>
        <w:spacing w:line="276" w:lineRule="auto"/>
      </w:pPr>
      <w:r>
        <w:t xml:space="preserve">All tender documents are PRIVATE AND CONFIDENTIAL. All information concerning the tendering or performance of this contract is to be treated as highly confidential, and for the avoidance of doubt, all ownership and intellectual property rights concerning all aspects of this tender remain fully with CPI. </w:t>
      </w:r>
      <w:r w:rsidR="00171811">
        <w:br/>
      </w:r>
      <w:r w:rsidR="00FC478F">
        <w:br/>
      </w:r>
    </w:p>
    <w:p w14:paraId="733F79F9" w14:textId="77777777" w:rsidR="00A12E7B" w:rsidRDefault="00A12E7B" w:rsidP="00A12E7B">
      <w:pPr>
        <w:pStyle w:val="Ref-Lvl1"/>
      </w:pPr>
      <w:r>
        <w:t>Queries/Clarification Questions</w:t>
      </w:r>
    </w:p>
    <w:p w14:paraId="6537497B" w14:textId="77777777" w:rsidR="00A12E7B" w:rsidRDefault="00A12E7B" w:rsidP="00C405AB">
      <w:r>
        <w:t>No Bidder is permitted to contact any Authority staff member whatsoever, during this procurement exercise.</w:t>
      </w:r>
    </w:p>
    <w:p w14:paraId="150ACFA0" w14:textId="77777777" w:rsidR="00A12E7B" w:rsidRDefault="00A12E7B" w:rsidP="00C405AB">
      <w:r>
        <w:t xml:space="preserve">Any queries arising from this document, and/or for further clarification please use the Q&amp;A protocol at the electronic address (see page 1) </w:t>
      </w:r>
      <w:r w:rsidRPr="000C5F9C">
        <w:rPr>
          <w:b/>
          <w:color w:val="005190"/>
          <w:u w:val="single"/>
        </w:rPr>
        <w:t>no later than 7 working days before the deadline Bid Return date</w:t>
      </w:r>
      <w:r>
        <w:t>.</w:t>
      </w:r>
    </w:p>
    <w:p w14:paraId="5ACBDBBB" w14:textId="6A6DEEB3" w:rsidR="00A12E7B" w:rsidRDefault="00A12E7B" w:rsidP="00C405AB">
      <w:r>
        <w:t>However we reserve the right to refuse to respond to any clarification questions if they are deemed to be seeking to gain commercial advantage/confidential information/unfair advantage against the other bidders, and additionally we may reject any offer submitted as</w:t>
      </w:r>
      <w:r w:rsidR="00FC478F">
        <w:t xml:space="preserve"> a result of such infringement.</w:t>
      </w:r>
    </w:p>
    <w:p w14:paraId="39BEB4E5" w14:textId="336D5410" w:rsidR="006976C4" w:rsidRDefault="00A12E7B">
      <w:r>
        <w:t>The Authority may at its discretion communicate any questions and/or requests for information together with the Authority’s response to all B</w:t>
      </w:r>
      <w:r w:rsidR="00FC478F">
        <w:t>idders.</w:t>
      </w:r>
      <w:bookmarkStart w:id="0" w:name="_GoBack"/>
      <w:bookmarkEnd w:id="0"/>
    </w:p>
    <w:sectPr w:rsidR="006976C4" w:rsidSect="006976C4">
      <w:headerReference w:type="default" r:id="rId9"/>
      <w:footerReference w:type="default" r:id="rId10"/>
      <w:headerReference w:type="first" r:id="rId11"/>
      <w:footerReference w:type="first" r:id="rId12"/>
      <w:pgSz w:w="11906" w:h="16838"/>
      <w:pgMar w:top="1098" w:right="849" w:bottom="567" w:left="851" w:header="0" w:footer="0" w:gutter="0"/>
      <w:cols w:space="84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7640" w14:textId="77777777" w:rsidR="006976C4" w:rsidRDefault="006976C4" w:rsidP="00A12E7B">
      <w:pPr>
        <w:spacing w:after="0" w:line="240" w:lineRule="auto"/>
      </w:pPr>
      <w:r>
        <w:separator/>
      </w:r>
    </w:p>
  </w:endnote>
  <w:endnote w:type="continuationSeparator" w:id="0">
    <w:p w14:paraId="2A2162DB" w14:textId="77777777" w:rsidR="006976C4" w:rsidRDefault="006976C4" w:rsidP="00A1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234C" w14:textId="77777777" w:rsidR="006976C4" w:rsidRDefault="006976C4" w:rsidP="006976C4">
    <w:pPr>
      <w:pStyle w:val="Footer"/>
      <w:jc w:val="right"/>
      <w:rPr>
        <w:b/>
        <w:color w:val="7F7F7F" w:themeColor="text1" w:themeTint="80"/>
        <w:sz w:val="14"/>
        <w:szCs w:val="16"/>
      </w:rPr>
    </w:pPr>
  </w:p>
  <w:p w14:paraId="1694F25A" w14:textId="77777777" w:rsidR="006976C4" w:rsidRDefault="006976C4" w:rsidP="006976C4">
    <w:pPr>
      <w:pStyle w:val="Footer"/>
      <w:jc w:val="right"/>
      <w:rPr>
        <w:b/>
        <w:color w:val="7F7F7F" w:themeColor="text1" w:themeTint="80"/>
        <w:sz w:val="14"/>
        <w:szCs w:val="16"/>
      </w:rPr>
    </w:pPr>
    <w:r>
      <w:rPr>
        <w:b/>
        <w:color w:val="7F7F7F" w:themeColor="text1" w:themeTint="80"/>
        <w:sz w:val="14"/>
        <w:szCs w:val="16"/>
      </w:rPr>
      <w:t xml:space="preserve">Page </w:t>
    </w:r>
    <w:r w:rsidRPr="00E047CF">
      <w:rPr>
        <w:b/>
        <w:color w:val="7F7F7F" w:themeColor="text1" w:themeTint="80"/>
        <w:sz w:val="14"/>
        <w:szCs w:val="16"/>
      </w:rPr>
      <w:fldChar w:fldCharType="begin"/>
    </w:r>
    <w:r w:rsidRPr="00E047CF">
      <w:rPr>
        <w:b/>
        <w:color w:val="7F7F7F" w:themeColor="text1" w:themeTint="80"/>
        <w:sz w:val="14"/>
        <w:szCs w:val="16"/>
      </w:rPr>
      <w:instrText xml:space="preserve"> PAGE   \* MERGEFORMAT </w:instrText>
    </w:r>
    <w:r w:rsidRPr="00E047CF">
      <w:rPr>
        <w:b/>
        <w:color w:val="7F7F7F" w:themeColor="text1" w:themeTint="80"/>
        <w:sz w:val="14"/>
        <w:szCs w:val="16"/>
      </w:rPr>
      <w:fldChar w:fldCharType="separate"/>
    </w:r>
    <w:r w:rsidR="001461C5">
      <w:rPr>
        <w:b/>
        <w:noProof/>
        <w:color w:val="7F7F7F" w:themeColor="text1" w:themeTint="80"/>
        <w:sz w:val="14"/>
        <w:szCs w:val="16"/>
      </w:rPr>
      <w:t>12</w:t>
    </w:r>
    <w:r w:rsidRPr="00E047CF">
      <w:rPr>
        <w:b/>
        <w:color w:val="7F7F7F" w:themeColor="text1" w:themeTint="80"/>
        <w:sz w:val="14"/>
        <w:szCs w:val="16"/>
      </w:rPr>
      <w:fldChar w:fldCharType="end"/>
    </w:r>
    <w:r w:rsidRPr="00E047CF">
      <w:rPr>
        <w:b/>
        <w:color w:val="7F7F7F" w:themeColor="text1" w:themeTint="80"/>
        <w:sz w:val="14"/>
        <w:szCs w:val="16"/>
      </w:rPr>
      <w:t xml:space="preserve"> </w:t>
    </w:r>
    <w:r>
      <w:rPr>
        <w:b/>
        <w:color w:val="7F7F7F" w:themeColor="text1" w:themeTint="80"/>
        <w:sz w:val="14"/>
        <w:szCs w:val="16"/>
      </w:rPr>
      <w:t>/</w:t>
    </w:r>
    <w:r w:rsidRPr="00E047CF">
      <w:rPr>
        <w:b/>
        <w:color w:val="7F7F7F" w:themeColor="text1" w:themeTint="80"/>
        <w:sz w:val="14"/>
        <w:szCs w:val="16"/>
      </w:rPr>
      <w:t xml:space="preserve"> </w:t>
    </w:r>
    <w:r w:rsidRPr="00E047CF">
      <w:rPr>
        <w:b/>
        <w:color w:val="7F7F7F" w:themeColor="text1" w:themeTint="80"/>
        <w:sz w:val="14"/>
        <w:szCs w:val="16"/>
      </w:rPr>
      <w:fldChar w:fldCharType="begin"/>
    </w:r>
    <w:r w:rsidRPr="00E047CF">
      <w:rPr>
        <w:b/>
        <w:color w:val="7F7F7F" w:themeColor="text1" w:themeTint="80"/>
        <w:sz w:val="14"/>
        <w:szCs w:val="16"/>
      </w:rPr>
      <w:instrText xml:space="preserve"> NUMPAGES  </w:instrText>
    </w:r>
    <w:r w:rsidRPr="00E047CF">
      <w:rPr>
        <w:b/>
        <w:color w:val="7F7F7F" w:themeColor="text1" w:themeTint="80"/>
        <w:sz w:val="14"/>
        <w:szCs w:val="16"/>
      </w:rPr>
      <w:fldChar w:fldCharType="separate"/>
    </w:r>
    <w:r w:rsidR="001461C5">
      <w:rPr>
        <w:b/>
        <w:noProof/>
        <w:color w:val="7F7F7F" w:themeColor="text1" w:themeTint="80"/>
        <w:sz w:val="14"/>
        <w:szCs w:val="16"/>
      </w:rPr>
      <w:t>12</w:t>
    </w:r>
    <w:r w:rsidRPr="00E047CF">
      <w:rPr>
        <w:b/>
        <w:color w:val="7F7F7F" w:themeColor="text1" w:themeTint="80"/>
        <w:sz w:val="14"/>
        <w:szCs w:val="16"/>
      </w:rPr>
      <w:fldChar w:fldCharType="end"/>
    </w:r>
  </w:p>
  <w:p w14:paraId="6B223511" w14:textId="77777777" w:rsidR="006976C4" w:rsidRDefault="006976C4" w:rsidP="006976C4">
    <w:pPr>
      <w:pStyle w:val="Footer"/>
      <w:jc w:val="right"/>
      <w:rPr>
        <w:b/>
        <w:color w:val="7F7F7F" w:themeColor="text1" w:themeTint="80"/>
        <w:sz w:val="14"/>
        <w:szCs w:val="16"/>
      </w:rPr>
    </w:pPr>
  </w:p>
  <w:p w14:paraId="1A5ACD3B" w14:textId="77777777" w:rsidR="006976C4" w:rsidRDefault="006976C4" w:rsidP="006976C4">
    <w:pPr>
      <w:pStyle w:val="Footer"/>
      <w:jc w:val="right"/>
      <w:rPr>
        <w:b/>
        <w:color w:val="7F7F7F" w:themeColor="text1" w:themeTint="80"/>
        <w:sz w:val="14"/>
        <w:szCs w:val="16"/>
      </w:rPr>
    </w:pPr>
    <w:r w:rsidRPr="00C239F9">
      <w:rPr>
        <w:b/>
        <w:noProof/>
        <w:color w:val="7F7F7F" w:themeColor="text1" w:themeTint="80"/>
        <w:sz w:val="14"/>
        <w:szCs w:val="16"/>
      </w:rPr>
      <mc:AlternateContent>
        <mc:Choice Requires="wps">
          <w:drawing>
            <wp:anchor distT="0" distB="0" distL="114300" distR="114300" simplePos="0" relativeHeight="251663360" behindDoc="0" locked="0" layoutInCell="1" allowOverlap="1" wp14:anchorId="58345427" wp14:editId="6A8D3B06">
              <wp:simplePos x="0" y="0"/>
              <wp:positionH relativeFrom="margin">
                <wp:posOffset>-94004</wp:posOffset>
              </wp:positionH>
              <wp:positionV relativeFrom="paragraph">
                <wp:posOffset>98425</wp:posOffset>
              </wp:positionV>
              <wp:extent cx="4213225" cy="309093"/>
              <wp:effectExtent l="0" t="0" r="0" b="0"/>
              <wp:wrapNone/>
              <wp:docPr id="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309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D1E7A" w14:textId="77777777" w:rsidR="006976C4" w:rsidRPr="00C239F9" w:rsidRDefault="006976C4" w:rsidP="006976C4">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45427" id="_x0000_t202" coordsize="21600,21600" o:spt="202" path="m,l,21600r21600,l21600,xe">
              <v:stroke joinstyle="miter"/>
              <v:path gradientshapeok="t" o:connecttype="rect"/>
            </v:shapetype>
            <v:shape id="Text Box 72" o:spid="_x0000_s1026" type="#_x0000_t202" style="position:absolute;left:0;text-align:left;margin-left:-7.4pt;margin-top:7.75pt;width:331.75pt;height:24.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idftAIAALo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" filled="f" stroked="f">
              <v:textbox>
                <w:txbxContent>
                  <w:p w14:paraId="5BED1E7A" w14:textId="77777777" w:rsidR="006976C4" w:rsidRPr="00C239F9" w:rsidRDefault="006976C4" w:rsidP="006976C4">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v:textbox>
              <w10:wrap anchorx="margin"/>
            </v:shape>
          </w:pict>
        </mc:Fallback>
      </mc:AlternateContent>
    </w:r>
    <w:r>
      <w:rPr>
        <w:b/>
        <w:noProof/>
        <w:color w:val="005190"/>
      </w:rPr>
      <mc:AlternateContent>
        <mc:Choice Requires="wps">
          <w:drawing>
            <wp:anchor distT="0" distB="0" distL="114300" distR="114300" simplePos="0" relativeHeight="251661312" behindDoc="0" locked="0" layoutInCell="1" allowOverlap="1" wp14:anchorId="471E53BC" wp14:editId="717F251E">
              <wp:simplePos x="0" y="0"/>
              <wp:positionH relativeFrom="leftMargin">
                <wp:posOffset>539750</wp:posOffset>
              </wp:positionH>
              <wp:positionV relativeFrom="paragraph">
                <wp:posOffset>19050</wp:posOffset>
              </wp:positionV>
              <wp:extent cx="6475095" cy="0"/>
              <wp:effectExtent l="6350" t="9525" r="5080" b="9525"/>
              <wp:wrapNone/>
              <wp:docPr id="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39F55" id="_x0000_t32" coordsize="21600,21600" o:spt="32" o:oned="t" path="m,l21600,21600e" filled="f">
              <v:path arrowok="t" fillok="f" o:connecttype="none"/>
              <o:lock v:ext="edit" shapetype="t"/>
            </v:shapetype>
            <v:shape id="AutoShape 74" o:spid="_x0000_s1026" type="#_x0000_t32" style="position:absolute;margin-left:42.5pt;margin-top:1.5pt;width:509.85pt;height:0;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" strokecolor="gray [1629]">
              <w10:wrap anchorx="margin"/>
            </v:shape>
          </w:pict>
        </mc:Fallback>
      </mc:AlternateContent>
    </w:r>
  </w:p>
  <w:p w14:paraId="2880143F" w14:textId="77777777" w:rsidR="006976C4" w:rsidRDefault="006976C4" w:rsidP="006976C4">
    <w:pPr>
      <w:pStyle w:val="Footer"/>
      <w:jc w:val="right"/>
      <w:rPr>
        <w:b/>
        <w:color w:val="7F7F7F" w:themeColor="text1" w:themeTint="80"/>
        <w:sz w:val="14"/>
        <w:szCs w:val="16"/>
      </w:rPr>
    </w:pPr>
    <w:r w:rsidRPr="00C239F9">
      <w:rPr>
        <w:b/>
        <w:noProof/>
        <w:color w:val="7F7F7F" w:themeColor="text1" w:themeTint="80"/>
        <w:sz w:val="14"/>
        <w:szCs w:val="16"/>
      </w:rPr>
      <w:drawing>
        <wp:anchor distT="0" distB="0" distL="114300" distR="114300" simplePos="0" relativeHeight="251664384" behindDoc="0" locked="0" layoutInCell="1" allowOverlap="1" wp14:anchorId="35BFD73A" wp14:editId="1BB09221">
          <wp:simplePos x="0" y="0"/>
          <wp:positionH relativeFrom="column">
            <wp:posOffset>5231130</wp:posOffset>
          </wp:positionH>
          <wp:positionV relativeFrom="paragraph">
            <wp:posOffset>59055</wp:posOffset>
          </wp:positionV>
          <wp:extent cx="541655" cy="179705"/>
          <wp:effectExtent l="19050" t="0" r="0" b="0"/>
          <wp:wrapNone/>
          <wp:docPr id="1" name="Picture 1" descr="\\cpi03-fs01.uk-cpi.com\users$\craig.edwards\CPI\CPI Presentation Template\Resources\CatapultLogo_CPI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03-fs01.uk-cpi.com\users$\craig.edwards\CPI\CPI Presentation Template\Resources\CatapultLogo_CPIBlue.png"/>
                  <pic:cNvPicPr>
                    <a:picLocks noChangeAspect="1" noChangeArrowheads="1"/>
                  </pic:cNvPicPr>
                </pic:nvPicPr>
                <pic:blipFill>
                  <a:blip r:embed="rId1"/>
                  <a:stretch>
                    <a:fillRect/>
                  </a:stretch>
                </pic:blipFill>
                <pic:spPr bwMode="auto">
                  <a:xfrm>
                    <a:off x="0" y="0"/>
                    <a:ext cx="541655" cy="179705"/>
                  </a:xfrm>
                  <a:prstGeom prst="rect">
                    <a:avLst/>
                  </a:prstGeom>
                  <a:noFill/>
                  <a:ln w="9525">
                    <a:noFill/>
                    <a:miter lim="800000"/>
                    <a:headEnd/>
                    <a:tailEnd/>
                  </a:ln>
                </pic:spPr>
              </pic:pic>
            </a:graphicData>
          </a:graphic>
        </wp:anchor>
      </w:drawing>
    </w:r>
    <w:r w:rsidRPr="00C239F9">
      <w:rPr>
        <w:b/>
        <w:noProof/>
        <w:color w:val="7F7F7F" w:themeColor="text1" w:themeTint="80"/>
        <w:sz w:val="14"/>
        <w:szCs w:val="16"/>
      </w:rPr>
      <w:drawing>
        <wp:anchor distT="0" distB="0" distL="114300" distR="114300" simplePos="0" relativeHeight="251665408" behindDoc="0" locked="0" layoutInCell="1" allowOverlap="1" wp14:anchorId="5FE2CF75" wp14:editId="1B3DA2AF">
          <wp:simplePos x="0" y="0"/>
          <wp:positionH relativeFrom="column">
            <wp:posOffset>5918835</wp:posOffset>
          </wp:positionH>
          <wp:positionV relativeFrom="paragraph">
            <wp:posOffset>10160</wp:posOffset>
          </wp:positionV>
          <wp:extent cx="553720" cy="254635"/>
          <wp:effectExtent l="0" t="0" r="5080" b="0"/>
          <wp:wrapNone/>
          <wp:docPr id="4" name="Picture 7" descr="\\cpi03-fs01.uk-cpi.com\users$\craig.edwards\CPI\Re-brand\CPI_NewLogo_Blu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i03-fs01.uk-cpi.com\users$\craig.edwards\CPI\Re-brand\CPI_NewLogo_BlueGrey.png"/>
                  <pic:cNvPicPr>
                    <a:picLocks noChangeAspect="1" noChangeArrowheads="1"/>
                  </pic:cNvPicPr>
                </pic:nvPicPr>
                <pic:blipFill>
                  <a:blip r:embed="rId2"/>
                  <a:stretch>
                    <a:fillRect/>
                  </a:stretch>
                </pic:blipFill>
                <pic:spPr bwMode="auto">
                  <a:xfrm>
                    <a:off x="0" y="0"/>
                    <a:ext cx="553720" cy="254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239F9">
      <w:rPr>
        <w:b/>
        <w:noProof/>
        <w:color w:val="7F7F7F" w:themeColor="text1" w:themeTint="80"/>
        <w:sz w:val="14"/>
        <w:szCs w:val="16"/>
      </w:rPr>
      <w:drawing>
        <wp:anchor distT="0" distB="0" distL="114300" distR="114300" simplePos="0" relativeHeight="251666432" behindDoc="0" locked="0" layoutInCell="1" allowOverlap="1" wp14:anchorId="2696CB9F" wp14:editId="020E6782">
          <wp:simplePos x="0" y="0"/>
          <wp:positionH relativeFrom="column">
            <wp:posOffset>4380207</wp:posOffset>
          </wp:positionH>
          <wp:positionV relativeFrom="page">
            <wp:posOffset>10111105</wp:posOffset>
          </wp:positionV>
          <wp:extent cx="699135" cy="171450"/>
          <wp:effectExtent l="0" t="0" r="0" b="0"/>
          <wp:wrapNone/>
          <wp:docPr id="12" name="Picture 12" descr="F:\Stock Assets\Branding, Icons and Imagery\ERDF\ERDF logos\Landscape\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ock Assets\Branding, Icons and Imagery\ERDF\ERDF logos\Landscape\LogoERDF_Col_Landscape.jpg"/>
                  <pic:cNvPicPr>
                    <a:picLocks noChangeAspect="1" noChangeArrowheads="1"/>
                  </pic:cNvPicPr>
                </pic:nvPicPr>
                <pic:blipFill rotWithShape="1">
                  <a:blip r:embed="rId3">
                    <a:extLst>
                      <a:ext uri="{28A0092B-C50C-407E-A947-70E740481C1C}">
                        <a14:useLocalDpi xmlns:a14="http://schemas.microsoft.com/office/drawing/2010/main" val="0"/>
                      </a:ext>
                    </a:extLst>
                  </a:blip>
                  <a:srcRect r="8637"/>
                  <a:stretch/>
                </pic:blipFill>
                <pic:spPr bwMode="auto">
                  <a:xfrm>
                    <a:off x="0" y="0"/>
                    <a:ext cx="699135"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95771F" w14:textId="77777777" w:rsidR="006976C4" w:rsidRDefault="006976C4" w:rsidP="006976C4">
    <w:pPr>
      <w:pStyle w:val="Footer"/>
      <w:jc w:val="right"/>
      <w:rPr>
        <w:b/>
        <w:color w:val="7F7F7F" w:themeColor="text1" w:themeTint="80"/>
        <w:sz w:val="14"/>
        <w:szCs w:val="16"/>
      </w:rPr>
    </w:pPr>
  </w:p>
  <w:p w14:paraId="0507CFFC" w14:textId="77777777" w:rsidR="006976C4" w:rsidRDefault="006976C4" w:rsidP="006976C4">
    <w:pPr>
      <w:pStyle w:val="Footer"/>
      <w:jc w:val="right"/>
      <w:rPr>
        <w:b/>
        <w:color w:val="7F7F7F" w:themeColor="text1" w:themeTint="80"/>
        <w:sz w:val="14"/>
        <w:szCs w:val="16"/>
      </w:rPr>
    </w:pPr>
  </w:p>
  <w:p w14:paraId="17C2A35B" w14:textId="77777777" w:rsidR="006976C4" w:rsidRDefault="006976C4" w:rsidP="006976C4">
    <w:pPr>
      <w:pStyle w:val="Footer"/>
      <w:jc w:val="right"/>
      <w:rPr>
        <w:b/>
        <w:color w:val="7F7F7F" w:themeColor="text1" w:themeTint="80"/>
        <w:sz w:val="14"/>
        <w:szCs w:val="16"/>
      </w:rPr>
    </w:pPr>
  </w:p>
  <w:p w14:paraId="2101A55D" w14:textId="77777777" w:rsidR="006976C4" w:rsidRPr="00E047CF" w:rsidRDefault="006976C4" w:rsidP="006976C4">
    <w:pPr>
      <w:pStyle w:val="Footer"/>
      <w:jc w:val="right"/>
      <w:rPr>
        <w:b/>
        <w:color w:val="7F7F7F" w:themeColor="text1" w:themeTint="80"/>
        <w:sz w:val="14"/>
        <w:szCs w:val="16"/>
      </w:rPr>
    </w:pPr>
  </w:p>
  <w:p w14:paraId="5731A951" w14:textId="77777777" w:rsidR="006976C4" w:rsidRPr="007617AE" w:rsidRDefault="006976C4" w:rsidP="006976C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DE43" w14:textId="77777777" w:rsidR="006976C4" w:rsidRDefault="006976C4" w:rsidP="006976C4">
    <w:pPr>
      <w:pStyle w:val="Footer"/>
      <w:jc w:val="right"/>
      <w:rPr>
        <w:b/>
        <w:color w:val="7F7F7F" w:themeColor="text1" w:themeTint="80"/>
        <w:sz w:val="14"/>
        <w:szCs w:val="16"/>
      </w:rPr>
    </w:pPr>
  </w:p>
  <w:p w14:paraId="0E79B32B" w14:textId="77777777" w:rsidR="006976C4" w:rsidRDefault="006976C4" w:rsidP="006976C4">
    <w:pPr>
      <w:pStyle w:val="Footer"/>
      <w:jc w:val="right"/>
      <w:rPr>
        <w:b/>
        <w:color w:val="7F7F7F" w:themeColor="text1" w:themeTint="80"/>
        <w:sz w:val="14"/>
        <w:szCs w:val="16"/>
      </w:rPr>
    </w:pPr>
    <w:r>
      <w:rPr>
        <w:b/>
        <w:color w:val="7F7F7F" w:themeColor="text1" w:themeTint="80"/>
        <w:sz w:val="14"/>
        <w:szCs w:val="16"/>
      </w:rPr>
      <w:t xml:space="preserve">Page </w:t>
    </w:r>
    <w:r w:rsidRPr="00E047CF">
      <w:rPr>
        <w:b/>
        <w:color w:val="7F7F7F" w:themeColor="text1" w:themeTint="80"/>
        <w:sz w:val="14"/>
        <w:szCs w:val="16"/>
      </w:rPr>
      <w:fldChar w:fldCharType="begin"/>
    </w:r>
    <w:r w:rsidRPr="00E047CF">
      <w:rPr>
        <w:b/>
        <w:color w:val="7F7F7F" w:themeColor="text1" w:themeTint="80"/>
        <w:sz w:val="14"/>
        <w:szCs w:val="16"/>
      </w:rPr>
      <w:instrText xml:space="preserve"> PAGE   \* MERGEFORMAT </w:instrText>
    </w:r>
    <w:r w:rsidRPr="00E047CF">
      <w:rPr>
        <w:b/>
        <w:color w:val="7F7F7F" w:themeColor="text1" w:themeTint="80"/>
        <w:sz w:val="14"/>
        <w:szCs w:val="16"/>
      </w:rPr>
      <w:fldChar w:fldCharType="separate"/>
    </w:r>
    <w:r w:rsidR="00FA5E83">
      <w:rPr>
        <w:b/>
        <w:noProof/>
        <w:color w:val="7F7F7F" w:themeColor="text1" w:themeTint="80"/>
        <w:sz w:val="14"/>
        <w:szCs w:val="16"/>
      </w:rPr>
      <w:t>1</w:t>
    </w:r>
    <w:r w:rsidRPr="00E047CF">
      <w:rPr>
        <w:b/>
        <w:color w:val="7F7F7F" w:themeColor="text1" w:themeTint="80"/>
        <w:sz w:val="14"/>
        <w:szCs w:val="16"/>
      </w:rPr>
      <w:fldChar w:fldCharType="end"/>
    </w:r>
    <w:r w:rsidRPr="00E047CF">
      <w:rPr>
        <w:b/>
        <w:color w:val="7F7F7F" w:themeColor="text1" w:themeTint="80"/>
        <w:sz w:val="14"/>
        <w:szCs w:val="16"/>
      </w:rPr>
      <w:t xml:space="preserve"> </w:t>
    </w:r>
    <w:r>
      <w:rPr>
        <w:b/>
        <w:color w:val="7F7F7F" w:themeColor="text1" w:themeTint="80"/>
        <w:sz w:val="14"/>
        <w:szCs w:val="16"/>
      </w:rPr>
      <w:t>/</w:t>
    </w:r>
    <w:r w:rsidRPr="00E047CF">
      <w:rPr>
        <w:b/>
        <w:color w:val="7F7F7F" w:themeColor="text1" w:themeTint="80"/>
        <w:sz w:val="14"/>
        <w:szCs w:val="16"/>
      </w:rPr>
      <w:t xml:space="preserve"> </w:t>
    </w:r>
    <w:r w:rsidRPr="00E047CF">
      <w:rPr>
        <w:b/>
        <w:color w:val="7F7F7F" w:themeColor="text1" w:themeTint="80"/>
        <w:sz w:val="14"/>
        <w:szCs w:val="16"/>
      </w:rPr>
      <w:fldChar w:fldCharType="begin"/>
    </w:r>
    <w:r w:rsidRPr="00E047CF">
      <w:rPr>
        <w:b/>
        <w:color w:val="7F7F7F" w:themeColor="text1" w:themeTint="80"/>
        <w:sz w:val="14"/>
        <w:szCs w:val="16"/>
      </w:rPr>
      <w:instrText xml:space="preserve"> NUMPAGES  </w:instrText>
    </w:r>
    <w:r w:rsidRPr="00E047CF">
      <w:rPr>
        <w:b/>
        <w:color w:val="7F7F7F" w:themeColor="text1" w:themeTint="80"/>
        <w:sz w:val="14"/>
        <w:szCs w:val="16"/>
      </w:rPr>
      <w:fldChar w:fldCharType="separate"/>
    </w:r>
    <w:r w:rsidR="00FA5E83">
      <w:rPr>
        <w:b/>
        <w:noProof/>
        <w:color w:val="7F7F7F" w:themeColor="text1" w:themeTint="80"/>
        <w:sz w:val="14"/>
        <w:szCs w:val="16"/>
      </w:rPr>
      <w:t>12</w:t>
    </w:r>
    <w:r w:rsidRPr="00E047CF">
      <w:rPr>
        <w:b/>
        <w:color w:val="7F7F7F" w:themeColor="text1" w:themeTint="80"/>
        <w:sz w:val="14"/>
        <w:szCs w:val="16"/>
      </w:rPr>
      <w:fldChar w:fldCharType="end"/>
    </w:r>
  </w:p>
  <w:p w14:paraId="6DDB31CA" w14:textId="77777777" w:rsidR="006976C4" w:rsidRDefault="006976C4" w:rsidP="006976C4">
    <w:pPr>
      <w:pStyle w:val="Footer"/>
      <w:jc w:val="right"/>
      <w:rPr>
        <w:b/>
        <w:color w:val="7F7F7F" w:themeColor="text1" w:themeTint="80"/>
        <w:sz w:val="14"/>
        <w:szCs w:val="16"/>
      </w:rPr>
    </w:pPr>
  </w:p>
  <w:p w14:paraId="0D1202EE" w14:textId="77777777" w:rsidR="006976C4" w:rsidRDefault="006976C4" w:rsidP="006976C4">
    <w:pPr>
      <w:pStyle w:val="Footer"/>
      <w:jc w:val="right"/>
      <w:rPr>
        <w:b/>
        <w:color w:val="7F7F7F" w:themeColor="text1" w:themeTint="80"/>
        <w:sz w:val="14"/>
        <w:szCs w:val="16"/>
      </w:rPr>
    </w:pPr>
    <w:r>
      <w:rPr>
        <w:b/>
        <w:noProof/>
        <w:color w:val="005190"/>
      </w:rPr>
      <mc:AlternateContent>
        <mc:Choice Requires="wps">
          <w:drawing>
            <wp:anchor distT="0" distB="0" distL="114300" distR="114300" simplePos="0" relativeHeight="251662336" behindDoc="0" locked="0" layoutInCell="1" allowOverlap="1" wp14:anchorId="7DA5AA68" wp14:editId="57876339">
              <wp:simplePos x="0" y="0"/>
              <wp:positionH relativeFrom="leftMargin">
                <wp:posOffset>539750</wp:posOffset>
              </wp:positionH>
              <wp:positionV relativeFrom="paragraph">
                <wp:posOffset>19050</wp:posOffset>
              </wp:positionV>
              <wp:extent cx="6475095" cy="0"/>
              <wp:effectExtent l="6350" t="9525" r="5080" b="9525"/>
              <wp:wrapNone/>
              <wp:docPr id="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5095"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7866B" id="_x0000_t32" coordsize="21600,21600" o:spt="32" o:oned="t" path="m,l21600,21600e" filled="f">
              <v:path arrowok="t" fillok="f" o:connecttype="none"/>
              <o:lock v:ext="edit" shapetype="t"/>
            </v:shapetype>
            <v:shape id="AutoShape 80" o:spid="_x0000_s1026" type="#_x0000_t32" style="position:absolute;margin-left:42.5pt;margin-top:1.5pt;width:509.85pt;height:0;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" strokecolor="gray [1629]">
              <w10:wrap anchorx="margin"/>
            </v:shape>
          </w:pict>
        </mc:Fallback>
      </mc:AlternateContent>
    </w:r>
  </w:p>
  <w:p w14:paraId="07071159" w14:textId="77777777" w:rsidR="006976C4" w:rsidRDefault="006976C4" w:rsidP="006976C4">
    <w:pPr>
      <w:pStyle w:val="Footer"/>
      <w:jc w:val="right"/>
      <w:rPr>
        <w:b/>
        <w:color w:val="7F7F7F" w:themeColor="text1" w:themeTint="80"/>
        <w:sz w:val="14"/>
        <w:szCs w:val="16"/>
      </w:rPr>
    </w:pPr>
    <w:r>
      <w:rPr>
        <w:noProof/>
      </w:rPr>
      <w:drawing>
        <wp:anchor distT="0" distB="0" distL="114300" distR="114300" simplePos="0" relativeHeight="251659264" behindDoc="0" locked="0" layoutInCell="1" allowOverlap="1" wp14:anchorId="7FF673D2" wp14:editId="2CC631A2">
          <wp:simplePos x="0" y="0"/>
          <wp:positionH relativeFrom="column">
            <wp:posOffset>5723890</wp:posOffset>
          </wp:positionH>
          <wp:positionV relativeFrom="paragraph">
            <wp:posOffset>33020</wp:posOffset>
          </wp:positionV>
          <wp:extent cx="748665" cy="248285"/>
          <wp:effectExtent l="19050" t="0" r="0" b="0"/>
          <wp:wrapNone/>
          <wp:docPr id="13" name="Picture 1" descr="\\cpi03-fs01.uk-cpi.com\users$\craig.edwards\CPI\CPI Presentation Template\Resources\CatapultLogo_CPI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03-fs01.uk-cpi.com\users$\craig.edwards\CPI\CPI Presentation Template\Resources\CatapultLogo_CPIBlue.png"/>
                  <pic:cNvPicPr>
                    <a:picLocks noChangeAspect="1" noChangeArrowheads="1"/>
                  </pic:cNvPicPr>
                </pic:nvPicPr>
                <pic:blipFill>
                  <a:blip r:embed="rId1"/>
                  <a:stretch>
                    <a:fillRect/>
                  </a:stretch>
                </pic:blipFill>
                <pic:spPr bwMode="auto">
                  <a:xfrm>
                    <a:off x="0" y="0"/>
                    <a:ext cx="748665" cy="248285"/>
                  </a:xfrm>
                  <a:prstGeom prst="rect">
                    <a:avLst/>
                  </a:prstGeom>
                  <a:noFill/>
                  <a:ln w="9525">
                    <a:noFill/>
                    <a:miter lim="800000"/>
                    <a:headEnd/>
                    <a:tailEnd/>
                  </a:ln>
                </pic:spPr>
              </pic:pic>
            </a:graphicData>
          </a:graphic>
        </wp:anchor>
      </w:drawing>
    </w:r>
    <w:r>
      <w:rPr>
        <w:b/>
        <w:noProof/>
        <w:color w:val="7F7F7F" w:themeColor="text1" w:themeTint="80"/>
        <w:sz w:val="14"/>
        <w:szCs w:val="16"/>
      </w:rPr>
      <w:drawing>
        <wp:anchor distT="0" distB="0" distL="114300" distR="114300" simplePos="0" relativeHeight="251660288" behindDoc="0" locked="0" layoutInCell="1" allowOverlap="1" wp14:anchorId="4A6ACE85" wp14:editId="7E81A6C5">
          <wp:simplePos x="0" y="0"/>
          <wp:positionH relativeFrom="column">
            <wp:posOffset>4517390</wp:posOffset>
          </wp:positionH>
          <wp:positionV relativeFrom="page">
            <wp:posOffset>10088589</wp:posOffset>
          </wp:positionV>
          <wp:extent cx="1012825" cy="248285"/>
          <wp:effectExtent l="0" t="0" r="0" b="0"/>
          <wp:wrapNone/>
          <wp:docPr id="2" name="Picture 2" descr="F:\Stock Assets\Branding, Icons and Imagery\ERDF\ERDF logos\Landscape\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ock Assets\Branding, Icons and Imagery\ERDF\ERDF logos\Landscape\LogoERDF_Col_Landscape.jpg"/>
                  <pic:cNvPicPr>
                    <a:picLocks noChangeAspect="1" noChangeArrowheads="1"/>
                  </pic:cNvPicPr>
                </pic:nvPicPr>
                <pic:blipFill rotWithShape="1">
                  <a:blip r:embed="rId2">
                    <a:extLst>
                      <a:ext uri="{28A0092B-C50C-407E-A947-70E740481C1C}">
                        <a14:useLocalDpi xmlns:a14="http://schemas.microsoft.com/office/drawing/2010/main" val="0"/>
                      </a:ext>
                    </a:extLst>
                  </a:blip>
                  <a:srcRect r="8637"/>
                  <a:stretch/>
                </pic:blipFill>
                <pic:spPr bwMode="auto">
                  <a:xfrm>
                    <a:off x="0" y="0"/>
                    <a:ext cx="1012825" cy="248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39F9">
      <w:rPr>
        <w:b/>
        <w:noProof/>
        <w:color w:val="7F7F7F" w:themeColor="text1" w:themeTint="80"/>
        <w:sz w:val="14"/>
        <w:szCs w:val="16"/>
      </w:rPr>
      <mc:AlternateContent>
        <mc:Choice Requires="wps">
          <w:drawing>
            <wp:anchor distT="0" distB="0" distL="114300" distR="114300" simplePos="0" relativeHeight="251667456" behindDoc="0" locked="0" layoutInCell="1" allowOverlap="1" wp14:anchorId="4EE7C754" wp14:editId="2CD6D3C8">
              <wp:simplePos x="0" y="0"/>
              <wp:positionH relativeFrom="margin">
                <wp:posOffset>-93980</wp:posOffset>
              </wp:positionH>
              <wp:positionV relativeFrom="paragraph">
                <wp:posOffset>-3810</wp:posOffset>
              </wp:positionV>
              <wp:extent cx="4213225" cy="309093"/>
              <wp:effectExtent l="0" t="0" r="0" b="0"/>
              <wp:wrapNone/>
              <wp:docPr id="1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309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16FC0" w14:textId="77777777" w:rsidR="006976C4" w:rsidRPr="00C239F9" w:rsidRDefault="006976C4" w:rsidP="006976C4">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7C754" id="_x0000_t202" coordsize="21600,21600" o:spt="202" path="m,l,21600r21600,l21600,xe">
              <v:stroke joinstyle="miter"/>
              <v:path gradientshapeok="t" o:connecttype="rect"/>
            </v:shapetype>
            <v:shape id="_x0000_s1027" type="#_x0000_t202" style="position:absolute;left:0;text-align:left;margin-left:-7.4pt;margin-top:-.3pt;width:331.75pt;height:2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1BWuA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" filled="f" stroked="f">
              <v:textbox>
                <w:txbxContent>
                  <w:p w14:paraId="36D16FC0" w14:textId="77777777" w:rsidR="006976C4" w:rsidRPr="00C239F9" w:rsidRDefault="006976C4" w:rsidP="006976C4">
                    <w:pPr>
                      <w:pStyle w:val="DocumentCoverDate"/>
                      <w:rPr>
                        <w:sz w:val="12"/>
                      </w:rPr>
                    </w:pPr>
                    <w:r w:rsidRPr="00C44EAE">
                      <w:rPr>
                        <w:color w:val="005190"/>
                        <w:sz w:val="12"/>
                      </w:rPr>
                      <w:t>Head Office:</w:t>
                    </w:r>
                    <w:r w:rsidRPr="00C44EAE">
                      <w:rPr>
                        <w:sz w:val="12"/>
                      </w:rPr>
                      <w:t xml:space="preserve"> </w:t>
                    </w:r>
                    <w:r w:rsidRPr="00C239F9">
                      <w:rPr>
                        <w:b w:val="0"/>
                        <w:sz w:val="12"/>
                      </w:rPr>
                      <w:t>CPI, Wilton Centre, Wilton, Redcar, Cleveland, TS10 4RF, UNITED KINGDOM</w:t>
                    </w:r>
                    <w:r>
                      <w:rPr>
                        <w:sz w:val="12"/>
                      </w:rPr>
                      <w:br/>
                    </w:r>
                    <w:r w:rsidRPr="00C44EAE">
                      <w:rPr>
                        <w:color w:val="005190"/>
                        <w:sz w:val="12"/>
                        <w:lang w:val="fr-FR"/>
                      </w:rPr>
                      <w:t>Tel:</w:t>
                    </w:r>
                    <w:r w:rsidRPr="00C44EAE">
                      <w:rPr>
                        <w:sz w:val="12"/>
                        <w:lang w:val="fr-FR"/>
                      </w:rPr>
                      <w:t xml:space="preserve"> </w:t>
                    </w:r>
                    <w:r w:rsidRPr="00C239F9">
                      <w:rPr>
                        <w:b w:val="0"/>
                        <w:sz w:val="12"/>
                        <w:lang w:val="fr-FR"/>
                      </w:rPr>
                      <w:t>+44 (0)1642 455 340</w:t>
                    </w:r>
                    <w:r w:rsidRPr="00C44EAE">
                      <w:rPr>
                        <w:sz w:val="12"/>
                        <w:lang w:val="fr-FR"/>
                      </w:rPr>
                      <w:tab/>
                    </w:r>
                    <w:r w:rsidRPr="00C44EAE">
                      <w:rPr>
                        <w:color w:val="005190"/>
                        <w:sz w:val="12"/>
                        <w:lang w:val="fr-FR"/>
                      </w:rPr>
                      <w:t>Email:</w:t>
                    </w:r>
                    <w:r w:rsidRPr="00C44EAE">
                      <w:rPr>
                        <w:sz w:val="12"/>
                        <w:lang w:val="fr-FR"/>
                      </w:rPr>
                      <w:t xml:space="preserve"> </w:t>
                    </w:r>
                    <w:r w:rsidRPr="00C239F9">
                      <w:rPr>
                        <w:b w:val="0"/>
                        <w:sz w:val="12"/>
                        <w:lang w:val="fr-FR"/>
                      </w:rPr>
                      <w:t>info@uk-cpi.com</w:t>
                    </w:r>
                    <w:r w:rsidRPr="00C44EAE">
                      <w:rPr>
                        <w:sz w:val="12"/>
                        <w:lang w:val="fr-FR"/>
                      </w:rPr>
                      <w:tab/>
                    </w:r>
                    <w:r w:rsidRPr="00C44EAE">
                      <w:rPr>
                        <w:color w:val="005190"/>
                        <w:sz w:val="12"/>
                        <w:lang w:val="fr-FR"/>
                      </w:rPr>
                      <w:t>Web:</w:t>
                    </w:r>
                    <w:r w:rsidRPr="00C44EAE">
                      <w:rPr>
                        <w:sz w:val="12"/>
                        <w:lang w:val="fr-FR"/>
                      </w:rPr>
                      <w:t xml:space="preserve"> </w:t>
                    </w:r>
                    <w:r w:rsidRPr="00C239F9">
                      <w:rPr>
                        <w:b w:val="0"/>
                        <w:sz w:val="12"/>
                        <w:lang w:val="fr-FR"/>
                      </w:rPr>
                      <w:t>www.uk-cpi.com</w:t>
                    </w:r>
                  </w:p>
                </w:txbxContent>
              </v:textbox>
              <w10:wrap anchorx="margin"/>
            </v:shape>
          </w:pict>
        </mc:Fallback>
      </mc:AlternateContent>
    </w:r>
  </w:p>
  <w:p w14:paraId="35312F3E" w14:textId="77777777" w:rsidR="006976C4" w:rsidRDefault="006976C4" w:rsidP="006976C4">
    <w:pPr>
      <w:pStyle w:val="Footer"/>
      <w:jc w:val="right"/>
      <w:rPr>
        <w:b/>
        <w:color w:val="7F7F7F" w:themeColor="text1" w:themeTint="80"/>
        <w:sz w:val="14"/>
        <w:szCs w:val="16"/>
      </w:rPr>
    </w:pPr>
  </w:p>
  <w:p w14:paraId="3AEE21EF" w14:textId="77777777" w:rsidR="006976C4" w:rsidRDefault="006976C4" w:rsidP="006976C4">
    <w:pPr>
      <w:pStyle w:val="Footer"/>
      <w:jc w:val="right"/>
      <w:rPr>
        <w:b/>
        <w:color w:val="7F7F7F" w:themeColor="text1" w:themeTint="80"/>
        <w:sz w:val="14"/>
        <w:szCs w:val="16"/>
      </w:rPr>
    </w:pPr>
  </w:p>
  <w:p w14:paraId="5C98A171" w14:textId="77777777" w:rsidR="006976C4" w:rsidRDefault="006976C4" w:rsidP="006976C4">
    <w:pPr>
      <w:pStyle w:val="Footer"/>
      <w:jc w:val="right"/>
      <w:rPr>
        <w:b/>
        <w:color w:val="7F7F7F" w:themeColor="text1" w:themeTint="80"/>
        <w:sz w:val="14"/>
        <w:szCs w:val="16"/>
      </w:rPr>
    </w:pPr>
  </w:p>
  <w:p w14:paraId="66766129" w14:textId="77777777" w:rsidR="006976C4" w:rsidRPr="00E047CF" w:rsidRDefault="006976C4" w:rsidP="006976C4">
    <w:pPr>
      <w:pStyle w:val="Footer"/>
      <w:jc w:val="right"/>
      <w:rPr>
        <w:b/>
        <w:color w:val="7F7F7F" w:themeColor="text1" w:themeTint="80"/>
        <w:sz w:val="14"/>
        <w:szCs w:val="16"/>
      </w:rPr>
    </w:pPr>
  </w:p>
  <w:p w14:paraId="667A5E6C" w14:textId="77777777" w:rsidR="006976C4" w:rsidRPr="00BA2E5B" w:rsidRDefault="006976C4" w:rsidP="0069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BE490" w14:textId="77777777" w:rsidR="006976C4" w:rsidRDefault="006976C4" w:rsidP="00A12E7B">
      <w:pPr>
        <w:spacing w:after="0" w:line="240" w:lineRule="auto"/>
      </w:pPr>
      <w:r>
        <w:separator/>
      </w:r>
    </w:p>
  </w:footnote>
  <w:footnote w:type="continuationSeparator" w:id="0">
    <w:p w14:paraId="132FA904" w14:textId="77777777" w:rsidR="006976C4" w:rsidRDefault="006976C4" w:rsidP="00A12E7B">
      <w:pPr>
        <w:spacing w:after="0" w:line="240" w:lineRule="auto"/>
      </w:pPr>
      <w:r>
        <w:continuationSeparator/>
      </w:r>
    </w:p>
  </w:footnote>
  <w:footnote w:id="1">
    <w:p w14:paraId="323A2D0C" w14:textId="77777777" w:rsidR="003D2103" w:rsidRDefault="003D2103" w:rsidP="003D2103">
      <w:pPr>
        <w:pStyle w:val="FootnoteText"/>
      </w:pPr>
      <w:r>
        <w:rPr>
          <w:rStyle w:val="FootnoteReference"/>
        </w:rPr>
        <w:footnoteRef/>
      </w:r>
      <w:r>
        <w:t xml:space="preserve"> Public Procurement Regulations 2015 Reg 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89EAF" w14:textId="77777777" w:rsidR="006976C4" w:rsidRDefault="006976C4" w:rsidP="006976C4">
    <w:pPr>
      <w:pStyle w:val="Header"/>
      <w:tabs>
        <w:tab w:val="clear" w:pos="4513"/>
        <w:tab w:val="clear" w:pos="9026"/>
      </w:tabs>
      <w:spacing w:line="276" w:lineRule="auto"/>
      <w:rPr>
        <w:b/>
        <w:sz w:val="14"/>
      </w:rPr>
    </w:pPr>
  </w:p>
  <w:p w14:paraId="382C5F0A" w14:textId="77777777" w:rsidR="006976C4" w:rsidRDefault="006976C4" w:rsidP="006976C4">
    <w:pPr>
      <w:pStyle w:val="Header"/>
      <w:tabs>
        <w:tab w:val="clear" w:pos="4513"/>
        <w:tab w:val="clear" w:pos="9026"/>
      </w:tabs>
      <w:spacing w:line="276" w:lineRule="auto"/>
      <w:rPr>
        <w:b/>
        <w:sz w:val="14"/>
      </w:rPr>
    </w:pPr>
  </w:p>
  <w:p w14:paraId="1946D6B4" w14:textId="77777777" w:rsidR="006976C4" w:rsidRPr="00BA2E5B" w:rsidRDefault="006976C4" w:rsidP="006976C4">
    <w:pPr>
      <w:rPr>
        <w:b/>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EA7C1" w14:textId="77777777" w:rsidR="006976C4" w:rsidRDefault="006976C4">
    <w:pPr>
      <w:pStyle w:val="Header"/>
    </w:pPr>
  </w:p>
  <w:p w14:paraId="3BF681E3" w14:textId="77777777" w:rsidR="006976C4" w:rsidRDefault="006976C4">
    <w:pPr>
      <w:pStyle w:val="Header"/>
    </w:pPr>
  </w:p>
  <w:p w14:paraId="7AE1B515" w14:textId="62F86C1B" w:rsidR="006976C4" w:rsidRDefault="00054D89">
    <w:pPr>
      <w:pStyle w:val="Header"/>
    </w:pPr>
    <w:r>
      <w:t>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56D"/>
    <w:multiLevelType w:val="hybridMultilevel"/>
    <w:tmpl w:val="8DCEB0C6"/>
    <w:lvl w:ilvl="0" w:tplc="1450A1B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5265CB"/>
    <w:multiLevelType w:val="multilevel"/>
    <w:tmpl w:val="31E0DD1E"/>
    <w:lvl w:ilvl="0">
      <w:start w:val="1"/>
      <w:numFmt w:val="decimal"/>
      <w:pStyle w:val="Ref-Lvl1"/>
      <w:lvlText w:val="%1"/>
      <w:lvlJc w:val="left"/>
      <w:pPr>
        <w:ind w:left="567" w:hanging="567"/>
      </w:pPr>
      <w:rPr>
        <w:rFonts w:hint="default"/>
      </w:rPr>
    </w:lvl>
    <w:lvl w:ilvl="1">
      <w:start w:val="1"/>
      <w:numFmt w:val="decimal"/>
      <w:pStyle w:val="Ref-Lvl2"/>
      <w:lvlText w:val="%1.%2"/>
      <w:lvlJc w:val="left"/>
      <w:pPr>
        <w:ind w:left="1134" w:hanging="567"/>
      </w:pPr>
      <w:rPr>
        <w:rFonts w:ascii="Arial" w:hAnsi="Arial" w:hint="default"/>
        <w:b w:val="0"/>
        <w:i w:val="0"/>
        <w:sz w:val="16"/>
      </w:rPr>
    </w:lvl>
    <w:lvl w:ilvl="2">
      <w:start w:val="1"/>
      <w:numFmt w:val="decimal"/>
      <w:pStyle w:val="Ref-Lvl3"/>
      <w:lvlText w:val="%1.%2.%3"/>
      <w:lvlJc w:val="left"/>
      <w:pPr>
        <w:ind w:left="1701" w:hanging="567"/>
      </w:pPr>
      <w:rPr>
        <w:rFonts w:hint="default"/>
      </w:rPr>
    </w:lvl>
    <w:lvl w:ilvl="3">
      <w:start w:val="1"/>
      <w:numFmt w:val="decimal"/>
      <w:pStyle w:val="Ref-Lvl4"/>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4A131103"/>
    <w:multiLevelType w:val="hybridMultilevel"/>
    <w:tmpl w:val="C65404B8"/>
    <w:lvl w:ilvl="0" w:tplc="4C8AD750">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B4767E"/>
    <w:multiLevelType w:val="hybridMultilevel"/>
    <w:tmpl w:val="12DCEE28"/>
    <w:lvl w:ilvl="0" w:tplc="089CC958">
      <w:start w:val="1"/>
      <w:numFmt w:val="decimal"/>
      <w:lvlText w:val="%1."/>
      <w:lvlJc w:val="left"/>
      <w:pPr>
        <w:ind w:left="720" w:hanging="360"/>
      </w:pPr>
      <w:rPr>
        <w:rFonts w:hint="default"/>
        <w:color w:val="005190"/>
      </w:rPr>
    </w:lvl>
    <w:lvl w:ilvl="1" w:tplc="0178A0F0">
      <w:numFmt w:val="bullet"/>
      <w:lvlText w:val=""/>
      <w:lvlJc w:val="left"/>
      <w:pPr>
        <w:ind w:left="1440" w:hanging="360"/>
      </w:pPr>
      <w:rPr>
        <w:rFonts w:ascii="CIDFont+F4" w:eastAsia="CIDFont+F4" w:hAnsi="CIDFont+F2" w:cs="CIDFont+F4"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38097C"/>
    <w:multiLevelType w:val="hybridMultilevel"/>
    <w:tmpl w:val="0CE65474"/>
    <w:lvl w:ilvl="0" w:tplc="089CC958">
      <w:start w:val="1"/>
      <w:numFmt w:val="decimal"/>
      <w:lvlText w:val="%1."/>
      <w:lvlJc w:val="left"/>
      <w:pPr>
        <w:ind w:left="720" w:hanging="360"/>
      </w:pPr>
      <w:rPr>
        <w:rFonts w:hint="default"/>
        <w:color w:val="00519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E14C04"/>
    <w:multiLevelType w:val="hybridMultilevel"/>
    <w:tmpl w:val="D6762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020F7"/>
    <w:multiLevelType w:val="hybridMultilevel"/>
    <w:tmpl w:val="689487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7B"/>
    <w:rsid w:val="00000250"/>
    <w:rsid w:val="00036428"/>
    <w:rsid w:val="00052035"/>
    <w:rsid w:val="00054D89"/>
    <w:rsid w:val="000A3BD0"/>
    <w:rsid w:val="000B0DC0"/>
    <w:rsid w:val="001461C5"/>
    <w:rsid w:val="00153AE6"/>
    <w:rsid w:val="001639B6"/>
    <w:rsid w:val="00171811"/>
    <w:rsid w:val="001D48DB"/>
    <w:rsid w:val="00243B1B"/>
    <w:rsid w:val="00286036"/>
    <w:rsid w:val="00292BB4"/>
    <w:rsid w:val="002C231E"/>
    <w:rsid w:val="00305449"/>
    <w:rsid w:val="0032762F"/>
    <w:rsid w:val="00344E7E"/>
    <w:rsid w:val="003602F5"/>
    <w:rsid w:val="00377752"/>
    <w:rsid w:val="0039036A"/>
    <w:rsid w:val="003A02D1"/>
    <w:rsid w:val="003D0CBA"/>
    <w:rsid w:val="003D2103"/>
    <w:rsid w:val="003E6A53"/>
    <w:rsid w:val="00472A92"/>
    <w:rsid w:val="004856A8"/>
    <w:rsid w:val="004C15C4"/>
    <w:rsid w:val="004F0C58"/>
    <w:rsid w:val="00501309"/>
    <w:rsid w:val="00510E05"/>
    <w:rsid w:val="00511233"/>
    <w:rsid w:val="00534ECD"/>
    <w:rsid w:val="005A14B6"/>
    <w:rsid w:val="005A182C"/>
    <w:rsid w:val="005B1F05"/>
    <w:rsid w:val="005D09CD"/>
    <w:rsid w:val="006142B2"/>
    <w:rsid w:val="0061668F"/>
    <w:rsid w:val="00645454"/>
    <w:rsid w:val="0064563F"/>
    <w:rsid w:val="0065577E"/>
    <w:rsid w:val="006976C4"/>
    <w:rsid w:val="006D79B5"/>
    <w:rsid w:val="007E06DF"/>
    <w:rsid w:val="007E4003"/>
    <w:rsid w:val="008143EA"/>
    <w:rsid w:val="0082090E"/>
    <w:rsid w:val="00850F1E"/>
    <w:rsid w:val="00851497"/>
    <w:rsid w:val="0088612E"/>
    <w:rsid w:val="008F5A77"/>
    <w:rsid w:val="009458C0"/>
    <w:rsid w:val="0098773C"/>
    <w:rsid w:val="009A6924"/>
    <w:rsid w:val="009C3650"/>
    <w:rsid w:val="009D5679"/>
    <w:rsid w:val="009E6F1C"/>
    <w:rsid w:val="00A00A9B"/>
    <w:rsid w:val="00A01F0B"/>
    <w:rsid w:val="00A037F1"/>
    <w:rsid w:val="00A12E7B"/>
    <w:rsid w:val="00A92A83"/>
    <w:rsid w:val="00A956FB"/>
    <w:rsid w:val="00AC1233"/>
    <w:rsid w:val="00AE2552"/>
    <w:rsid w:val="00B03DEF"/>
    <w:rsid w:val="00B553D5"/>
    <w:rsid w:val="00B740A0"/>
    <w:rsid w:val="00B778E4"/>
    <w:rsid w:val="00BB4C8B"/>
    <w:rsid w:val="00BE5ACD"/>
    <w:rsid w:val="00C405AB"/>
    <w:rsid w:val="00C65A94"/>
    <w:rsid w:val="00C93288"/>
    <w:rsid w:val="00CD2C7A"/>
    <w:rsid w:val="00D3539F"/>
    <w:rsid w:val="00D62E92"/>
    <w:rsid w:val="00D63FB6"/>
    <w:rsid w:val="00DD28D9"/>
    <w:rsid w:val="00E826F2"/>
    <w:rsid w:val="00E84DB0"/>
    <w:rsid w:val="00E96E62"/>
    <w:rsid w:val="00F01CFA"/>
    <w:rsid w:val="00F51C70"/>
    <w:rsid w:val="00F710CE"/>
    <w:rsid w:val="00F858AC"/>
    <w:rsid w:val="00FA2266"/>
    <w:rsid w:val="00FA5E83"/>
    <w:rsid w:val="00FA7F82"/>
    <w:rsid w:val="00FC478F"/>
    <w:rsid w:val="00FD161B"/>
    <w:rsid w:val="00FD58C3"/>
    <w:rsid w:val="00FE3F84"/>
    <w:rsid w:val="00FE4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96B1"/>
  <w15:chartTrackingRefBased/>
  <w15:docId w15:val="{87B52819-E09C-4427-9977-BA7B70FF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E7B"/>
    <w:pPr>
      <w:spacing w:after="210" w:line="360" w:lineRule="auto"/>
    </w:pPr>
    <w:rPr>
      <w:rFonts w:ascii="Arial" w:eastAsia="Times New Roman" w:hAnsi="Arial" w:cs="Arial"/>
      <w:color w:val="262626" w:themeColor="text1" w:themeTint="D9"/>
      <w:sz w:val="19"/>
      <w:szCs w:val="17"/>
      <w:lang w:eastAsia="en-GB"/>
    </w:rPr>
  </w:style>
  <w:style w:type="paragraph" w:styleId="Heading1">
    <w:name w:val="heading 1"/>
    <w:basedOn w:val="Normal"/>
    <w:next w:val="Normal"/>
    <w:link w:val="Heading1Char"/>
    <w:uiPriority w:val="9"/>
    <w:qFormat/>
    <w:rsid w:val="00A12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2E7B"/>
    <w:pPr>
      <w:spacing w:before="360" w:after="120"/>
      <w:outlineLvl w:val="1"/>
    </w:pPr>
    <w:rPr>
      <w:color w:val="005190"/>
      <w:sz w:val="24"/>
    </w:rPr>
  </w:style>
  <w:style w:type="paragraph" w:styleId="Heading3">
    <w:name w:val="heading 3"/>
    <w:basedOn w:val="Normal"/>
    <w:next w:val="Normal"/>
    <w:link w:val="Heading3Char"/>
    <w:uiPriority w:val="9"/>
    <w:unhideWhenUsed/>
    <w:qFormat/>
    <w:rsid w:val="003D0C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2E7B"/>
    <w:rPr>
      <w:rFonts w:ascii="Arial" w:eastAsia="Times New Roman" w:hAnsi="Arial" w:cs="Arial"/>
      <w:color w:val="005190"/>
      <w:sz w:val="24"/>
      <w:szCs w:val="17"/>
      <w:lang w:eastAsia="en-GB"/>
    </w:rPr>
  </w:style>
  <w:style w:type="paragraph" w:styleId="Header">
    <w:name w:val="header"/>
    <w:basedOn w:val="Normal"/>
    <w:link w:val="HeaderChar"/>
    <w:uiPriority w:val="99"/>
    <w:unhideWhenUsed/>
    <w:rsid w:val="00A12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E7B"/>
    <w:rPr>
      <w:rFonts w:ascii="Arial" w:eastAsia="Times New Roman" w:hAnsi="Arial" w:cs="Arial"/>
      <w:color w:val="262626" w:themeColor="text1" w:themeTint="D9"/>
      <w:sz w:val="19"/>
      <w:szCs w:val="17"/>
      <w:lang w:eastAsia="en-GB"/>
    </w:rPr>
  </w:style>
  <w:style w:type="paragraph" w:styleId="Footer">
    <w:name w:val="footer"/>
    <w:basedOn w:val="Normal"/>
    <w:link w:val="FooterChar"/>
    <w:uiPriority w:val="99"/>
    <w:unhideWhenUsed/>
    <w:rsid w:val="00A12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E7B"/>
    <w:rPr>
      <w:rFonts w:ascii="Arial" w:eastAsia="Times New Roman" w:hAnsi="Arial" w:cs="Arial"/>
      <w:color w:val="262626" w:themeColor="text1" w:themeTint="D9"/>
      <w:sz w:val="19"/>
      <w:szCs w:val="17"/>
      <w:lang w:eastAsia="en-GB"/>
    </w:rPr>
  </w:style>
  <w:style w:type="paragraph" w:styleId="NoSpacing">
    <w:name w:val="No Spacing"/>
    <w:basedOn w:val="Normal"/>
    <w:uiPriority w:val="1"/>
    <w:qFormat/>
    <w:rsid w:val="00A12E7B"/>
    <w:pPr>
      <w:spacing w:after="0"/>
    </w:pPr>
  </w:style>
  <w:style w:type="paragraph" w:customStyle="1" w:styleId="DocumentCoverDate">
    <w:name w:val="Document Cover Date"/>
    <w:basedOn w:val="Normal"/>
    <w:link w:val="DocumentCoverDateChar"/>
    <w:qFormat/>
    <w:rsid w:val="00A12E7B"/>
    <w:rPr>
      <w:b/>
      <w:sz w:val="28"/>
    </w:rPr>
  </w:style>
  <w:style w:type="paragraph" w:styleId="ListParagraph">
    <w:name w:val="List Paragraph"/>
    <w:basedOn w:val="Normal"/>
    <w:uiPriority w:val="34"/>
    <w:qFormat/>
    <w:rsid w:val="00A12E7B"/>
    <w:pPr>
      <w:numPr>
        <w:numId w:val="1"/>
      </w:numPr>
      <w:contextualSpacing/>
    </w:pPr>
  </w:style>
  <w:style w:type="character" w:customStyle="1" w:styleId="DocumentCoverDateChar">
    <w:name w:val="Document Cover Date Char"/>
    <w:basedOn w:val="DefaultParagraphFont"/>
    <w:link w:val="DocumentCoverDate"/>
    <w:rsid w:val="00A12E7B"/>
    <w:rPr>
      <w:rFonts w:ascii="Arial" w:eastAsia="Times New Roman" w:hAnsi="Arial" w:cs="Arial"/>
      <w:b/>
      <w:color w:val="262626" w:themeColor="text1" w:themeTint="D9"/>
      <w:sz w:val="28"/>
      <w:szCs w:val="17"/>
      <w:lang w:eastAsia="en-GB"/>
    </w:rPr>
  </w:style>
  <w:style w:type="table" w:styleId="TableGrid">
    <w:name w:val="Table Grid"/>
    <w:basedOn w:val="TableNormal"/>
    <w:uiPriority w:val="59"/>
    <w:rsid w:val="00A12E7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Lvl1">
    <w:name w:val="Ref - Lvl 1"/>
    <w:basedOn w:val="Heading1"/>
    <w:link w:val="Ref-Lvl1Char"/>
    <w:qFormat/>
    <w:rsid w:val="00A12E7B"/>
    <w:pPr>
      <w:keepNext w:val="0"/>
      <w:keepLines w:val="0"/>
      <w:numPr>
        <w:numId w:val="2"/>
      </w:numPr>
      <w:tabs>
        <w:tab w:val="left" w:pos="709"/>
      </w:tabs>
      <w:spacing w:before="0" w:after="210"/>
    </w:pPr>
    <w:rPr>
      <w:rFonts w:ascii="Arial" w:eastAsia="Times New Roman" w:hAnsi="Arial" w:cs="Arial"/>
      <w:color w:val="005190"/>
      <w:szCs w:val="17"/>
    </w:rPr>
  </w:style>
  <w:style w:type="paragraph" w:customStyle="1" w:styleId="Ref-Lvl2">
    <w:name w:val="Ref - Lvl 2"/>
    <w:basedOn w:val="Normal"/>
    <w:link w:val="Ref-Lvl2Char"/>
    <w:qFormat/>
    <w:rsid w:val="00A12E7B"/>
    <w:pPr>
      <w:numPr>
        <w:ilvl w:val="1"/>
        <w:numId w:val="2"/>
      </w:numPr>
      <w:tabs>
        <w:tab w:val="left" w:pos="851"/>
      </w:tabs>
      <w:spacing w:line="280" w:lineRule="exact"/>
      <w:jc w:val="both"/>
    </w:pPr>
  </w:style>
  <w:style w:type="character" w:customStyle="1" w:styleId="Ref-Lvl1Char">
    <w:name w:val="Ref - Lvl 1 Char"/>
    <w:basedOn w:val="Heading1Char"/>
    <w:link w:val="Ref-Lvl1"/>
    <w:rsid w:val="00A12E7B"/>
    <w:rPr>
      <w:rFonts w:ascii="Arial" w:eastAsia="Times New Roman" w:hAnsi="Arial" w:cs="Arial"/>
      <w:color w:val="005190"/>
      <w:sz w:val="32"/>
      <w:szCs w:val="17"/>
      <w:lang w:eastAsia="en-GB"/>
    </w:rPr>
  </w:style>
  <w:style w:type="paragraph" w:customStyle="1" w:styleId="Ref-Lvl3">
    <w:name w:val="Ref - Lvl 3"/>
    <w:basedOn w:val="Normal"/>
    <w:qFormat/>
    <w:rsid w:val="00A12E7B"/>
    <w:pPr>
      <w:numPr>
        <w:ilvl w:val="2"/>
        <w:numId w:val="2"/>
      </w:numPr>
      <w:tabs>
        <w:tab w:val="left" w:pos="1560"/>
      </w:tabs>
      <w:spacing w:line="280" w:lineRule="exact"/>
      <w:ind w:left="1276" w:hanging="709"/>
      <w:jc w:val="both"/>
    </w:pPr>
  </w:style>
  <w:style w:type="character" w:customStyle="1" w:styleId="Ref-Lvl2Char">
    <w:name w:val="Ref - Lvl 2 Char"/>
    <w:basedOn w:val="DefaultParagraphFont"/>
    <w:link w:val="Ref-Lvl2"/>
    <w:rsid w:val="00A12E7B"/>
    <w:rPr>
      <w:rFonts w:ascii="Arial" w:eastAsia="Times New Roman" w:hAnsi="Arial" w:cs="Arial"/>
      <w:color w:val="262626" w:themeColor="text1" w:themeTint="D9"/>
      <w:sz w:val="19"/>
      <w:szCs w:val="17"/>
      <w:lang w:eastAsia="en-GB"/>
    </w:rPr>
  </w:style>
  <w:style w:type="paragraph" w:customStyle="1" w:styleId="Ref-Lvl4">
    <w:name w:val="Ref - Lvl 4"/>
    <w:basedOn w:val="Normal"/>
    <w:qFormat/>
    <w:rsid w:val="00A12E7B"/>
    <w:pPr>
      <w:numPr>
        <w:ilvl w:val="3"/>
        <w:numId w:val="2"/>
      </w:numPr>
      <w:tabs>
        <w:tab w:val="left" w:pos="2410"/>
      </w:tabs>
      <w:spacing w:line="280" w:lineRule="exact"/>
      <w:ind w:left="2127" w:hanging="851"/>
      <w:jc w:val="both"/>
    </w:pPr>
  </w:style>
  <w:style w:type="paragraph" w:styleId="FootnoteText">
    <w:name w:val="footnote text"/>
    <w:basedOn w:val="Normal"/>
    <w:link w:val="FootnoteTextChar"/>
    <w:uiPriority w:val="99"/>
    <w:semiHidden/>
    <w:unhideWhenUsed/>
    <w:rsid w:val="00A12E7B"/>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A12E7B"/>
    <w:rPr>
      <w:sz w:val="20"/>
      <w:szCs w:val="20"/>
    </w:rPr>
  </w:style>
  <w:style w:type="character" w:styleId="FootnoteReference">
    <w:name w:val="footnote reference"/>
    <w:basedOn w:val="DefaultParagraphFont"/>
    <w:uiPriority w:val="99"/>
    <w:semiHidden/>
    <w:unhideWhenUsed/>
    <w:rsid w:val="00A12E7B"/>
    <w:rPr>
      <w:vertAlign w:val="superscript"/>
    </w:rPr>
  </w:style>
  <w:style w:type="character" w:customStyle="1" w:styleId="Heading1Char">
    <w:name w:val="Heading 1 Char"/>
    <w:basedOn w:val="DefaultParagraphFont"/>
    <w:link w:val="Heading1"/>
    <w:uiPriority w:val="9"/>
    <w:rsid w:val="00A12E7B"/>
    <w:rPr>
      <w:rFonts w:asciiTheme="majorHAnsi" w:eastAsiaTheme="majorEastAsia" w:hAnsiTheme="majorHAnsi" w:cstheme="majorBidi"/>
      <w:color w:val="2E74B5" w:themeColor="accent1" w:themeShade="BF"/>
      <w:sz w:val="32"/>
      <w:szCs w:val="32"/>
      <w:lang w:eastAsia="en-GB"/>
    </w:rPr>
  </w:style>
  <w:style w:type="character" w:styleId="Hyperlink">
    <w:name w:val="Hyperlink"/>
    <w:basedOn w:val="DefaultParagraphFont"/>
    <w:uiPriority w:val="99"/>
    <w:unhideWhenUsed/>
    <w:rsid w:val="0065577E"/>
    <w:rPr>
      <w:color w:val="0563C1" w:themeColor="hyperlink"/>
      <w:u w:val="single"/>
    </w:rPr>
  </w:style>
  <w:style w:type="character" w:styleId="CommentReference">
    <w:name w:val="annotation reference"/>
    <w:basedOn w:val="DefaultParagraphFont"/>
    <w:uiPriority w:val="99"/>
    <w:semiHidden/>
    <w:unhideWhenUsed/>
    <w:rsid w:val="005A14B6"/>
    <w:rPr>
      <w:sz w:val="16"/>
      <w:szCs w:val="16"/>
    </w:rPr>
  </w:style>
  <w:style w:type="paragraph" w:styleId="CommentText">
    <w:name w:val="annotation text"/>
    <w:basedOn w:val="Normal"/>
    <w:link w:val="CommentTextChar"/>
    <w:uiPriority w:val="99"/>
    <w:semiHidden/>
    <w:unhideWhenUsed/>
    <w:rsid w:val="005A14B6"/>
    <w:pPr>
      <w:spacing w:line="240" w:lineRule="auto"/>
    </w:pPr>
    <w:rPr>
      <w:sz w:val="20"/>
      <w:szCs w:val="20"/>
    </w:rPr>
  </w:style>
  <w:style w:type="character" w:customStyle="1" w:styleId="CommentTextChar">
    <w:name w:val="Comment Text Char"/>
    <w:basedOn w:val="DefaultParagraphFont"/>
    <w:link w:val="CommentText"/>
    <w:uiPriority w:val="99"/>
    <w:semiHidden/>
    <w:rsid w:val="005A14B6"/>
    <w:rPr>
      <w:rFonts w:ascii="Arial" w:eastAsia="Times New Roman" w:hAnsi="Arial" w:cs="Arial"/>
      <w:color w:val="262626" w:themeColor="text1" w:themeTint="D9"/>
      <w:sz w:val="20"/>
      <w:szCs w:val="20"/>
      <w:lang w:eastAsia="en-GB"/>
    </w:rPr>
  </w:style>
  <w:style w:type="paragraph" w:styleId="CommentSubject">
    <w:name w:val="annotation subject"/>
    <w:basedOn w:val="CommentText"/>
    <w:next w:val="CommentText"/>
    <w:link w:val="CommentSubjectChar"/>
    <w:uiPriority w:val="99"/>
    <w:semiHidden/>
    <w:unhideWhenUsed/>
    <w:rsid w:val="005A14B6"/>
    <w:rPr>
      <w:b/>
      <w:bCs/>
    </w:rPr>
  </w:style>
  <w:style w:type="character" w:customStyle="1" w:styleId="CommentSubjectChar">
    <w:name w:val="Comment Subject Char"/>
    <w:basedOn w:val="CommentTextChar"/>
    <w:link w:val="CommentSubject"/>
    <w:uiPriority w:val="99"/>
    <w:semiHidden/>
    <w:rsid w:val="005A14B6"/>
    <w:rPr>
      <w:rFonts w:ascii="Arial" w:eastAsia="Times New Roman" w:hAnsi="Arial" w:cs="Arial"/>
      <w:b/>
      <w:bCs/>
      <w:color w:val="262626" w:themeColor="text1" w:themeTint="D9"/>
      <w:sz w:val="20"/>
      <w:szCs w:val="20"/>
      <w:lang w:eastAsia="en-GB"/>
    </w:rPr>
  </w:style>
  <w:style w:type="paragraph" w:styleId="BalloonText">
    <w:name w:val="Balloon Text"/>
    <w:basedOn w:val="Normal"/>
    <w:link w:val="BalloonTextChar"/>
    <w:uiPriority w:val="99"/>
    <w:semiHidden/>
    <w:unhideWhenUsed/>
    <w:rsid w:val="005A14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B6"/>
    <w:rPr>
      <w:rFonts w:ascii="Segoe UI" w:eastAsia="Times New Roman" w:hAnsi="Segoe UI" w:cs="Segoe UI"/>
      <w:color w:val="262626" w:themeColor="text1" w:themeTint="D9"/>
      <w:sz w:val="18"/>
      <w:szCs w:val="18"/>
      <w:lang w:eastAsia="en-GB"/>
    </w:rPr>
  </w:style>
  <w:style w:type="character" w:customStyle="1" w:styleId="Heading3Char">
    <w:name w:val="Heading 3 Char"/>
    <w:basedOn w:val="DefaultParagraphFont"/>
    <w:link w:val="Heading3"/>
    <w:uiPriority w:val="9"/>
    <w:rsid w:val="003D0CBA"/>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1procurementservice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C29B6-294C-4ACD-9161-DD5A644E5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ED28F755</Template>
  <TotalTime>1084</TotalTime>
  <Pages>11</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CPI</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Welsh</dc:creator>
  <cp:keywords/>
  <dc:description/>
  <cp:lastModifiedBy>Daryll Tighe</cp:lastModifiedBy>
  <cp:revision>57</cp:revision>
  <dcterms:created xsi:type="dcterms:W3CDTF">2019-06-11T14:06:00Z</dcterms:created>
  <dcterms:modified xsi:type="dcterms:W3CDTF">2019-09-12T11:54:00Z</dcterms:modified>
</cp:coreProperties>
</file>