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36"/>
          <w:szCs w:val="36"/>
          <w:rtl w:val="0"/>
        </w:rPr>
        <w:t xml:space="preserve">Joint Schedule 6 (Key Subcontractors)</w:t>
      </w: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Restrictions on certain subcontractors</w:t>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the Framework Contract to the Key Subcontractors set out in the Framework Award Form. </w:t>
      </w:r>
      <w:r w:rsidDel="00000000" w:rsidR="00000000" w:rsidRPr="00000000">
        <w:rPr>
          <w:rtl w:val="0"/>
        </w:rPr>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a Call-Off Contract to Key Subcontractors listed in the Framework Award Form who are specifically nominated in the Order Form.</w:t>
      </w:r>
      <w:r w:rsidDel="00000000" w:rsidR="00000000" w:rsidRPr="00000000">
        <w:rPr>
          <w:rtl w:val="0"/>
        </w:rPr>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00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of a proposed Key Subcontractor may prejudice the provision of the Deliverables or may be contrary to its interests;</w:t>
      </w:r>
    </w:p>
    <w:p w:rsidR="00000000" w:rsidDel="00000000" w:rsidP="00000000" w:rsidRDefault="00000000" w:rsidRPr="00000000" w14:paraId="0000000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is unreliable and/or has not provided reliable goods and or reasonable services to its other customers; and/or</w:t>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employs unfit persons.</w:t>
      </w:r>
    </w:p>
    <w:p w:rsidR="00000000" w:rsidDel="00000000" w:rsidP="00000000" w:rsidRDefault="00000000" w:rsidRPr="00000000" w14:paraId="00000009">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CCS and the Buyer with the following information in respect of the proposed Key Subcontractor:</w:t>
      </w:r>
      <w:r w:rsidDel="00000000" w:rsidR="00000000" w:rsidRPr="00000000">
        <w:rPr>
          <w:rtl w:val="0"/>
        </w:rPr>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Subcontractor’s name, registered office and company registration number;</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scope/description of any Deliverables to be provided by the proposed Key Subcontractor; </w:t>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proposed Key Subcontractor is an Affiliate of the Supplier, evidence that demonstrates to the reasonable satisfaction of the CCS and the Buyer that the proposed Key Sub-Contract has been agreed on "arm’s-length" terms;</w:t>
      </w:r>
    </w:p>
    <w:p w:rsidR="00000000" w:rsidDel="00000000" w:rsidP="00000000" w:rsidRDefault="00000000" w:rsidRPr="00000000" w14:paraId="0000000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CCS, the Key Sub-Contract price expressed as a percentage of the total projected Framework Price over the Framework Contract Period; </w:t>
      </w:r>
    </w:p>
    <w:p w:rsidR="00000000" w:rsidDel="00000000" w:rsidP="00000000" w:rsidRDefault="00000000" w:rsidRPr="00000000" w14:paraId="0000000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Buyer, the Key Sub-Contract price expressed as a percentage of the total projected Charges over the Call Off Contract Period; and</w:t>
      </w:r>
    </w:p>
    <w:p w:rsidR="00000000" w:rsidDel="00000000" w:rsidP="00000000" w:rsidRDefault="00000000" w:rsidRPr="00000000" w14:paraId="0000000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Credit Rating Threshold (as defined in Joint Schedule 7 (Financial Distress)) of the Key Subcontractor.</w:t>
      </w:r>
    </w:p>
    <w:p w:rsidR="00000000" w:rsidDel="00000000" w:rsidP="00000000" w:rsidRDefault="00000000" w:rsidRPr="00000000" w14:paraId="00000010">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by CCS and/or the Buyer, within ten (10) Working Days of receipt of the information provided by the Supplier pursuant to Paragraph 1.4, the Supplier shall also provide:</w:t>
      </w:r>
      <w:r w:rsidDel="00000000" w:rsidR="00000000" w:rsidRPr="00000000">
        <w:rPr>
          <w:rtl w:val="0"/>
        </w:rPr>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proposed Key Sub-Contract; and </w:t>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further information reasonably requested by CCS and/or the Buyer.</w:t>
      </w:r>
    </w:p>
    <w:p w:rsidR="00000000" w:rsidDel="00000000" w:rsidP="00000000" w:rsidRDefault="00000000" w:rsidRPr="00000000" w14:paraId="00000013">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each new or replacement Key Sub-Contract shall include: </w:t>
      </w:r>
      <w:r w:rsidDel="00000000" w:rsidR="00000000" w:rsidRPr="00000000">
        <w:rPr>
          <w:rtl w:val="0"/>
        </w:rPr>
      </w:r>
    </w:p>
    <w:p w:rsidR="00000000" w:rsidDel="00000000" w:rsidP="00000000" w:rsidRDefault="00000000" w:rsidRPr="00000000" w14:paraId="00000014">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which will enable the Supplier to discharge its obligations under the Contracts;</w:t>
      </w:r>
    </w:p>
    <w:p w:rsidR="00000000" w:rsidDel="00000000" w:rsidP="00000000" w:rsidRDefault="00000000" w:rsidRPr="00000000" w14:paraId="0000001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right under CRTPA for CCS and the Buyer to enforce any provisions under the Key Sub-Contract which confer a benefit upon CCS and the Buyer respectively;</w:t>
      </w:r>
    </w:p>
    <w:p w:rsidR="00000000" w:rsidDel="00000000" w:rsidP="00000000" w:rsidRDefault="00000000" w:rsidRPr="00000000" w14:paraId="0000001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CCS and the Buyer to enforce the Key Sub-Contract as if it were the Supplier; </w:t>
      </w:r>
    </w:p>
    <w:p w:rsidR="00000000" w:rsidDel="00000000" w:rsidP="00000000" w:rsidRDefault="00000000" w:rsidRPr="00000000" w14:paraId="0000001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the Supplier to assign, novate or otherwise transfer any of its rights and/or obligations under the Key Sub-Contract to CCS and/or the Buyer; </w:t>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obligations no less onerous on the Key Subcontractor than those imposed on the Supplier under the Framework Contract in respect of:</w:t>
      </w:r>
    </w:p>
    <w:p w:rsidR="00000000" w:rsidDel="00000000" w:rsidP="00000000" w:rsidRDefault="00000000" w:rsidRPr="00000000" w14:paraId="00000019">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requirements set out in Clause 14 (Data protection);</w:t>
      </w:r>
    </w:p>
    <w:p w:rsidR="00000000" w:rsidDel="00000000" w:rsidP="00000000" w:rsidRDefault="00000000" w:rsidRPr="00000000" w14:paraId="0000001A">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FOIA and other access request requirements set out in Clause 16 (When you can share information);</w:t>
      </w:r>
    </w:p>
    <w:p w:rsidR="00000000" w:rsidDel="00000000" w:rsidP="00000000" w:rsidRDefault="00000000" w:rsidRPr="00000000" w14:paraId="0000001B">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not to embarrass CCS or the Buyer or otherwise bring CCS or the Buyer into disrepute; </w:t>
      </w:r>
    </w:p>
    <w:p w:rsidR="00000000" w:rsidDel="00000000" w:rsidP="00000000" w:rsidRDefault="00000000" w:rsidRPr="00000000" w14:paraId="0000001C">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keeping of records in respect of the goods and/or services being provided under the Key Sub-Contract, including the maintenance of Open Book Data; and</w:t>
      </w:r>
    </w:p>
    <w:p w:rsidR="00000000" w:rsidDel="00000000" w:rsidP="00000000" w:rsidRDefault="00000000" w:rsidRPr="00000000" w14:paraId="0000001D">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audits set out in Clause 6 (Record keeping and reporting);</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138"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pos="4513"/>
        <w:tab w:val="right" w:pos="9026"/>
      </w:tabs>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RM6179</w:t>
      <w:tab/>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color w:val="bfbfbf"/>
        <w:sz w:val="20"/>
        <w:szCs w:val="20"/>
      </w:rPr>
    </w:pPr>
    <w:bookmarkStart w:colFirst="0" w:colLast="0" w:name="_heading=h.tyjcwt" w:id="6"/>
    <w:bookmarkEnd w:id="6"/>
    <w:r w:rsidDel="00000000" w:rsidR="00000000" w:rsidRPr="00000000">
      <w:rPr>
        <w:rFonts w:ascii="Arial" w:cs="Arial" w:eastAsia="Arial" w:hAnsi="Arial"/>
        <w:sz w:val="20"/>
        <w:szCs w:val="20"/>
        <w:rtl w:val="0"/>
      </w:rPr>
      <w:t xml:space="preserve">Model Version: v3.1</w:t>
      <w:tab/>
      <w:tab/>
    </w:r>
    <w:r w:rsidDel="00000000" w:rsidR="00000000" w:rsidRPr="00000000">
      <w:rPr>
        <w:rFonts w:ascii="Arial" w:cs="Arial" w:eastAsia="Arial" w:hAnsi="Arial"/>
        <w:color w:val="bfbfbf"/>
        <w:sz w:val="20"/>
        <w:szCs w:val="20"/>
        <w:rtl w:val="0"/>
      </w:rPr>
      <w:tab/>
      <w:tab/>
    </w:r>
    <w:bookmarkStart w:colFirst="0" w:colLast="0" w:name="bookmark=id.3dy6vkm" w:id="5"/>
    <w:bookmarkEnd w:id="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6 (Key Subcontractors)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ascii="Calibri" w:cs="Arial" w:eastAsia="Times New Roman" w:hAnsi="Calibri"/>
      <w:b w:val="1"/>
      <w:i w:val="1"/>
    </w:rPr>
  </w:style>
  <w:style w:type="paragraph" w:styleId="GPSL3Guidance" w:customStyle="1">
    <w:name w:val="GPS L3 Guidance"/>
    <w:basedOn w:val="Normal"/>
    <w:link w:val="GPSL3GuidanceChar"/>
    <w:qFormat w:val="1"/>
    <w:pPr>
      <w:tabs>
        <w:tab w:val="left" w:pos="1985"/>
      </w:tabs>
      <w:adjustRightInd w:val="0"/>
      <w:spacing w:after="120" w:before="120" w:line="240" w:lineRule="auto"/>
      <w:ind w:left="1985"/>
      <w:jc w:val="both"/>
    </w:pPr>
    <w:rPr>
      <w:rFonts w:ascii="Calibri" w:cs="Arial" w:eastAsia="Times New Roman" w:hAnsi="Calibri"/>
      <w:b w:val="1"/>
      <w:i w:val="1"/>
      <w:lang w:eastAsia="zh-CN"/>
    </w:rPr>
  </w:style>
  <w:style w:type="paragraph" w:styleId="GPSL1Schedulenumbered" w:customStyle="1">
    <w:name w:val="GPS L1 Schedule numbered"/>
    <w:basedOn w:val="Normal"/>
    <w:link w:val="GPSL1SchedulenumberedChar1"/>
    <w:qFormat w:val="1"/>
    <w:pPr>
      <w:numPr>
        <w:numId w:val="1"/>
      </w:numPr>
      <w:tabs>
        <w:tab w:val="left" w:pos="851"/>
      </w:tabs>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GPSL1SchedulenumberedChar1" w:customStyle="1">
    <w:name w:val="GPS L1 Schedule numbered Char1"/>
    <w:link w:val="GPSL1Schedulenumbered"/>
    <w:locked w:val="1"/>
    <w:rPr>
      <w:rFonts w:ascii="Calibri" w:cs="Arial" w:eastAsia="Times New Roman" w:hAnsi="Calibri"/>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3GuidanceChar" w:customStyle="1">
    <w:name w:val="GPS L3 Guidance Char"/>
    <w:link w:val="GPSL3Guidance"/>
    <w:rPr>
      <w:rFonts w:ascii="Calibri" w:cs="Arial" w:eastAsia="Times New Roman" w:hAnsi="Calibri"/>
      <w:b w:val="1"/>
      <w:i w:val="1"/>
      <w:lang w:eastAsia="zh-CN"/>
    </w:rPr>
  </w:style>
  <w:style w:type="paragraph" w:styleId="GPSL1CLAUSEHEADING" w:customStyle="1">
    <w:name w:val="GPS L1 CLAUSE HEADING"/>
    <w:basedOn w:val="Normal"/>
    <w:next w:val="Normal"/>
    <w:qFormat w:val="1"/>
    <w:pPr>
      <w:numPr>
        <w:numId w:val="3"/>
      </w:numPr>
      <w:tabs>
        <w:tab w:val="left" w:pos="142"/>
      </w:tabs>
      <w:adjustRightInd w:val="0"/>
      <w:spacing w:after="240" w:before="120" w:line="240" w:lineRule="auto"/>
      <w:jc w:val="both"/>
      <w:outlineLvl w:val="1"/>
    </w:pPr>
    <w:rPr>
      <w:rFonts w:ascii="Calibri" w:cs="Arial" w:eastAsia="STZhongsong" w:hAnsi="Calibri"/>
      <w:b w:val="1"/>
      <w:caps w:val="1"/>
      <w:lang w:eastAsia="zh-CN"/>
    </w:rPr>
  </w:style>
  <w:style w:type="paragraph" w:styleId="GPSL3numberedclause" w:customStyle="1">
    <w:name w:val="GPS L3 numbered clause"/>
    <w:basedOn w:val="Normal"/>
    <w:link w:val="GPSL3numberedclauseChar"/>
    <w:qFormat w:val="1"/>
    <w:pPr>
      <w:numPr>
        <w:ilvl w:val="2"/>
        <w:numId w:val="3"/>
      </w:numPr>
      <w:tabs>
        <w:tab w:val="left" w:pos="1985"/>
      </w:tabs>
      <w:adjustRightInd w:val="0"/>
      <w:spacing w:after="120" w:before="120" w:line="240" w:lineRule="auto"/>
      <w:jc w:val="both"/>
    </w:pPr>
    <w:rPr>
      <w:rFonts w:ascii="Calibri" w:cs="Arial" w:eastAsia="Times New Roman" w:hAnsi="Calibri"/>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pPr>
  </w:style>
  <w:style w:type="paragraph" w:styleId="GPSL2NumberedBoldHeading" w:customStyle="1">
    <w:name w:val="GPS L2 Numbered Bold Heading"/>
    <w:basedOn w:val="Normal"/>
    <w:link w:val="GPSL2NumberedBoldHeadingChar"/>
    <w:qFormat w:val="1"/>
    <w:pPr>
      <w:numPr>
        <w:ilvl w:val="1"/>
        <w:numId w:val="3"/>
      </w:numPr>
      <w:adjustRightInd w:val="0"/>
      <w:spacing w:after="120" w:before="120" w:line="240" w:lineRule="auto"/>
      <w:ind w:left="936" w:hanging="576"/>
      <w:jc w:val="both"/>
    </w:pPr>
    <w:rPr>
      <w:rFonts w:ascii="Calibri" w:cs="Arial" w:eastAsia="Times New Roman" w:hAnsi="Calibri"/>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character" w:styleId="legds2" w:customStyle="1">
    <w:name w:val="legds2"/>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GPSL2numberedclause" w:customStyle="1">
    <w:name w:val="GPS L2 numbered clause"/>
    <w:basedOn w:val="Normal"/>
    <w:qFormat w:val="1"/>
    <w:pPr>
      <w:tabs>
        <w:tab w:val="left" w:pos="1134"/>
      </w:tabs>
      <w:adjustRightInd w:val="0"/>
      <w:spacing w:after="120" w:before="120" w:line="240" w:lineRule="auto"/>
      <w:ind w:left="1134" w:hanging="567"/>
      <w:jc w:val="both"/>
    </w:pPr>
    <w:rPr>
      <w:rFonts w:ascii="Calibri" w:cs="Arial" w:eastAsia="Times New Roman" w:hAnsi="Calibri"/>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TableGrid1" w:customStyle="1">
    <w:name w:val="Table Grid1"/>
    <w:basedOn w:val="TableNormal"/>
    <w:next w:val="TableGrid"/>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MqPvNhFmC/TpuKVtiopMj7kjA==">AMUW2mVTmn1Z63p17Ou3EEgmHobS8tIiJ/7M7Rc3XbqWx8imaDPlB8GoO0RZcOS+VOL2XzRZ46+TUIsoPqAHz+bYxnLIuU1C0TIWmCNBh6jz3OLR6Tu7FUUhoxz+4waWBNr6GBh2f36mrPj9B7FPO4MaxxMvgNB1Q6qipLXANl03Rk3m9RViRsJeE+KpSqEfiEmgwHGqfGz+Q2z/XReY4pvo3EW04hE6vw==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