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B932" w14:textId="77777777" w:rsidR="00557A9C" w:rsidRDefault="00557A9C">
      <w:pPr>
        <w:pStyle w:val="Heading1"/>
      </w:pPr>
    </w:p>
    <w:p w14:paraId="1F456DFC" w14:textId="77777777" w:rsidR="00557A9C" w:rsidRDefault="00E368ED">
      <w:pPr>
        <w:pStyle w:val="Heading1"/>
      </w:pPr>
      <w:r>
        <w:t>Framework Schedule 6 (Order Form Template and Call-Off Schedules)</w:t>
      </w:r>
    </w:p>
    <w:p w14:paraId="45992693" w14:textId="77777777" w:rsidR="00557A9C" w:rsidRDefault="00557A9C">
      <w:pPr>
        <w:rPr>
          <w:b/>
        </w:rPr>
      </w:pPr>
    </w:p>
    <w:p w14:paraId="1F69C0ED" w14:textId="77777777" w:rsidR="00557A9C" w:rsidRDefault="00E368ED">
      <w:pPr>
        <w:pStyle w:val="Heading1"/>
      </w:pPr>
      <w:r>
        <w:t xml:space="preserve">Order Form </w:t>
      </w:r>
    </w:p>
    <w:p w14:paraId="371B10AD" w14:textId="79687152" w:rsidR="00557A9C" w:rsidRDefault="00E368ED">
      <w:r>
        <w:t>CALL-OFF REFERENCE:</w:t>
      </w:r>
      <w:r>
        <w:tab/>
      </w:r>
      <w:r>
        <w:tab/>
      </w:r>
      <w:r w:rsidR="00812483" w:rsidRPr="00971975">
        <w:t>prj_2782</w:t>
      </w:r>
    </w:p>
    <w:p w14:paraId="245B88C1" w14:textId="4AB09BEA" w:rsidR="00557A9C" w:rsidRDefault="00E368ED">
      <w:r>
        <w:t>THE BUYER:</w:t>
      </w:r>
      <w:r>
        <w:tab/>
      </w:r>
      <w:r>
        <w:tab/>
      </w:r>
      <w:r>
        <w:tab/>
      </w:r>
      <w:r>
        <w:tab/>
      </w:r>
      <w:r w:rsidR="00812483">
        <w:t>Department for Energy Security and Net Zero</w:t>
      </w:r>
    </w:p>
    <w:p w14:paraId="669A07A9" w14:textId="3D16492B" w:rsidR="00557A9C" w:rsidRDefault="00E368ED">
      <w:r>
        <w:t>BUYER ADDRESS</w:t>
      </w:r>
      <w:r>
        <w:tab/>
      </w:r>
      <w:r>
        <w:tab/>
      </w:r>
      <w:r w:rsidR="00812483">
        <w:t xml:space="preserve"> </w:t>
      </w:r>
      <w:r w:rsidR="00812483">
        <w:tab/>
        <w:t>1 Victoria Street, London SW1H0ET</w:t>
      </w:r>
      <w:r>
        <w:t xml:space="preserve"> </w:t>
      </w:r>
    </w:p>
    <w:p w14:paraId="3E24DD66" w14:textId="59D32FE8" w:rsidR="00557A9C" w:rsidRDefault="00E368ED">
      <w:r>
        <w:t xml:space="preserve">THE SUPPLIER: </w:t>
      </w:r>
      <w:r>
        <w:tab/>
      </w:r>
      <w:r>
        <w:tab/>
      </w:r>
      <w:r>
        <w:tab/>
      </w:r>
      <w:r w:rsidR="00812483">
        <w:t>CDW Limited</w:t>
      </w:r>
      <w:r>
        <w:t xml:space="preserve"> </w:t>
      </w:r>
    </w:p>
    <w:p w14:paraId="274E6753" w14:textId="12A02561" w:rsidR="00557A9C" w:rsidRDefault="00E368ED">
      <w:r>
        <w:t xml:space="preserve">SUPPLIER ADDRESS: </w:t>
      </w:r>
      <w:r>
        <w:tab/>
      </w:r>
      <w:r>
        <w:tab/>
      </w:r>
      <w:r w:rsidR="00812483" w:rsidRPr="00812483">
        <w:t>1 New Change, London, EC4M 9AF</w:t>
      </w:r>
      <w:r>
        <w:t xml:space="preserve"> </w:t>
      </w:r>
    </w:p>
    <w:p w14:paraId="05DEA9C2" w14:textId="6D70A3EE" w:rsidR="00557A9C" w:rsidRDefault="00E368ED">
      <w:r>
        <w:t xml:space="preserve">REGISTRATION NUMBER: </w:t>
      </w:r>
      <w:r>
        <w:tab/>
      </w:r>
      <w:r>
        <w:tab/>
      </w:r>
      <w:r w:rsidR="00812483" w:rsidRPr="00812483">
        <w:t>02465350</w:t>
      </w:r>
      <w:r>
        <w:t xml:space="preserve"> </w:t>
      </w:r>
    </w:p>
    <w:p w14:paraId="4A231958" w14:textId="0D4DBD7C" w:rsidR="00557A9C" w:rsidRDefault="00E368ED">
      <w:r>
        <w:t xml:space="preserve">DUNS NUMBER:       </w:t>
      </w:r>
      <w:r>
        <w:tab/>
      </w:r>
      <w:r>
        <w:tab/>
      </w:r>
      <w:r>
        <w:tab/>
      </w:r>
      <w:r w:rsidR="00812483">
        <w:rPr>
          <w:rFonts w:eastAsia="Times New Roman" w:cs="Arial"/>
          <w:color w:val="000000"/>
          <w:sz w:val="21"/>
          <w:szCs w:val="21"/>
          <w:shd w:val="clear" w:color="auto" w:fill="FFFFFF"/>
        </w:rPr>
        <w:t>504971730</w:t>
      </w:r>
    </w:p>
    <w:p w14:paraId="17903626" w14:textId="77777777" w:rsidR="00557A9C" w:rsidRDefault="00557A9C"/>
    <w:p w14:paraId="036E7DE3" w14:textId="3BF4F282" w:rsidR="00557A9C" w:rsidRDefault="00557A9C" w:rsidP="00812483"/>
    <w:p w14:paraId="40E015DA" w14:textId="77777777" w:rsidR="00557A9C" w:rsidRDefault="00E368ED">
      <w:pPr>
        <w:pStyle w:val="Heading2"/>
      </w:pPr>
      <w:r>
        <w:t>APPLICABLE FRAMEWORK CONTRACT</w:t>
      </w:r>
    </w:p>
    <w:p w14:paraId="6FB3225C" w14:textId="1EB91424" w:rsidR="00557A9C" w:rsidRDefault="00E368ED">
      <w:r>
        <w:t xml:space="preserve">This Order Form is for the provision of the Call-Off Deliverables and dated </w:t>
      </w:r>
      <w:r w:rsidR="00966C8A">
        <w:t>10</w:t>
      </w:r>
      <w:r w:rsidR="00966C8A" w:rsidRPr="00966C8A">
        <w:rPr>
          <w:vertAlign w:val="superscript"/>
        </w:rPr>
        <w:t>th</w:t>
      </w:r>
      <w:r w:rsidR="00966C8A">
        <w:t xml:space="preserve"> November 2023</w:t>
      </w:r>
      <w:r>
        <w:t xml:space="preserve"> </w:t>
      </w:r>
    </w:p>
    <w:p w14:paraId="463A1F47" w14:textId="566B90D2" w:rsidR="00557A9C" w:rsidRDefault="00E368ED">
      <w:r>
        <w:t>It’s issued under the Framework Contract with the reference number RM6068 for the provision of Technology Products and Associated Services</w:t>
      </w:r>
      <w:r w:rsidR="00812483">
        <w:t>, Lot 3 Software and Associated Services.</w:t>
      </w:r>
    </w:p>
    <w:p w14:paraId="773B0C24" w14:textId="77777777" w:rsidR="00557A9C" w:rsidRDefault="00E368ED">
      <w:pPr>
        <w:pStyle w:val="Heading2"/>
      </w:pPr>
      <w:r>
        <w:t>CALL-OFF INCORPORATED TERMS</w:t>
      </w:r>
    </w:p>
    <w:p w14:paraId="2F4DC8B3" w14:textId="77777777" w:rsidR="00557A9C" w:rsidRDefault="00E368ED">
      <w:r>
        <w:t>The following documents are incorporated into this Call-Off Contract. Where numbers are missing we are not using those schedules. If the documents conflict, the following order of precedence applies:</w:t>
      </w:r>
    </w:p>
    <w:p w14:paraId="56194C2C" w14:textId="77777777" w:rsidR="00557A9C" w:rsidRDefault="00E368ED">
      <w:pPr>
        <w:pStyle w:val="ListParagraph"/>
        <w:numPr>
          <w:ilvl w:val="0"/>
          <w:numId w:val="2"/>
        </w:numPr>
      </w:pPr>
      <w:r>
        <w:t>This Order Form including the Call-Off Special Terms and Call-Off Special Schedules.</w:t>
      </w:r>
    </w:p>
    <w:p w14:paraId="238C2953" w14:textId="77777777" w:rsidR="00557A9C" w:rsidRDefault="00E368ED">
      <w:pPr>
        <w:pStyle w:val="ListParagraph"/>
        <w:numPr>
          <w:ilvl w:val="0"/>
          <w:numId w:val="2"/>
        </w:numPr>
      </w:pPr>
      <w:r>
        <w:t>Joint Schedule 1(Definitions and Interpretation) RM6068</w:t>
      </w:r>
    </w:p>
    <w:p w14:paraId="531A19DC" w14:textId="77777777" w:rsidR="00557A9C" w:rsidRDefault="00E368ED">
      <w:pPr>
        <w:pStyle w:val="ListParagraph"/>
        <w:numPr>
          <w:ilvl w:val="0"/>
          <w:numId w:val="2"/>
        </w:numPr>
      </w:pPr>
      <w:r>
        <w:t>The following Schedules in equal order of precedence:</w:t>
      </w:r>
    </w:p>
    <w:p w14:paraId="76065322" w14:textId="77777777" w:rsidR="00557A9C" w:rsidRDefault="00E368ED">
      <w:pPr>
        <w:pStyle w:val="ListParagraph"/>
        <w:numPr>
          <w:ilvl w:val="0"/>
          <w:numId w:val="3"/>
        </w:numPr>
      </w:pPr>
      <w:r>
        <w:t xml:space="preserve">Joint Schedules for RM6068 </w:t>
      </w:r>
    </w:p>
    <w:p w14:paraId="6BB03D61" w14:textId="77777777" w:rsidR="00557A9C" w:rsidRDefault="00E368ED">
      <w:pPr>
        <w:pStyle w:val="ListParagraph"/>
        <w:numPr>
          <w:ilvl w:val="1"/>
          <w:numId w:val="3"/>
        </w:numPr>
      </w:pPr>
      <w:r>
        <w:t xml:space="preserve">Joint Schedule 2 (Variation Form) </w:t>
      </w:r>
    </w:p>
    <w:p w14:paraId="632FA028" w14:textId="77777777" w:rsidR="00557A9C" w:rsidRDefault="00E368ED">
      <w:pPr>
        <w:pStyle w:val="ListParagraph"/>
        <w:numPr>
          <w:ilvl w:val="1"/>
          <w:numId w:val="3"/>
        </w:numPr>
      </w:pPr>
      <w:r>
        <w:t>Joint Schedule 3 (Insurance Requirements)</w:t>
      </w:r>
    </w:p>
    <w:p w14:paraId="35200A5B" w14:textId="77777777" w:rsidR="00557A9C" w:rsidRDefault="00E368ED">
      <w:pPr>
        <w:pStyle w:val="ListParagraph"/>
        <w:numPr>
          <w:ilvl w:val="1"/>
          <w:numId w:val="3"/>
        </w:numPr>
      </w:pPr>
      <w:r>
        <w:t>Joint Schedule 4 (Commercially Sensitive Information)</w:t>
      </w:r>
    </w:p>
    <w:p w14:paraId="55CB6280" w14:textId="77777777" w:rsidR="00557A9C" w:rsidRDefault="00E368ED">
      <w:pPr>
        <w:pStyle w:val="ListParagraph"/>
        <w:numPr>
          <w:ilvl w:val="1"/>
          <w:numId w:val="3"/>
        </w:numPr>
      </w:pPr>
      <w:r>
        <w:t xml:space="preserve">Joint Schedule 10 (Rectification Plan) </w:t>
      </w:r>
      <w:r>
        <w:tab/>
      </w:r>
      <w:r>
        <w:tab/>
      </w:r>
      <w:r>
        <w:tab/>
      </w:r>
    </w:p>
    <w:p w14:paraId="768E9E97" w14:textId="77777777" w:rsidR="00557A9C" w:rsidRDefault="00E368ED">
      <w:pPr>
        <w:pStyle w:val="ListParagraph"/>
        <w:numPr>
          <w:ilvl w:val="1"/>
          <w:numId w:val="3"/>
        </w:numPr>
      </w:pPr>
      <w:r>
        <w:t>Joint Schedule 11 (Processing Data)</w:t>
      </w:r>
      <w:r>
        <w:tab/>
      </w:r>
      <w:r>
        <w:tab/>
      </w:r>
    </w:p>
    <w:p w14:paraId="14AD0222" w14:textId="77777777" w:rsidR="00557A9C" w:rsidRDefault="00E368ED">
      <w:pPr>
        <w:pStyle w:val="ListParagraph"/>
        <w:numPr>
          <w:ilvl w:val="0"/>
          <w:numId w:val="2"/>
        </w:numPr>
      </w:pPr>
      <w:r>
        <w:t>CCS Core Terms (version 3.0.6)</w:t>
      </w:r>
    </w:p>
    <w:p w14:paraId="4C379A6F" w14:textId="77777777" w:rsidR="00557A9C" w:rsidRDefault="00E368ED">
      <w:pPr>
        <w:pStyle w:val="ListParagraph"/>
        <w:numPr>
          <w:ilvl w:val="0"/>
          <w:numId w:val="2"/>
        </w:numPr>
      </w:pPr>
      <w:r>
        <w:lastRenderedPageBreak/>
        <w:t xml:space="preserve">Joint Schedule 5 (Corporate Social Responsibility) RM6068 </w:t>
      </w:r>
    </w:p>
    <w:p w14:paraId="006AA58D" w14:textId="3C9F0CB3" w:rsidR="00D6339F" w:rsidRDefault="00D6339F">
      <w:pPr>
        <w:pStyle w:val="ListParagraph"/>
        <w:numPr>
          <w:ilvl w:val="0"/>
          <w:numId w:val="2"/>
        </w:numPr>
      </w:pPr>
      <w:r>
        <w:t>Call-Off Annex A</w:t>
      </w:r>
    </w:p>
    <w:p w14:paraId="7C86A080" w14:textId="77777777" w:rsidR="00557A9C" w:rsidRDefault="00E368ED">
      <w:r>
        <w:t xml:space="preserve">No other Supplier terms are part of the Call-Off Contract. That includes any terms written on the back of, added to this Order Form, or presented at the time of delivery. </w:t>
      </w:r>
    </w:p>
    <w:p w14:paraId="53C83740" w14:textId="170BA48B" w:rsidR="00557A9C" w:rsidRDefault="00E368ED">
      <w:pPr>
        <w:pStyle w:val="Heading2"/>
      </w:pPr>
      <w:r>
        <w:t>CALL-</w:t>
      </w:r>
      <w:r>
        <w:rPr>
          <w:rStyle w:val="FooterChar"/>
        </w:rPr>
        <w:t>OFF</w:t>
      </w:r>
      <w:r>
        <w:t xml:space="preserve"> TERMS</w:t>
      </w:r>
    </w:p>
    <w:p w14:paraId="67A7418C" w14:textId="77777777" w:rsidR="00557A9C" w:rsidRDefault="00557A9C"/>
    <w:p w14:paraId="168A86C2" w14:textId="21019D3F" w:rsidR="00557A9C" w:rsidRPr="00971975" w:rsidRDefault="00E368ED">
      <w:r>
        <w:t>CALL-OFF START DATE:</w:t>
      </w:r>
      <w:r>
        <w:tab/>
      </w:r>
      <w:r>
        <w:tab/>
      </w:r>
      <w:r w:rsidR="00971975" w:rsidRPr="00971975">
        <w:t>December 1st 2023</w:t>
      </w:r>
    </w:p>
    <w:p w14:paraId="5B60845C" w14:textId="31B5674C" w:rsidR="00557A9C" w:rsidRPr="00971975" w:rsidRDefault="00E368ED">
      <w:r w:rsidRPr="00971975">
        <w:t xml:space="preserve">CALL-OFF EXPIRY DATE: </w:t>
      </w:r>
      <w:r w:rsidRPr="00971975">
        <w:tab/>
      </w:r>
      <w:r w:rsidRPr="00971975">
        <w:tab/>
      </w:r>
      <w:r w:rsidR="00971975" w:rsidRPr="00971975">
        <w:t>November 30th 2024</w:t>
      </w:r>
    </w:p>
    <w:p w14:paraId="0CD262B7" w14:textId="77777777" w:rsidR="00557A9C" w:rsidRDefault="00557A9C"/>
    <w:p w14:paraId="7E21BA67" w14:textId="77777777" w:rsidR="00557A9C" w:rsidRDefault="00E368ED">
      <w:pPr>
        <w:pStyle w:val="Heading2"/>
      </w:pPr>
      <w:r>
        <w:t xml:space="preserve">CALL-OFF DELIVERABLES </w:t>
      </w:r>
    </w:p>
    <w:p w14:paraId="7AD626AC" w14:textId="0E3A2428" w:rsidR="00557A9C" w:rsidRDefault="00971975">
      <w:r>
        <w:t>See Annex A (Call of specification)</w:t>
      </w:r>
    </w:p>
    <w:p w14:paraId="04969ECE" w14:textId="77777777" w:rsidR="00557A9C" w:rsidRDefault="00557A9C"/>
    <w:p w14:paraId="2157044D" w14:textId="77777777" w:rsidR="00557A9C" w:rsidRDefault="00E368ED">
      <w:pPr>
        <w:pStyle w:val="Heading2"/>
      </w:pPr>
      <w:r>
        <w:t>LOCATION FOR DELIVERY</w:t>
      </w:r>
    </w:p>
    <w:p w14:paraId="7822C230" w14:textId="0AE4A215" w:rsidR="00557A9C" w:rsidRDefault="00971975">
      <w:r>
        <w:t>Virtual</w:t>
      </w:r>
      <w:r w:rsidR="00D453B3">
        <w:t>.</w:t>
      </w:r>
    </w:p>
    <w:p w14:paraId="6880B59A" w14:textId="77777777" w:rsidR="00557A9C" w:rsidRDefault="00E368ED">
      <w:pPr>
        <w:pStyle w:val="Heading2"/>
      </w:pPr>
      <w:r>
        <w:t>DATES FOR DELIVERY OF THE DELIVERABLES</w:t>
      </w:r>
    </w:p>
    <w:p w14:paraId="459A60C5" w14:textId="05602239" w:rsidR="00557A9C" w:rsidRPr="00971975" w:rsidRDefault="00971975">
      <w:r>
        <w:t>Before December 1</w:t>
      </w:r>
      <w:r w:rsidRPr="00971975">
        <w:rPr>
          <w:vertAlign w:val="superscript"/>
        </w:rPr>
        <w:t>st</w:t>
      </w:r>
      <w:r>
        <w:t xml:space="preserve"> 2023.</w:t>
      </w:r>
    </w:p>
    <w:p w14:paraId="709AF48B" w14:textId="77777777" w:rsidR="00557A9C" w:rsidRDefault="00557A9C"/>
    <w:p w14:paraId="03A4745B" w14:textId="77777777" w:rsidR="00557A9C" w:rsidRDefault="00E368ED">
      <w:pPr>
        <w:pStyle w:val="Heading2"/>
      </w:pPr>
      <w:r>
        <w:t xml:space="preserve">MAXIMUM LIABILITY </w:t>
      </w:r>
    </w:p>
    <w:p w14:paraId="7534AD39" w14:textId="7637A0C3" w:rsidR="00557A9C" w:rsidRDefault="00E368ED">
      <w:r>
        <w:t>The limitation of liability for this Call-Off Contract is stated in Clause 11.2 of the Core Terms.</w:t>
      </w:r>
    </w:p>
    <w:p w14:paraId="00E662A4" w14:textId="0C7A1246" w:rsidR="00557A9C" w:rsidRDefault="00E368ED">
      <w:r>
        <w:t xml:space="preserve">The Estimated Year 1 Charge used to calculate liability in the first Contract Year is </w:t>
      </w:r>
      <w:r w:rsidR="00966C8A">
        <w:t>£</w:t>
      </w:r>
      <w:r w:rsidR="00BD3E3B">
        <w:t>85,</w:t>
      </w:r>
      <w:r w:rsidR="00B82DF2">
        <w:t>288.32</w:t>
      </w:r>
      <w:r w:rsidR="00D151F7">
        <w:t xml:space="preserve"> </w:t>
      </w:r>
    </w:p>
    <w:p w14:paraId="2162D5AB" w14:textId="77777777" w:rsidR="00557A9C" w:rsidRDefault="00557A9C"/>
    <w:p w14:paraId="67ABBB6A" w14:textId="77777777" w:rsidR="00557A9C" w:rsidRDefault="00E368ED">
      <w:pPr>
        <w:pStyle w:val="Heading2"/>
      </w:pPr>
      <w:r>
        <w:t>CALL-OFF CHARGES</w:t>
      </w:r>
    </w:p>
    <w:p w14:paraId="00647641" w14:textId="6CF194C1" w:rsidR="00557A9C" w:rsidRDefault="00D151F7">
      <w:r>
        <w:t>As listed in the supplier’s proposal in Annex B</w:t>
      </w:r>
      <w:r w:rsidR="00D453B3">
        <w:t>.</w:t>
      </w:r>
    </w:p>
    <w:p w14:paraId="116ED527" w14:textId="77777777" w:rsidR="00557A9C" w:rsidRDefault="00557A9C"/>
    <w:p w14:paraId="63F3F52F" w14:textId="77777777" w:rsidR="00557A9C" w:rsidRDefault="00E368ED">
      <w:pPr>
        <w:pStyle w:val="Heading2"/>
      </w:pPr>
      <w:r>
        <w:t>PAYMENT METHOD</w:t>
      </w:r>
    </w:p>
    <w:p w14:paraId="21120460" w14:textId="2E89864A" w:rsidR="00557A9C" w:rsidRDefault="00D151F7">
      <w:r>
        <w:t>By BACS following a correct invoice</w:t>
      </w:r>
      <w:r w:rsidR="00D453B3">
        <w:t>.</w:t>
      </w:r>
    </w:p>
    <w:p w14:paraId="4B3E8F12" w14:textId="77777777" w:rsidR="00557A9C" w:rsidRDefault="00557A9C"/>
    <w:p w14:paraId="3A038838" w14:textId="77777777" w:rsidR="00557A9C" w:rsidRDefault="00E368ED">
      <w:pPr>
        <w:pStyle w:val="Heading2"/>
      </w:pPr>
      <w:r>
        <w:lastRenderedPageBreak/>
        <w:t xml:space="preserve">BUYER’S INVOICE ADDRESS: </w:t>
      </w:r>
    </w:p>
    <w:p w14:paraId="629EDAF1" w14:textId="77777777" w:rsidR="00557A9C" w:rsidRDefault="00E368ED">
      <w:pPr>
        <w:pStyle w:val="Heading2"/>
      </w:pPr>
      <w:r>
        <w:t>BUYER’S AUTHORISED REPRESENTATIVE</w:t>
      </w:r>
    </w:p>
    <w:p w14:paraId="757FD31A" w14:textId="77777777" w:rsidR="00557A9C" w:rsidRDefault="00557A9C"/>
    <w:p w14:paraId="0715DF5A" w14:textId="77777777" w:rsidR="00557A9C" w:rsidRDefault="00557A9C"/>
    <w:p w14:paraId="6D2624C8" w14:textId="2088772F" w:rsidR="00557A9C" w:rsidRDefault="00E368ED">
      <w:pPr>
        <w:pStyle w:val="Heading2"/>
      </w:pPr>
      <w:r>
        <w:t>SUPPLIER’S AUTHORISED REPRESENTATIVE</w:t>
      </w:r>
      <w:r w:rsidR="00D453B3">
        <w:t xml:space="preserve"> AND CONTRACT MANAGER</w:t>
      </w:r>
    </w:p>
    <w:p w14:paraId="59E032D9" w14:textId="77777777" w:rsidR="00557A9C" w:rsidRDefault="00557A9C"/>
    <w:p w14:paraId="090B86E0" w14:textId="77777777" w:rsidR="00557A9C" w:rsidRDefault="00E368ED">
      <w:pPr>
        <w:pStyle w:val="Heading2"/>
      </w:pPr>
      <w:r>
        <w:t>SOCIAL VALUE COMMITMENT</w:t>
      </w:r>
    </w:p>
    <w:p w14:paraId="7183EA8B" w14:textId="4259E641" w:rsidR="00557A9C" w:rsidRDefault="00920744">
      <w:r>
        <w:t>The Supplier agrees, in providing the Deliverables and performing its obligations under the Call-Off Contract, that it will comply with the social value commitments of framework RM6068</w:t>
      </w:r>
    </w:p>
    <w:p w14:paraId="63C7FB88" w14:textId="77777777" w:rsidR="00920744" w:rsidRDefault="00920744"/>
    <w:p w14:paraId="6CC9C217" w14:textId="77777777" w:rsidR="00557A9C" w:rsidRDefault="00E368ED">
      <w:r>
        <w:t>For and on behalf of the Supplier:</w:t>
      </w:r>
    </w:p>
    <w:p w14:paraId="1327E644" w14:textId="77777777" w:rsidR="00557A9C" w:rsidRDefault="00E368ED">
      <w:r>
        <w:t>Signature:</w:t>
      </w:r>
      <w:r>
        <w:tab/>
      </w:r>
      <w:r>
        <w:tab/>
      </w:r>
    </w:p>
    <w:p w14:paraId="7CB9868E" w14:textId="77777777" w:rsidR="00557A9C" w:rsidRDefault="00E368ED">
      <w:r>
        <w:t>Name:</w:t>
      </w:r>
      <w:r>
        <w:tab/>
      </w:r>
    </w:p>
    <w:p w14:paraId="746BFD34" w14:textId="77777777" w:rsidR="00557A9C" w:rsidRDefault="00E368ED">
      <w:r>
        <w:t>Role:</w:t>
      </w:r>
      <w:r>
        <w:tab/>
      </w:r>
      <w:r>
        <w:tab/>
      </w:r>
    </w:p>
    <w:p w14:paraId="6DDDAB66" w14:textId="77777777" w:rsidR="00557A9C" w:rsidRDefault="00E368ED">
      <w:r>
        <w:t>Date:</w:t>
      </w:r>
      <w:r>
        <w:tab/>
      </w:r>
      <w:r>
        <w:tab/>
      </w:r>
    </w:p>
    <w:p w14:paraId="6C055D77" w14:textId="77777777" w:rsidR="00557A9C" w:rsidRDefault="00557A9C"/>
    <w:p w14:paraId="24DF9059" w14:textId="77777777" w:rsidR="00557A9C" w:rsidRDefault="00557A9C"/>
    <w:p w14:paraId="2FB17263" w14:textId="77777777" w:rsidR="00557A9C" w:rsidRDefault="00E368ED">
      <w:r>
        <w:t>For and on behalf of Buyer:</w:t>
      </w:r>
    </w:p>
    <w:p w14:paraId="457E0174" w14:textId="77777777" w:rsidR="00557A9C" w:rsidRDefault="00E368ED">
      <w:r>
        <w:t>Signature:</w:t>
      </w:r>
    </w:p>
    <w:p w14:paraId="0E0A8F8B" w14:textId="77777777" w:rsidR="00557A9C" w:rsidRDefault="00E368ED">
      <w:r>
        <w:t>Name:</w:t>
      </w:r>
    </w:p>
    <w:p w14:paraId="46317727" w14:textId="77777777" w:rsidR="00557A9C" w:rsidRDefault="00E368ED">
      <w:r>
        <w:t>Role:</w:t>
      </w:r>
    </w:p>
    <w:p w14:paraId="72B4DAB9" w14:textId="77777777" w:rsidR="00557A9C" w:rsidRDefault="00E368ED">
      <w:r>
        <w:t>Date:</w:t>
      </w:r>
    </w:p>
    <w:p w14:paraId="1F37D6F5" w14:textId="77777777" w:rsidR="00557A9C" w:rsidRDefault="00557A9C"/>
    <w:p w14:paraId="3C3E3046" w14:textId="77777777" w:rsidR="00557A9C" w:rsidRPr="008113A3" w:rsidRDefault="00557A9C" w:rsidP="008113A3"/>
    <w:p w14:paraId="38CEBAE8" w14:textId="3E67317B" w:rsidR="00557A9C" w:rsidRPr="008113A3" w:rsidRDefault="00920744" w:rsidP="008113A3">
      <w:r w:rsidRPr="008113A3">
        <w:t>Annex A: The Department’s specification, as below;</w:t>
      </w:r>
    </w:p>
    <w:p w14:paraId="3E4AE6D6" w14:textId="77777777" w:rsidR="008113A3" w:rsidRDefault="008113A3">
      <w:pPr>
        <w:pStyle w:val="Heading1"/>
      </w:pPr>
    </w:p>
    <w:p w14:paraId="5A867D7B" w14:textId="77777777" w:rsidR="008113A3" w:rsidRDefault="008113A3">
      <w:pPr>
        <w:pStyle w:val="Heading1"/>
      </w:pPr>
      <w:r>
        <w:rPr>
          <w:noProof/>
        </w:rPr>
        <w:drawing>
          <wp:anchor distT="0" distB="0" distL="114300" distR="114300" simplePos="0" relativeHeight="251659264" behindDoc="0" locked="0" layoutInCell="1" allowOverlap="1" wp14:anchorId="66C5D9D4" wp14:editId="4F42999E">
            <wp:simplePos x="0" y="0"/>
            <wp:positionH relativeFrom="page">
              <wp:posOffset>4543562</wp:posOffset>
            </wp:positionH>
            <wp:positionV relativeFrom="page">
              <wp:posOffset>390631</wp:posOffset>
            </wp:positionV>
            <wp:extent cx="2642798" cy="444581"/>
            <wp:effectExtent l="0" t="0" r="5152" b="0"/>
            <wp:wrapTopAndBottom/>
            <wp:docPr id="909593505" name="image2.png" descr="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642798" cy="444581"/>
                    </a:xfrm>
                    <a:prstGeom prst="rect">
                      <a:avLst/>
                    </a:prstGeom>
                    <a:noFill/>
                    <a:ln>
                      <a:noFill/>
                      <a:prstDash/>
                    </a:ln>
                  </pic:spPr>
                </pic:pic>
              </a:graphicData>
            </a:graphic>
          </wp:anchor>
        </w:drawing>
      </w:r>
      <w:bookmarkStart w:id="0" w:name="_ebi4qf5i07lc"/>
      <w:bookmarkEnd w:id="0"/>
      <w:r>
        <w:t xml:space="preserve">Further Competition for ICS Group Fortinet Fortiflex Licences </w:t>
      </w:r>
    </w:p>
    <w:p w14:paraId="7488AB13" w14:textId="77777777" w:rsidR="008113A3" w:rsidRDefault="008113A3">
      <w:pPr>
        <w:pStyle w:val="Heading1"/>
        <w:spacing w:line="259" w:lineRule="auto"/>
      </w:pPr>
      <w:r>
        <w:t xml:space="preserve">Reference </w:t>
      </w:r>
      <w:r w:rsidRPr="00CC7303">
        <w:t>PRJ_2782</w:t>
      </w:r>
    </w:p>
    <w:p w14:paraId="3A17FE79" w14:textId="77777777" w:rsidR="008113A3" w:rsidRDefault="008113A3">
      <w:pPr>
        <w:pStyle w:val="Heading1"/>
      </w:pPr>
      <w:r>
        <w:t>Contract Under Framework RM6068 Technology Products and Associated Services</w:t>
      </w:r>
    </w:p>
    <w:tbl>
      <w:tblPr>
        <w:tblW w:w="8656" w:type="dxa"/>
        <w:tblInd w:w="360" w:type="dxa"/>
        <w:tblCellMar>
          <w:left w:w="10" w:type="dxa"/>
          <w:right w:w="10" w:type="dxa"/>
        </w:tblCellMar>
        <w:tblLook w:val="04A0" w:firstRow="1" w:lastRow="0" w:firstColumn="1" w:lastColumn="0" w:noHBand="0" w:noVBand="1"/>
      </w:tblPr>
      <w:tblGrid>
        <w:gridCol w:w="1950"/>
        <w:gridCol w:w="6706"/>
      </w:tblGrid>
      <w:tr w:rsidR="008113A3" w:rsidRPr="00127803" w14:paraId="7F003C1A"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A4A7D" w14:textId="77777777" w:rsidR="008113A3" w:rsidRPr="00127803" w:rsidRDefault="008113A3">
            <w:pPr>
              <w:pStyle w:val="Standard"/>
              <w:rPr>
                <w:sz w:val="24"/>
                <w:szCs w:val="24"/>
              </w:rPr>
            </w:pPr>
            <w:r>
              <w:rPr>
                <w:sz w:val="24"/>
                <w:szCs w:val="24"/>
              </w:rPr>
              <w:t xml:space="preserve">Friday </w:t>
            </w:r>
            <w:r w:rsidRPr="00127803">
              <w:rPr>
                <w:sz w:val="24"/>
                <w:szCs w:val="24"/>
              </w:rPr>
              <w:t xml:space="preserve"> </w:t>
            </w:r>
            <w:r>
              <w:rPr>
                <w:sz w:val="24"/>
                <w:szCs w:val="24"/>
              </w:rPr>
              <w:t>10</w:t>
            </w:r>
            <w:r w:rsidRPr="00127803">
              <w:rPr>
                <w:sz w:val="24"/>
                <w:szCs w:val="24"/>
              </w:rPr>
              <w:t>/11/2023</w:t>
            </w:r>
          </w:p>
          <w:p w14:paraId="655871C7" w14:textId="77777777" w:rsidR="008113A3" w:rsidRPr="00127803" w:rsidRDefault="008113A3">
            <w:pPr>
              <w:pStyle w:val="Standard"/>
              <w:rPr>
                <w:sz w:val="24"/>
                <w:szCs w:val="24"/>
              </w:rPr>
            </w:pPr>
            <w:r w:rsidRPr="00127803">
              <w:rPr>
                <w:sz w:val="24"/>
                <w:szCs w:val="24"/>
              </w:rPr>
              <w:t xml:space="preserve">By </w:t>
            </w:r>
            <w:r>
              <w:rPr>
                <w:sz w:val="24"/>
                <w:szCs w:val="24"/>
              </w:rPr>
              <w:t>5</w:t>
            </w:r>
            <w:r w:rsidRPr="00127803">
              <w:rPr>
                <w:sz w:val="24"/>
                <w:szCs w:val="24"/>
              </w:rPr>
              <w:t>:00pm</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11CD5E" w14:textId="77777777" w:rsidR="008113A3" w:rsidRPr="00127803" w:rsidRDefault="008113A3">
            <w:pPr>
              <w:pStyle w:val="Standard"/>
              <w:rPr>
                <w:sz w:val="24"/>
                <w:szCs w:val="24"/>
              </w:rPr>
            </w:pPr>
            <w:r w:rsidRPr="00127803">
              <w:rPr>
                <w:sz w:val="24"/>
                <w:szCs w:val="24"/>
              </w:rPr>
              <w:t>Deadline for supplier submission of tender to the Authority</w:t>
            </w:r>
          </w:p>
        </w:tc>
      </w:tr>
    </w:tbl>
    <w:p w14:paraId="470EB10C" w14:textId="77777777" w:rsidR="008113A3" w:rsidRPr="00127803" w:rsidRDefault="008113A3">
      <w:pPr>
        <w:pStyle w:val="Standard"/>
        <w:rPr>
          <w:sz w:val="24"/>
          <w:szCs w:val="24"/>
        </w:rPr>
      </w:pPr>
    </w:p>
    <w:p w14:paraId="19AB0017" w14:textId="77777777" w:rsidR="008113A3" w:rsidRDefault="008113A3">
      <w:pPr>
        <w:pageBreakBefore/>
        <w:widowControl w:val="0"/>
        <w:suppressAutoHyphens w:val="0"/>
      </w:pPr>
    </w:p>
    <w:p w14:paraId="502F26F4" w14:textId="77777777" w:rsidR="008113A3" w:rsidRDefault="008113A3">
      <w:pPr>
        <w:pStyle w:val="Heading2"/>
      </w:pPr>
      <w:bookmarkStart w:id="1" w:name="_Toc109720903"/>
      <w:bookmarkEnd w:id="1"/>
    </w:p>
    <w:p w14:paraId="3BF64C1D" w14:textId="77777777" w:rsidR="008113A3" w:rsidRPr="00127803" w:rsidRDefault="008113A3">
      <w:pPr>
        <w:pStyle w:val="TOC1"/>
        <w:rPr>
          <w:rFonts w:cs="Arial"/>
          <w:sz w:val="24"/>
        </w:rPr>
      </w:pPr>
      <w:r w:rsidRPr="00127803">
        <w:rPr>
          <w:rFonts w:cs="Arial"/>
          <w:sz w:val="24"/>
        </w:rPr>
        <w:fldChar w:fldCharType="begin"/>
      </w:r>
      <w:r w:rsidRPr="00127803">
        <w:rPr>
          <w:rFonts w:cs="Arial"/>
          <w:sz w:val="24"/>
        </w:rPr>
        <w:instrText xml:space="preserve"> TOC \o "1-9" \u \t "Heading 2,1,Heading 3,2" \h </w:instrText>
      </w:r>
      <w:r w:rsidRPr="00127803">
        <w:rPr>
          <w:rFonts w:cs="Arial"/>
          <w:sz w:val="24"/>
        </w:rPr>
        <w:fldChar w:fldCharType="separate"/>
      </w:r>
      <w:hyperlink w:anchor="_Toc109720903" w:history="1">
        <w:r w:rsidRPr="00127803">
          <w:rPr>
            <w:rStyle w:val="Hyperlink"/>
            <w:rFonts w:cs="Arial"/>
            <w:sz w:val="24"/>
          </w:rPr>
          <w:t>Contents</w:t>
        </w:r>
        <w:r w:rsidRPr="00127803">
          <w:rPr>
            <w:rFonts w:cs="Arial"/>
            <w:sz w:val="24"/>
          </w:rPr>
          <w:tab/>
          <w:t>2</w:t>
        </w:r>
      </w:hyperlink>
    </w:p>
    <w:p w14:paraId="72D2B678" w14:textId="77777777" w:rsidR="008113A3" w:rsidRPr="00127803" w:rsidRDefault="00000000">
      <w:pPr>
        <w:pStyle w:val="TOC1"/>
        <w:tabs>
          <w:tab w:val="right" w:leader="dot" w:pos="660"/>
        </w:tabs>
        <w:rPr>
          <w:rFonts w:cs="Arial"/>
          <w:sz w:val="24"/>
        </w:rPr>
      </w:pPr>
      <w:hyperlink w:anchor="_Toc109720904" w:history="1">
        <w:r w:rsidR="008113A3" w:rsidRPr="00127803">
          <w:rPr>
            <w:rStyle w:val="Hyperlink"/>
            <w:rFonts w:cs="Arial"/>
            <w:sz w:val="24"/>
          </w:rPr>
          <w:t>1.</w:t>
        </w:r>
        <w:r w:rsidR="008113A3" w:rsidRPr="00127803">
          <w:rPr>
            <w:rFonts w:eastAsia="Times New Roman" w:cs="Arial"/>
            <w:sz w:val="24"/>
          </w:rPr>
          <w:tab/>
        </w:r>
        <w:r w:rsidR="008113A3" w:rsidRPr="00127803">
          <w:rPr>
            <w:rStyle w:val="Hyperlink"/>
            <w:rFonts w:cs="Arial"/>
            <w:sz w:val="24"/>
          </w:rPr>
          <w:t>Introduction</w:t>
        </w:r>
        <w:r w:rsidR="008113A3" w:rsidRPr="00127803">
          <w:rPr>
            <w:rFonts w:cs="Arial"/>
            <w:sz w:val="24"/>
          </w:rPr>
          <w:tab/>
          <w:t>2</w:t>
        </w:r>
      </w:hyperlink>
    </w:p>
    <w:p w14:paraId="18AF13CE" w14:textId="77777777" w:rsidR="008113A3" w:rsidRPr="00127803" w:rsidRDefault="00000000">
      <w:pPr>
        <w:pStyle w:val="TOC1"/>
        <w:tabs>
          <w:tab w:val="right" w:leader="dot" w:pos="660"/>
        </w:tabs>
        <w:rPr>
          <w:rFonts w:cs="Arial"/>
          <w:sz w:val="24"/>
        </w:rPr>
      </w:pPr>
      <w:hyperlink w:anchor="_Toc109720905" w:history="1">
        <w:r w:rsidR="008113A3" w:rsidRPr="00127803">
          <w:rPr>
            <w:rStyle w:val="Hyperlink"/>
            <w:rFonts w:cs="Arial"/>
            <w:sz w:val="24"/>
          </w:rPr>
          <w:t>2.</w:t>
        </w:r>
        <w:r w:rsidR="008113A3" w:rsidRPr="00127803">
          <w:rPr>
            <w:rFonts w:eastAsia="Times New Roman" w:cs="Arial"/>
            <w:sz w:val="24"/>
          </w:rPr>
          <w:tab/>
        </w:r>
        <w:r w:rsidR="008113A3" w:rsidRPr="00127803">
          <w:rPr>
            <w:rStyle w:val="Hyperlink"/>
            <w:rFonts w:cs="Arial"/>
            <w:sz w:val="24"/>
          </w:rPr>
          <w:t>The requirement</w:t>
        </w:r>
        <w:r w:rsidR="008113A3" w:rsidRPr="00127803">
          <w:rPr>
            <w:rFonts w:cs="Arial"/>
            <w:sz w:val="24"/>
          </w:rPr>
          <w:tab/>
          <w:t>2</w:t>
        </w:r>
      </w:hyperlink>
    </w:p>
    <w:p w14:paraId="0F978335" w14:textId="77777777" w:rsidR="008113A3" w:rsidRPr="00127803" w:rsidRDefault="00000000">
      <w:pPr>
        <w:pStyle w:val="TOC1"/>
        <w:tabs>
          <w:tab w:val="right" w:leader="dot" w:pos="660"/>
        </w:tabs>
        <w:rPr>
          <w:rFonts w:cs="Arial"/>
          <w:sz w:val="24"/>
        </w:rPr>
      </w:pPr>
      <w:hyperlink w:anchor="_Toc109720906" w:history="1">
        <w:r w:rsidR="008113A3" w:rsidRPr="00127803">
          <w:rPr>
            <w:rStyle w:val="Hyperlink"/>
            <w:rFonts w:cs="Arial"/>
            <w:sz w:val="24"/>
          </w:rPr>
          <w:t>3.</w:t>
        </w:r>
        <w:r w:rsidR="008113A3" w:rsidRPr="00127803">
          <w:rPr>
            <w:rFonts w:eastAsia="Times New Roman" w:cs="Arial"/>
            <w:sz w:val="24"/>
          </w:rPr>
          <w:tab/>
        </w:r>
        <w:r w:rsidR="008113A3" w:rsidRPr="00127803">
          <w:rPr>
            <w:rStyle w:val="Hyperlink"/>
            <w:rFonts w:cs="Arial"/>
            <w:sz w:val="24"/>
          </w:rPr>
          <w:t>Delivery Information</w:t>
        </w:r>
        <w:r w:rsidR="008113A3" w:rsidRPr="00127803">
          <w:rPr>
            <w:rFonts w:cs="Arial"/>
            <w:sz w:val="24"/>
          </w:rPr>
          <w:tab/>
          <w:t>3</w:t>
        </w:r>
      </w:hyperlink>
    </w:p>
    <w:p w14:paraId="429132AA" w14:textId="77777777" w:rsidR="008113A3" w:rsidRPr="00127803" w:rsidRDefault="00000000">
      <w:pPr>
        <w:pStyle w:val="TOC1"/>
        <w:tabs>
          <w:tab w:val="right" w:leader="dot" w:pos="660"/>
        </w:tabs>
        <w:rPr>
          <w:rFonts w:cs="Arial"/>
          <w:sz w:val="24"/>
        </w:rPr>
      </w:pPr>
      <w:hyperlink w:anchor="_Toc109720907" w:history="1">
        <w:r w:rsidR="008113A3" w:rsidRPr="00127803">
          <w:rPr>
            <w:rStyle w:val="Hyperlink"/>
            <w:rFonts w:cs="Arial"/>
            <w:sz w:val="24"/>
          </w:rPr>
          <w:t>4.</w:t>
        </w:r>
        <w:r w:rsidR="008113A3" w:rsidRPr="00127803">
          <w:rPr>
            <w:rFonts w:eastAsia="Times New Roman" w:cs="Arial"/>
            <w:sz w:val="24"/>
          </w:rPr>
          <w:tab/>
        </w:r>
        <w:r w:rsidR="008113A3" w:rsidRPr="00127803">
          <w:rPr>
            <w:rStyle w:val="Hyperlink"/>
            <w:rFonts w:cs="Arial"/>
            <w:sz w:val="24"/>
          </w:rPr>
          <w:t>Further competition timetable</w:t>
        </w:r>
        <w:r w:rsidR="008113A3" w:rsidRPr="00127803">
          <w:rPr>
            <w:rFonts w:cs="Arial"/>
            <w:sz w:val="24"/>
          </w:rPr>
          <w:tab/>
          <w:t>3</w:t>
        </w:r>
      </w:hyperlink>
    </w:p>
    <w:p w14:paraId="57517641" w14:textId="77777777" w:rsidR="008113A3" w:rsidRPr="00127803" w:rsidRDefault="00000000">
      <w:pPr>
        <w:pStyle w:val="TOC1"/>
        <w:tabs>
          <w:tab w:val="right" w:leader="dot" w:pos="660"/>
        </w:tabs>
        <w:rPr>
          <w:rFonts w:cs="Arial"/>
          <w:sz w:val="24"/>
        </w:rPr>
      </w:pPr>
      <w:hyperlink w:anchor="_Toc109720908" w:history="1">
        <w:r w:rsidR="008113A3" w:rsidRPr="00127803">
          <w:rPr>
            <w:rStyle w:val="Hyperlink"/>
            <w:rFonts w:cs="Arial"/>
            <w:sz w:val="24"/>
          </w:rPr>
          <w:t>5.</w:t>
        </w:r>
        <w:r w:rsidR="008113A3" w:rsidRPr="00127803">
          <w:rPr>
            <w:rFonts w:eastAsia="Times New Roman" w:cs="Arial"/>
            <w:sz w:val="24"/>
          </w:rPr>
          <w:tab/>
        </w:r>
        <w:r w:rsidR="008113A3" w:rsidRPr="00127803">
          <w:rPr>
            <w:rStyle w:val="Hyperlink"/>
            <w:rFonts w:cs="Arial"/>
            <w:sz w:val="24"/>
          </w:rPr>
          <w:t>Questions and clarifications</w:t>
        </w:r>
        <w:r w:rsidR="008113A3" w:rsidRPr="00127803">
          <w:rPr>
            <w:rFonts w:cs="Arial"/>
            <w:sz w:val="24"/>
          </w:rPr>
          <w:tab/>
          <w:t>4</w:t>
        </w:r>
      </w:hyperlink>
    </w:p>
    <w:p w14:paraId="6B3274ED" w14:textId="77777777" w:rsidR="008113A3" w:rsidRPr="00127803" w:rsidRDefault="00000000">
      <w:pPr>
        <w:pStyle w:val="TOC1"/>
        <w:tabs>
          <w:tab w:val="right" w:leader="dot" w:pos="660"/>
        </w:tabs>
        <w:rPr>
          <w:rFonts w:cs="Arial"/>
          <w:sz w:val="24"/>
        </w:rPr>
      </w:pPr>
      <w:hyperlink w:anchor="_Toc109720909" w:history="1">
        <w:r w:rsidR="008113A3" w:rsidRPr="00127803">
          <w:rPr>
            <w:rStyle w:val="Hyperlink"/>
            <w:rFonts w:cs="Arial"/>
            <w:sz w:val="24"/>
          </w:rPr>
          <w:t>6.</w:t>
        </w:r>
        <w:r w:rsidR="008113A3" w:rsidRPr="00127803">
          <w:rPr>
            <w:rFonts w:eastAsia="Times New Roman" w:cs="Arial"/>
            <w:sz w:val="24"/>
          </w:rPr>
          <w:tab/>
        </w:r>
        <w:r w:rsidR="008113A3" w:rsidRPr="00127803">
          <w:rPr>
            <w:rStyle w:val="Hyperlink"/>
            <w:rFonts w:cs="Arial"/>
            <w:sz w:val="24"/>
          </w:rPr>
          <w:t>Submitting a tender</w:t>
        </w:r>
        <w:r w:rsidR="008113A3" w:rsidRPr="00127803">
          <w:rPr>
            <w:rFonts w:cs="Arial"/>
            <w:sz w:val="24"/>
          </w:rPr>
          <w:tab/>
          <w:t>4</w:t>
        </w:r>
      </w:hyperlink>
    </w:p>
    <w:p w14:paraId="09BC95B9" w14:textId="77777777" w:rsidR="008113A3" w:rsidRPr="00127803" w:rsidRDefault="00000000">
      <w:pPr>
        <w:pStyle w:val="TOC1"/>
        <w:tabs>
          <w:tab w:val="right" w:leader="dot" w:pos="660"/>
        </w:tabs>
        <w:rPr>
          <w:rFonts w:cs="Arial"/>
          <w:sz w:val="24"/>
        </w:rPr>
      </w:pPr>
      <w:hyperlink w:anchor="_Toc109720910" w:history="1">
        <w:r w:rsidR="008113A3" w:rsidRPr="00127803">
          <w:rPr>
            <w:rStyle w:val="Hyperlink"/>
            <w:rFonts w:cs="Arial"/>
            <w:sz w:val="24"/>
          </w:rPr>
          <w:t>7.</w:t>
        </w:r>
        <w:r w:rsidR="008113A3" w:rsidRPr="00127803">
          <w:rPr>
            <w:rFonts w:eastAsia="Times New Roman" w:cs="Arial"/>
            <w:sz w:val="24"/>
          </w:rPr>
          <w:tab/>
        </w:r>
        <w:r w:rsidR="008113A3" w:rsidRPr="00127803">
          <w:rPr>
            <w:rStyle w:val="Hyperlink"/>
            <w:rFonts w:cs="Arial"/>
            <w:sz w:val="24"/>
          </w:rPr>
          <w:t>Tender evaluation</w:t>
        </w:r>
        <w:r w:rsidR="008113A3" w:rsidRPr="00127803">
          <w:rPr>
            <w:rFonts w:cs="Arial"/>
            <w:sz w:val="24"/>
          </w:rPr>
          <w:tab/>
          <w:t>5</w:t>
        </w:r>
      </w:hyperlink>
    </w:p>
    <w:p w14:paraId="22C883CB" w14:textId="77777777" w:rsidR="008113A3" w:rsidRPr="00127803" w:rsidRDefault="00000000">
      <w:pPr>
        <w:pStyle w:val="TOC1"/>
        <w:tabs>
          <w:tab w:val="right" w:leader="dot" w:pos="660"/>
        </w:tabs>
        <w:rPr>
          <w:rFonts w:cs="Arial"/>
          <w:sz w:val="24"/>
        </w:rPr>
      </w:pPr>
      <w:hyperlink w:anchor="_Toc109720911" w:history="1">
        <w:r w:rsidR="008113A3" w:rsidRPr="00127803">
          <w:rPr>
            <w:rStyle w:val="Hyperlink"/>
            <w:rFonts w:cs="Arial"/>
            <w:sz w:val="24"/>
          </w:rPr>
          <w:t>8.</w:t>
        </w:r>
        <w:r w:rsidR="008113A3" w:rsidRPr="00127803">
          <w:rPr>
            <w:rFonts w:eastAsia="Times New Roman" w:cs="Arial"/>
            <w:sz w:val="24"/>
          </w:rPr>
          <w:tab/>
        </w:r>
        <w:r w:rsidR="008113A3" w:rsidRPr="00127803">
          <w:rPr>
            <w:rStyle w:val="Hyperlink"/>
            <w:rFonts w:cs="Arial"/>
            <w:sz w:val="24"/>
          </w:rPr>
          <w:t>Contract award</w:t>
        </w:r>
        <w:r w:rsidR="008113A3" w:rsidRPr="00127803">
          <w:rPr>
            <w:rFonts w:cs="Arial"/>
            <w:sz w:val="24"/>
          </w:rPr>
          <w:tab/>
          <w:t>5</w:t>
        </w:r>
      </w:hyperlink>
    </w:p>
    <w:p w14:paraId="0174D552" w14:textId="77777777" w:rsidR="008113A3" w:rsidRPr="00127803" w:rsidRDefault="00000000">
      <w:pPr>
        <w:pStyle w:val="TOC1"/>
        <w:tabs>
          <w:tab w:val="right" w:leader="dot" w:pos="660"/>
        </w:tabs>
        <w:rPr>
          <w:rFonts w:cs="Arial"/>
          <w:sz w:val="24"/>
        </w:rPr>
      </w:pPr>
      <w:hyperlink w:anchor="_Toc109720912" w:history="1">
        <w:r w:rsidR="008113A3" w:rsidRPr="00127803">
          <w:rPr>
            <w:rStyle w:val="Hyperlink"/>
            <w:rFonts w:cs="Arial"/>
            <w:sz w:val="24"/>
          </w:rPr>
          <w:t>9.</w:t>
        </w:r>
        <w:r w:rsidR="008113A3" w:rsidRPr="00127803">
          <w:rPr>
            <w:rFonts w:eastAsia="Times New Roman" w:cs="Arial"/>
            <w:sz w:val="24"/>
          </w:rPr>
          <w:tab/>
        </w:r>
        <w:r w:rsidR="008113A3" w:rsidRPr="00127803">
          <w:rPr>
            <w:rStyle w:val="Hyperlink"/>
            <w:rFonts w:cs="Arial"/>
            <w:sz w:val="24"/>
          </w:rPr>
          <w:t>Outcome letters and call off contracts</w:t>
        </w:r>
        <w:r w:rsidR="008113A3" w:rsidRPr="00127803">
          <w:rPr>
            <w:rFonts w:cs="Arial"/>
            <w:sz w:val="24"/>
          </w:rPr>
          <w:tab/>
          <w:t>5</w:t>
        </w:r>
      </w:hyperlink>
    </w:p>
    <w:p w14:paraId="7A2864B5" w14:textId="77777777" w:rsidR="008113A3" w:rsidRPr="00127803" w:rsidRDefault="008113A3">
      <w:pPr>
        <w:tabs>
          <w:tab w:val="center" w:pos="4513"/>
        </w:tabs>
        <w:rPr>
          <w:sz w:val="24"/>
          <w:szCs w:val="24"/>
        </w:rPr>
      </w:pPr>
      <w:r w:rsidRPr="00127803">
        <w:rPr>
          <w:sz w:val="24"/>
          <w:szCs w:val="24"/>
        </w:rPr>
        <w:fldChar w:fldCharType="end"/>
      </w:r>
      <w:r w:rsidRPr="00127803">
        <w:rPr>
          <w:sz w:val="24"/>
          <w:szCs w:val="24"/>
        </w:rPr>
        <w:tab/>
      </w:r>
    </w:p>
    <w:p w14:paraId="7AAC5D40" w14:textId="77777777" w:rsidR="008113A3" w:rsidRPr="00127803" w:rsidRDefault="008113A3" w:rsidP="008113A3">
      <w:pPr>
        <w:pStyle w:val="Heading2"/>
        <w:widowControl/>
        <w:numPr>
          <w:ilvl w:val="0"/>
          <w:numId w:val="4"/>
        </w:numPr>
        <w:spacing w:before="360" w:line="240" w:lineRule="auto"/>
      </w:pPr>
      <w:bookmarkStart w:id="2" w:name="_nldfiobv4zti"/>
      <w:bookmarkStart w:id="3" w:name="_Toc109720904"/>
      <w:bookmarkEnd w:id="2"/>
      <w:r w:rsidRPr="00127803">
        <w:t>Introduction</w:t>
      </w:r>
      <w:bookmarkEnd w:id="3"/>
    </w:p>
    <w:p w14:paraId="41826267" w14:textId="77777777" w:rsidR="008113A3" w:rsidRPr="00127803" w:rsidRDefault="008113A3">
      <w:pPr>
        <w:pStyle w:val="Standard"/>
      </w:pPr>
    </w:p>
    <w:p w14:paraId="4205D086" w14:textId="77777777" w:rsidR="008113A3" w:rsidRPr="007F143D" w:rsidRDefault="008113A3" w:rsidP="008113A3">
      <w:pPr>
        <w:pStyle w:val="Standard"/>
        <w:numPr>
          <w:ilvl w:val="1"/>
          <w:numId w:val="5"/>
        </w:numPr>
        <w:rPr>
          <w:sz w:val="24"/>
          <w:szCs w:val="24"/>
        </w:rPr>
      </w:pPr>
      <w:r w:rsidRPr="007F143D">
        <w:rPr>
          <w:sz w:val="24"/>
          <w:szCs w:val="24"/>
        </w:rPr>
        <w:t>This further competition invitation relates to the further competition to award a Fortinet Fortiflex licencing agreement to a sole supplier.</w:t>
      </w:r>
    </w:p>
    <w:p w14:paraId="741D8CFA" w14:textId="77777777" w:rsidR="008113A3" w:rsidRPr="00127803" w:rsidRDefault="008113A3">
      <w:pPr>
        <w:pStyle w:val="Standard"/>
        <w:rPr>
          <w:sz w:val="24"/>
          <w:szCs w:val="24"/>
        </w:rPr>
      </w:pPr>
    </w:p>
    <w:p w14:paraId="2CB64D08" w14:textId="77777777" w:rsidR="008113A3" w:rsidRDefault="008113A3" w:rsidP="008113A3">
      <w:pPr>
        <w:pStyle w:val="Standard"/>
        <w:numPr>
          <w:ilvl w:val="1"/>
          <w:numId w:val="5"/>
        </w:numPr>
        <w:rPr>
          <w:sz w:val="24"/>
          <w:szCs w:val="24"/>
        </w:rPr>
      </w:pPr>
      <w:r w:rsidRPr="00127803">
        <w:rPr>
          <w:sz w:val="24"/>
          <w:szCs w:val="24"/>
        </w:rPr>
        <w:t xml:space="preserve">This further competition is being conducted under the </w:t>
      </w:r>
      <w:r>
        <w:rPr>
          <w:sz w:val="24"/>
          <w:szCs w:val="24"/>
        </w:rPr>
        <w:t xml:space="preserve">Crown Commercial Service (CCS) Framework Agreement </w:t>
      </w:r>
      <w:r w:rsidRPr="00127803">
        <w:rPr>
          <w:sz w:val="24"/>
          <w:szCs w:val="24"/>
        </w:rPr>
        <w:t xml:space="preserve">RM6068 Technology Products and Associated Services </w:t>
      </w:r>
      <w:r>
        <w:rPr>
          <w:sz w:val="24"/>
          <w:szCs w:val="24"/>
        </w:rPr>
        <w:t xml:space="preserve">- </w:t>
      </w:r>
      <w:r w:rsidRPr="00127803">
        <w:rPr>
          <w:sz w:val="24"/>
          <w:szCs w:val="24"/>
        </w:rPr>
        <w:t>Lot 3 -</w:t>
      </w:r>
      <w:r w:rsidRPr="00127803">
        <w:rPr>
          <w:b/>
          <w:bCs/>
          <w:color w:val="000000"/>
          <w:sz w:val="24"/>
          <w:szCs w:val="24"/>
          <w:shd w:val="clear" w:color="auto" w:fill="FFFFFF"/>
        </w:rPr>
        <w:t xml:space="preserve"> Software and Associated Services</w:t>
      </w:r>
    </w:p>
    <w:p w14:paraId="68B5E945" w14:textId="77777777" w:rsidR="008113A3" w:rsidRDefault="008113A3">
      <w:pPr>
        <w:pStyle w:val="Standard"/>
        <w:ind w:left="944"/>
        <w:rPr>
          <w:sz w:val="24"/>
          <w:szCs w:val="24"/>
        </w:rPr>
      </w:pPr>
    </w:p>
    <w:p w14:paraId="25C2F334" w14:textId="77777777" w:rsidR="008113A3" w:rsidRDefault="008113A3" w:rsidP="008113A3">
      <w:pPr>
        <w:pStyle w:val="Standard"/>
        <w:numPr>
          <w:ilvl w:val="1"/>
          <w:numId w:val="5"/>
        </w:numPr>
        <w:rPr>
          <w:sz w:val="24"/>
          <w:szCs w:val="24"/>
        </w:rPr>
      </w:pPr>
      <w:r w:rsidRPr="00950DD3">
        <w:rPr>
          <w:sz w:val="24"/>
          <w:szCs w:val="24"/>
        </w:rPr>
        <w:t>The Contracting authority: Department of Energy Security and Net Zero (DESNZ).</w:t>
      </w:r>
      <w:bookmarkStart w:id="4" w:name="_Toc109720905"/>
    </w:p>
    <w:p w14:paraId="42F8E463" w14:textId="77777777" w:rsidR="008113A3" w:rsidRDefault="008113A3">
      <w:pPr>
        <w:pStyle w:val="ListParagraph"/>
        <w:rPr>
          <w:sz w:val="24"/>
        </w:rPr>
      </w:pPr>
    </w:p>
    <w:p w14:paraId="615E8347" w14:textId="77777777" w:rsidR="008113A3" w:rsidRDefault="008113A3" w:rsidP="008113A3">
      <w:pPr>
        <w:pStyle w:val="Standard"/>
        <w:numPr>
          <w:ilvl w:val="1"/>
          <w:numId w:val="5"/>
        </w:numPr>
        <w:rPr>
          <w:sz w:val="24"/>
          <w:szCs w:val="24"/>
        </w:rPr>
      </w:pPr>
      <w:r>
        <w:rPr>
          <w:sz w:val="24"/>
          <w:szCs w:val="24"/>
        </w:rPr>
        <w:t>This contract will be managed by the Integrated Corporate Services (ICS) Digital team.</w:t>
      </w:r>
    </w:p>
    <w:p w14:paraId="01DF286B" w14:textId="77777777" w:rsidR="008113A3" w:rsidRDefault="008113A3">
      <w:pPr>
        <w:pStyle w:val="ListParagraph"/>
        <w:rPr>
          <w:sz w:val="24"/>
        </w:rPr>
      </w:pPr>
    </w:p>
    <w:p w14:paraId="691E3A61" w14:textId="77777777" w:rsidR="008113A3" w:rsidRDefault="008113A3" w:rsidP="008113A3">
      <w:pPr>
        <w:pStyle w:val="Standard"/>
        <w:numPr>
          <w:ilvl w:val="1"/>
          <w:numId w:val="5"/>
        </w:numPr>
        <w:rPr>
          <w:sz w:val="24"/>
          <w:szCs w:val="24"/>
        </w:rPr>
      </w:pPr>
      <w:r>
        <w:rPr>
          <w:sz w:val="24"/>
          <w:szCs w:val="24"/>
        </w:rPr>
        <w:t>ICS provides Digital services to the following Government Departments as a shared service.</w:t>
      </w:r>
    </w:p>
    <w:p w14:paraId="47B28D35" w14:textId="77777777" w:rsidR="008113A3" w:rsidRDefault="008113A3">
      <w:pPr>
        <w:pStyle w:val="ListParagraph"/>
        <w:rPr>
          <w:sz w:val="24"/>
        </w:rPr>
      </w:pPr>
    </w:p>
    <w:p w14:paraId="27DFFF4D" w14:textId="77777777" w:rsidR="008113A3" w:rsidRDefault="008113A3" w:rsidP="008113A3">
      <w:pPr>
        <w:pStyle w:val="Standard"/>
        <w:numPr>
          <w:ilvl w:val="2"/>
          <w:numId w:val="5"/>
        </w:numPr>
        <w:rPr>
          <w:sz w:val="24"/>
          <w:szCs w:val="24"/>
        </w:rPr>
      </w:pPr>
      <w:r w:rsidRPr="00950DD3">
        <w:rPr>
          <w:sz w:val="24"/>
          <w:szCs w:val="24"/>
        </w:rPr>
        <w:t>Department of Energy Security and Net Zero (DESNZ).</w:t>
      </w:r>
    </w:p>
    <w:p w14:paraId="5751E6AB" w14:textId="77777777" w:rsidR="008113A3" w:rsidRDefault="008113A3" w:rsidP="008113A3">
      <w:pPr>
        <w:pStyle w:val="Standard"/>
        <w:numPr>
          <w:ilvl w:val="2"/>
          <w:numId w:val="5"/>
        </w:numPr>
        <w:rPr>
          <w:sz w:val="24"/>
          <w:szCs w:val="24"/>
        </w:rPr>
      </w:pPr>
      <w:r>
        <w:rPr>
          <w:sz w:val="24"/>
          <w:szCs w:val="24"/>
        </w:rPr>
        <w:t>Department for Science, Innovation &amp; Technology (DSIT)</w:t>
      </w:r>
    </w:p>
    <w:p w14:paraId="7C0B02B6" w14:textId="77777777" w:rsidR="008113A3" w:rsidRDefault="008113A3" w:rsidP="008113A3">
      <w:pPr>
        <w:pStyle w:val="Standard"/>
        <w:numPr>
          <w:ilvl w:val="2"/>
          <w:numId w:val="5"/>
        </w:numPr>
        <w:rPr>
          <w:sz w:val="24"/>
          <w:szCs w:val="24"/>
        </w:rPr>
      </w:pPr>
      <w:r>
        <w:rPr>
          <w:sz w:val="24"/>
          <w:szCs w:val="24"/>
        </w:rPr>
        <w:t>Department for Business &amp; Trade (DBT)</w:t>
      </w:r>
    </w:p>
    <w:p w14:paraId="4D740317" w14:textId="77777777" w:rsidR="008113A3" w:rsidRPr="00F80CC5" w:rsidRDefault="008113A3" w:rsidP="008113A3">
      <w:pPr>
        <w:pStyle w:val="Standard"/>
        <w:numPr>
          <w:ilvl w:val="2"/>
          <w:numId w:val="5"/>
        </w:numPr>
        <w:rPr>
          <w:sz w:val="24"/>
          <w:szCs w:val="24"/>
        </w:rPr>
      </w:pPr>
      <w:r w:rsidRPr="00127803">
        <w:rPr>
          <w:sz w:val="24"/>
          <w:szCs w:val="24"/>
        </w:rPr>
        <w:t xml:space="preserve">and all </w:t>
      </w:r>
      <w:r>
        <w:rPr>
          <w:sz w:val="24"/>
          <w:szCs w:val="24"/>
        </w:rPr>
        <w:t xml:space="preserve">the above Department’s </w:t>
      </w:r>
      <w:r w:rsidRPr="00127803">
        <w:rPr>
          <w:sz w:val="24"/>
          <w:szCs w:val="24"/>
        </w:rPr>
        <w:t>partner organisations and arm’s length bodies</w:t>
      </w:r>
      <w:r>
        <w:rPr>
          <w:sz w:val="24"/>
          <w:szCs w:val="24"/>
        </w:rPr>
        <w:t>.</w:t>
      </w:r>
    </w:p>
    <w:p w14:paraId="76A776AC" w14:textId="77777777" w:rsidR="008113A3" w:rsidRPr="00C45933" w:rsidRDefault="008113A3">
      <w:pPr>
        <w:pStyle w:val="Standard"/>
        <w:ind w:left="360"/>
      </w:pPr>
    </w:p>
    <w:p w14:paraId="1180A537" w14:textId="77777777" w:rsidR="008113A3" w:rsidRPr="00F03642" w:rsidRDefault="008113A3" w:rsidP="008113A3">
      <w:pPr>
        <w:pStyle w:val="Standard"/>
        <w:numPr>
          <w:ilvl w:val="0"/>
          <w:numId w:val="4"/>
        </w:numPr>
        <w:rPr>
          <w:sz w:val="36"/>
          <w:szCs w:val="36"/>
        </w:rPr>
      </w:pPr>
      <w:r w:rsidRPr="00F03642">
        <w:rPr>
          <w:sz w:val="36"/>
          <w:szCs w:val="36"/>
        </w:rPr>
        <w:lastRenderedPageBreak/>
        <w:t>The requirement</w:t>
      </w:r>
      <w:bookmarkEnd w:id="4"/>
    </w:p>
    <w:p w14:paraId="0F4EE4DB" w14:textId="77777777" w:rsidR="008113A3" w:rsidRDefault="008113A3">
      <w:pPr>
        <w:pStyle w:val="Standard"/>
        <w:rPr>
          <w:sz w:val="24"/>
          <w:szCs w:val="24"/>
        </w:rPr>
      </w:pPr>
    </w:p>
    <w:p w14:paraId="60AE7009" w14:textId="77777777" w:rsidR="008113A3" w:rsidRDefault="008113A3">
      <w:pPr>
        <w:pStyle w:val="Standard"/>
        <w:rPr>
          <w:sz w:val="24"/>
          <w:szCs w:val="24"/>
        </w:rPr>
      </w:pPr>
      <w:r>
        <w:rPr>
          <w:sz w:val="24"/>
          <w:szCs w:val="24"/>
        </w:rPr>
        <w:t xml:space="preserve">ICS requires the following Fortinet Fortflex licensing. Please submit your pricing using the template provided below. </w:t>
      </w:r>
    </w:p>
    <w:p w14:paraId="1F0CF83E" w14:textId="77777777" w:rsidR="008113A3" w:rsidRDefault="008113A3">
      <w:pPr>
        <w:pStyle w:val="Standard"/>
        <w:rPr>
          <w:sz w:val="24"/>
          <w:szCs w:val="24"/>
        </w:rPr>
      </w:pPr>
    </w:p>
    <w:tbl>
      <w:tblPr>
        <w:tblW w:w="10404" w:type="dxa"/>
        <w:tblInd w:w="-695" w:type="dxa"/>
        <w:tblLook w:val="04A0" w:firstRow="1" w:lastRow="0" w:firstColumn="1" w:lastColumn="0" w:noHBand="0" w:noVBand="1"/>
      </w:tblPr>
      <w:tblGrid>
        <w:gridCol w:w="2142"/>
        <w:gridCol w:w="4473"/>
        <w:gridCol w:w="591"/>
        <w:gridCol w:w="657"/>
        <w:gridCol w:w="657"/>
        <w:gridCol w:w="628"/>
        <w:gridCol w:w="628"/>
        <w:gridCol w:w="628"/>
      </w:tblGrid>
      <w:tr w:rsidR="008113A3" w:rsidRPr="0079673F" w14:paraId="1958EF05" w14:textId="77777777" w:rsidTr="008113A3">
        <w:trPr>
          <w:trHeight w:val="725"/>
        </w:trPr>
        <w:tc>
          <w:tcPr>
            <w:tcW w:w="2142" w:type="dxa"/>
            <w:vMerge w:val="restart"/>
            <w:tcBorders>
              <w:top w:val="single" w:sz="8" w:space="0" w:color="auto"/>
              <w:left w:val="single" w:sz="8" w:space="0" w:color="auto"/>
              <w:bottom w:val="dashed" w:sz="4" w:space="0" w:color="auto"/>
              <w:right w:val="single" w:sz="4" w:space="0" w:color="auto"/>
            </w:tcBorders>
            <w:shd w:val="clear" w:color="000000" w:fill="D9D9D9"/>
            <w:vAlign w:val="center"/>
            <w:hideMark/>
          </w:tcPr>
          <w:p w14:paraId="4F9C1660" w14:textId="77777777" w:rsidR="008113A3" w:rsidRPr="0079673F" w:rsidRDefault="008113A3">
            <w:pPr>
              <w:suppressAutoHyphens w:val="0"/>
              <w:autoSpaceDN/>
              <w:jc w:val="center"/>
              <w:textAlignment w:val="auto"/>
              <w:rPr>
                <w:rFonts w:ascii="Avenir LT Std 55 Roman" w:eastAsia="Times New Roman" w:hAnsi="Avenir LT Std 55 Roman"/>
                <w:b/>
                <w:bCs/>
              </w:rPr>
            </w:pPr>
            <w:r w:rsidRPr="0079673F">
              <w:rPr>
                <w:rFonts w:ascii="Avenir LT Std 55 Roman" w:eastAsia="Times New Roman" w:hAnsi="Avenir LT Std 55 Roman"/>
                <w:b/>
                <w:bCs/>
              </w:rPr>
              <w:t>PART NUMBER</w:t>
            </w:r>
          </w:p>
        </w:tc>
        <w:tc>
          <w:tcPr>
            <w:tcW w:w="4473" w:type="dxa"/>
            <w:vMerge w:val="restart"/>
            <w:tcBorders>
              <w:top w:val="single" w:sz="8" w:space="0" w:color="auto"/>
              <w:left w:val="single" w:sz="4" w:space="0" w:color="auto"/>
              <w:bottom w:val="dashed" w:sz="4" w:space="0" w:color="auto"/>
              <w:right w:val="single" w:sz="4" w:space="0" w:color="auto"/>
            </w:tcBorders>
            <w:shd w:val="clear" w:color="000000" w:fill="D9D9D9"/>
            <w:vAlign w:val="center"/>
            <w:hideMark/>
          </w:tcPr>
          <w:p w14:paraId="32132F07" w14:textId="77777777" w:rsidR="008113A3" w:rsidRPr="0079673F" w:rsidRDefault="008113A3">
            <w:pPr>
              <w:suppressAutoHyphens w:val="0"/>
              <w:autoSpaceDN/>
              <w:jc w:val="center"/>
              <w:textAlignment w:val="auto"/>
              <w:rPr>
                <w:rFonts w:ascii="Avenir LT Std 55 Roman" w:eastAsia="Times New Roman" w:hAnsi="Avenir LT Std 55 Roman"/>
                <w:b/>
                <w:bCs/>
              </w:rPr>
            </w:pPr>
            <w:r w:rsidRPr="0079673F">
              <w:rPr>
                <w:rFonts w:ascii="Avenir LT Std 55 Roman" w:eastAsia="Times New Roman" w:hAnsi="Avenir LT Std 55 Roman"/>
                <w:b/>
                <w:bCs/>
              </w:rPr>
              <w:t xml:space="preserve">PRODUCT DESCRIPTION </w:t>
            </w:r>
          </w:p>
        </w:tc>
        <w:tc>
          <w:tcPr>
            <w:tcW w:w="591" w:type="dxa"/>
            <w:vMerge w:val="restart"/>
            <w:tcBorders>
              <w:top w:val="single" w:sz="8" w:space="0" w:color="auto"/>
              <w:left w:val="single" w:sz="4" w:space="0" w:color="auto"/>
              <w:bottom w:val="dashed" w:sz="4" w:space="0" w:color="auto"/>
              <w:right w:val="single" w:sz="4" w:space="0" w:color="auto"/>
            </w:tcBorders>
            <w:shd w:val="clear" w:color="000000" w:fill="D9D9D9"/>
            <w:vAlign w:val="center"/>
            <w:hideMark/>
          </w:tcPr>
          <w:p w14:paraId="24FFE454" w14:textId="77777777" w:rsidR="008113A3" w:rsidRPr="0079673F" w:rsidRDefault="008113A3">
            <w:pPr>
              <w:suppressAutoHyphens w:val="0"/>
              <w:autoSpaceDN/>
              <w:jc w:val="center"/>
              <w:textAlignment w:val="auto"/>
              <w:rPr>
                <w:rFonts w:ascii="Avenir LT Std 55 Roman" w:eastAsia="Times New Roman" w:hAnsi="Avenir LT Std 55 Roman"/>
                <w:b/>
                <w:bCs/>
              </w:rPr>
            </w:pPr>
            <w:r w:rsidRPr="0079673F">
              <w:rPr>
                <w:rFonts w:ascii="Avenir LT Std 55 Roman" w:eastAsia="Times New Roman" w:hAnsi="Avenir LT Std 55 Roman"/>
                <w:b/>
                <w:bCs/>
              </w:rPr>
              <w:t>QTY</w:t>
            </w:r>
          </w:p>
        </w:tc>
        <w:tc>
          <w:tcPr>
            <w:tcW w:w="657" w:type="dxa"/>
            <w:vMerge w:val="restart"/>
            <w:tcBorders>
              <w:top w:val="single" w:sz="8" w:space="0" w:color="auto"/>
              <w:left w:val="single" w:sz="4" w:space="0" w:color="auto"/>
              <w:bottom w:val="dashed" w:sz="4" w:space="0" w:color="auto"/>
              <w:right w:val="single" w:sz="4" w:space="0" w:color="auto"/>
            </w:tcBorders>
            <w:shd w:val="clear" w:color="000000" w:fill="D9D9D9"/>
            <w:vAlign w:val="center"/>
            <w:hideMark/>
          </w:tcPr>
          <w:p w14:paraId="07E73A9E" w14:textId="77777777" w:rsidR="008113A3" w:rsidRPr="0079673F" w:rsidRDefault="008113A3">
            <w:pPr>
              <w:suppressAutoHyphens w:val="0"/>
              <w:autoSpaceDN/>
              <w:jc w:val="center"/>
              <w:textAlignment w:val="auto"/>
              <w:rPr>
                <w:rFonts w:ascii="Calibri" w:eastAsia="Times New Roman" w:hAnsi="Calibri"/>
                <w:b/>
                <w:bCs/>
              </w:rPr>
            </w:pPr>
            <w:r w:rsidRPr="0079673F">
              <w:rPr>
                <w:rFonts w:ascii="Calibri" w:eastAsia="Times New Roman" w:hAnsi="Calibri"/>
                <w:b/>
                <w:bCs/>
              </w:rPr>
              <w:t>Unit Annual Cost (£ ex VAT)</w:t>
            </w:r>
          </w:p>
        </w:tc>
        <w:tc>
          <w:tcPr>
            <w:tcW w:w="657" w:type="dxa"/>
            <w:vMerge w:val="restart"/>
            <w:tcBorders>
              <w:top w:val="single" w:sz="8" w:space="0" w:color="auto"/>
              <w:left w:val="single" w:sz="4" w:space="0" w:color="auto"/>
              <w:bottom w:val="dashed" w:sz="4" w:space="0" w:color="auto"/>
              <w:right w:val="single" w:sz="4" w:space="0" w:color="auto"/>
            </w:tcBorders>
            <w:shd w:val="clear" w:color="000000" w:fill="D9D9D9"/>
            <w:vAlign w:val="center"/>
            <w:hideMark/>
          </w:tcPr>
          <w:p w14:paraId="4CC0798B" w14:textId="77777777" w:rsidR="008113A3" w:rsidRPr="0079673F" w:rsidRDefault="008113A3">
            <w:pPr>
              <w:suppressAutoHyphens w:val="0"/>
              <w:autoSpaceDN/>
              <w:jc w:val="center"/>
              <w:textAlignment w:val="auto"/>
              <w:rPr>
                <w:rFonts w:ascii="Calibri" w:eastAsia="Times New Roman" w:hAnsi="Calibri"/>
                <w:b/>
                <w:bCs/>
              </w:rPr>
            </w:pPr>
            <w:r w:rsidRPr="0079673F">
              <w:rPr>
                <w:rFonts w:ascii="Calibri" w:eastAsia="Times New Roman" w:hAnsi="Calibri"/>
                <w:b/>
                <w:bCs/>
              </w:rPr>
              <w:t>Total Annual Cost (£ ex VAT)</w:t>
            </w:r>
          </w:p>
        </w:tc>
        <w:tc>
          <w:tcPr>
            <w:tcW w:w="1884" w:type="dxa"/>
            <w:gridSpan w:val="3"/>
            <w:tcBorders>
              <w:top w:val="single" w:sz="8" w:space="0" w:color="auto"/>
              <w:left w:val="nil"/>
              <w:bottom w:val="dashed" w:sz="4" w:space="0" w:color="auto"/>
              <w:right w:val="single" w:sz="8" w:space="0" w:color="000000"/>
            </w:tcBorders>
            <w:shd w:val="clear" w:color="000000" w:fill="D9D9D9"/>
            <w:vAlign w:val="center"/>
            <w:hideMark/>
          </w:tcPr>
          <w:p w14:paraId="0F03A18A" w14:textId="77777777" w:rsidR="008113A3" w:rsidRPr="0079673F" w:rsidRDefault="008113A3">
            <w:pPr>
              <w:suppressAutoHyphens w:val="0"/>
              <w:autoSpaceDN/>
              <w:jc w:val="center"/>
              <w:textAlignment w:val="auto"/>
              <w:rPr>
                <w:rFonts w:ascii="Calibri" w:eastAsia="Times New Roman" w:hAnsi="Calibri"/>
                <w:b/>
                <w:bCs/>
              </w:rPr>
            </w:pPr>
            <w:r w:rsidRPr="0079673F">
              <w:rPr>
                <w:rFonts w:ascii="Calibri" w:eastAsia="Times New Roman" w:hAnsi="Calibri"/>
                <w:b/>
                <w:bCs/>
              </w:rPr>
              <w:t>Total Annual Cost with Margin Applied (£ ex VAT)</w:t>
            </w:r>
          </w:p>
        </w:tc>
      </w:tr>
      <w:tr w:rsidR="008113A3" w:rsidRPr="0079673F" w14:paraId="17C74621" w14:textId="77777777" w:rsidTr="008113A3">
        <w:trPr>
          <w:trHeight w:val="244"/>
        </w:trPr>
        <w:tc>
          <w:tcPr>
            <w:tcW w:w="2142" w:type="dxa"/>
            <w:vMerge/>
            <w:tcBorders>
              <w:top w:val="single" w:sz="8" w:space="0" w:color="auto"/>
              <w:left w:val="single" w:sz="8" w:space="0" w:color="auto"/>
              <w:bottom w:val="dashed" w:sz="4" w:space="0" w:color="auto"/>
              <w:right w:val="single" w:sz="4" w:space="0" w:color="auto"/>
            </w:tcBorders>
            <w:vAlign w:val="center"/>
            <w:hideMark/>
          </w:tcPr>
          <w:p w14:paraId="03D65C06" w14:textId="77777777" w:rsidR="008113A3" w:rsidRPr="0079673F" w:rsidRDefault="008113A3">
            <w:pPr>
              <w:suppressAutoHyphens w:val="0"/>
              <w:autoSpaceDN/>
              <w:textAlignment w:val="auto"/>
              <w:rPr>
                <w:rFonts w:ascii="Avenir LT Std 55 Roman" w:eastAsia="Times New Roman" w:hAnsi="Avenir LT Std 55 Roman"/>
                <w:b/>
                <w:bCs/>
              </w:rPr>
            </w:pPr>
          </w:p>
        </w:tc>
        <w:tc>
          <w:tcPr>
            <w:tcW w:w="4473" w:type="dxa"/>
            <w:vMerge/>
            <w:tcBorders>
              <w:top w:val="single" w:sz="8" w:space="0" w:color="auto"/>
              <w:left w:val="single" w:sz="4" w:space="0" w:color="auto"/>
              <w:bottom w:val="dashed" w:sz="4" w:space="0" w:color="auto"/>
              <w:right w:val="single" w:sz="4" w:space="0" w:color="auto"/>
            </w:tcBorders>
            <w:vAlign w:val="center"/>
            <w:hideMark/>
          </w:tcPr>
          <w:p w14:paraId="5195176A" w14:textId="77777777" w:rsidR="008113A3" w:rsidRPr="0079673F" w:rsidRDefault="008113A3">
            <w:pPr>
              <w:suppressAutoHyphens w:val="0"/>
              <w:autoSpaceDN/>
              <w:textAlignment w:val="auto"/>
              <w:rPr>
                <w:rFonts w:ascii="Avenir LT Std 55 Roman" w:eastAsia="Times New Roman" w:hAnsi="Avenir LT Std 55 Roman"/>
                <w:b/>
                <w:bCs/>
              </w:rPr>
            </w:pPr>
          </w:p>
        </w:tc>
        <w:tc>
          <w:tcPr>
            <w:tcW w:w="591" w:type="dxa"/>
            <w:vMerge/>
            <w:tcBorders>
              <w:top w:val="single" w:sz="8" w:space="0" w:color="auto"/>
              <w:left w:val="single" w:sz="4" w:space="0" w:color="auto"/>
              <w:bottom w:val="dashed" w:sz="4" w:space="0" w:color="auto"/>
              <w:right w:val="single" w:sz="4" w:space="0" w:color="auto"/>
            </w:tcBorders>
            <w:vAlign w:val="center"/>
            <w:hideMark/>
          </w:tcPr>
          <w:p w14:paraId="5FB0110D" w14:textId="77777777" w:rsidR="008113A3" w:rsidRPr="0079673F" w:rsidRDefault="008113A3">
            <w:pPr>
              <w:suppressAutoHyphens w:val="0"/>
              <w:autoSpaceDN/>
              <w:textAlignment w:val="auto"/>
              <w:rPr>
                <w:rFonts w:ascii="Avenir LT Std 55 Roman" w:eastAsia="Times New Roman" w:hAnsi="Avenir LT Std 55 Roman"/>
                <w:b/>
                <w:bCs/>
              </w:rPr>
            </w:pPr>
          </w:p>
        </w:tc>
        <w:tc>
          <w:tcPr>
            <w:tcW w:w="657" w:type="dxa"/>
            <w:vMerge/>
            <w:tcBorders>
              <w:top w:val="single" w:sz="8" w:space="0" w:color="auto"/>
              <w:left w:val="single" w:sz="4" w:space="0" w:color="auto"/>
              <w:bottom w:val="dashed" w:sz="4" w:space="0" w:color="auto"/>
              <w:right w:val="single" w:sz="4" w:space="0" w:color="auto"/>
            </w:tcBorders>
            <w:vAlign w:val="center"/>
            <w:hideMark/>
          </w:tcPr>
          <w:p w14:paraId="008B0DDF" w14:textId="77777777" w:rsidR="008113A3" w:rsidRPr="0079673F" w:rsidRDefault="008113A3">
            <w:pPr>
              <w:suppressAutoHyphens w:val="0"/>
              <w:autoSpaceDN/>
              <w:textAlignment w:val="auto"/>
              <w:rPr>
                <w:rFonts w:ascii="Calibri" w:eastAsia="Times New Roman" w:hAnsi="Calibri"/>
                <w:b/>
                <w:bCs/>
              </w:rPr>
            </w:pPr>
          </w:p>
        </w:tc>
        <w:tc>
          <w:tcPr>
            <w:tcW w:w="657" w:type="dxa"/>
            <w:vMerge/>
            <w:tcBorders>
              <w:top w:val="single" w:sz="8" w:space="0" w:color="auto"/>
              <w:left w:val="single" w:sz="4" w:space="0" w:color="auto"/>
              <w:bottom w:val="dashed" w:sz="4" w:space="0" w:color="auto"/>
              <w:right w:val="single" w:sz="4" w:space="0" w:color="auto"/>
            </w:tcBorders>
            <w:vAlign w:val="center"/>
            <w:hideMark/>
          </w:tcPr>
          <w:p w14:paraId="719FD7EF" w14:textId="77777777" w:rsidR="008113A3" w:rsidRPr="0079673F" w:rsidRDefault="008113A3">
            <w:pPr>
              <w:suppressAutoHyphens w:val="0"/>
              <w:autoSpaceDN/>
              <w:textAlignment w:val="auto"/>
              <w:rPr>
                <w:rFonts w:ascii="Calibri" w:eastAsia="Times New Roman" w:hAnsi="Calibri"/>
                <w:b/>
                <w:bCs/>
              </w:rPr>
            </w:pPr>
          </w:p>
        </w:tc>
        <w:tc>
          <w:tcPr>
            <w:tcW w:w="628" w:type="dxa"/>
            <w:tcBorders>
              <w:top w:val="nil"/>
              <w:left w:val="nil"/>
              <w:bottom w:val="dashed" w:sz="4" w:space="0" w:color="auto"/>
              <w:right w:val="single" w:sz="4" w:space="0" w:color="auto"/>
            </w:tcBorders>
            <w:shd w:val="clear" w:color="000000" w:fill="D9D9D9"/>
            <w:vAlign w:val="center"/>
            <w:hideMark/>
          </w:tcPr>
          <w:p w14:paraId="1C2BE74F" w14:textId="77777777" w:rsidR="008113A3" w:rsidRPr="0079673F" w:rsidRDefault="008113A3">
            <w:pPr>
              <w:suppressAutoHyphens w:val="0"/>
              <w:autoSpaceDN/>
              <w:jc w:val="center"/>
              <w:textAlignment w:val="auto"/>
              <w:rPr>
                <w:rFonts w:ascii="Calibri" w:eastAsia="Times New Roman" w:hAnsi="Calibri"/>
                <w:b/>
                <w:bCs/>
              </w:rPr>
            </w:pPr>
            <w:r w:rsidRPr="0079673F">
              <w:rPr>
                <w:rFonts w:ascii="Calibri" w:eastAsia="Times New Roman" w:hAnsi="Calibri"/>
                <w:b/>
                <w:bCs/>
              </w:rPr>
              <w:t xml:space="preserve">Year 1 </w:t>
            </w:r>
          </w:p>
        </w:tc>
        <w:tc>
          <w:tcPr>
            <w:tcW w:w="628" w:type="dxa"/>
            <w:tcBorders>
              <w:top w:val="nil"/>
              <w:left w:val="nil"/>
              <w:bottom w:val="dashed" w:sz="4" w:space="0" w:color="auto"/>
              <w:right w:val="single" w:sz="4" w:space="0" w:color="auto"/>
            </w:tcBorders>
            <w:shd w:val="clear" w:color="000000" w:fill="D9D9D9"/>
            <w:vAlign w:val="center"/>
            <w:hideMark/>
          </w:tcPr>
          <w:p w14:paraId="5B558DE6" w14:textId="77777777" w:rsidR="008113A3" w:rsidRPr="0079673F" w:rsidRDefault="008113A3">
            <w:pPr>
              <w:suppressAutoHyphens w:val="0"/>
              <w:autoSpaceDN/>
              <w:jc w:val="center"/>
              <w:textAlignment w:val="auto"/>
              <w:rPr>
                <w:rFonts w:ascii="Calibri" w:eastAsia="Times New Roman" w:hAnsi="Calibri"/>
                <w:b/>
                <w:bCs/>
              </w:rPr>
            </w:pPr>
            <w:r w:rsidRPr="0079673F">
              <w:rPr>
                <w:rFonts w:ascii="Calibri" w:eastAsia="Times New Roman" w:hAnsi="Calibri"/>
                <w:b/>
                <w:bCs/>
              </w:rPr>
              <w:t>Year 2</w:t>
            </w:r>
          </w:p>
        </w:tc>
        <w:tc>
          <w:tcPr>
            <w:tcW w:w="628" w:type="dxa"/>
            <w:tcBorders>
              <w:top w:val="nil"/>
              <w:left w:val="nil"/>
              <w:bottom w:val="dashed" w:sz="4" w:space="0" w:color="auto"/>
              <w:right w:val="single" w:sz="8" w:space="0" w:color="auto"/>
            </w:tcBorders>
            <w:shd w:val="clear" w:color="000000" w:fill="D9D9D9"/>
            <w:vAlign w:val="center"/>
            <w:hideMark/>
          </w:tcPr>
          <w:p w14:paraId="7C31A657" w14:textId="77777777" w:rsidR="008113A3" w:rsidRPr="0079673F" w:rsidRDefault="008113A3">
            <w:pPr>
              <w:suppressAutoHyphens w:val="0"/>
              <w:autoSpaceDN/>
              <w:textAlignment w:val="auto"/>
              <w:rPr>
                <w:rFonts w:ascii="Calibri" w:eastAsia="Times New Roman" w:hAnsi="Calibri"/>
                <w:b/>
                <w:bCs/>
              </w:rPr>
            </w:pPr>
            <w:r w:rsidRPr="0079673F">
              <w:rPr>
                <w:rFonts w:ascii="Calibri" w:eastAsia="Times New Roman" w:hAnsi="Calibri"/>
                <w:b/>
                <w:bCs/>
              </w:rPr>
              <w:t>Year 3</w:t>
            </w:r>
          </w:p>
        </w:tc>
      </w:tr>
      <w:tr w:rsidR="008113A3" w:rsidRPr="0079673F" w14:paraId="67AD11C7" w14:textId="77777777" w:rsidTr="008113A3">
        <w:trPr>
          <w:trHeight w:val="1722"/>
        </w:trPr>
        <w:tc>
          <w:tcPr>
            <w:tcW w:w="2142" w:type="dxa"/>
            <w:tcBorders>
              <w:top w:val="nil"/>
              <w:left w:val="single" w:sz="8" w:space="0" w:color="auto"/>
              <w:bottom w:val="dashed" w:sz="4" w:space="0" w:color="auto"/>
              <w:right w:val="single" w:sz="4" w:space="0" w:color="auto"/>
            </w:tcBorders>
            <w:shd w:val="clear" w:color="000000" w:fill="DDEBF7"/>
            <w:noWrap/>
            <w:vAlign w:val="center"/>
            <w:hideMark/>
          </w:tcPr>
          <w:p w14:paraId="52DA1077" w14:textId="77777777" w:rsidR="008113A3" w:rsidRPr="0079673F" w:rsidRDefault="008113A3">
            <w:pPr>
              <w:suppressAutoHyphens w:val="0"/>
              <w:autoSpaceDN/>
              <w:textAlignment w:val="auto"/>
              <w:rPr>
                <w:rFonts w:eastAsia="Times New Roman"/>
                <w:color w:val="000000"/>
              </w:rPr>
            </w:pPr>
            <w:r w:rsidRPr="0079673F">
              <w:rPr>
                <w:rFonts w:eastAsia="Times New Roman"/>
                <w:color w:val="000000"/>
                <w14:ligatures w14:val="standardContextual"/>
              </w:rPr>
              <w:t>FC-10-ELAVR-221-02-36</w:t>
            </w:r>
          </w:p>
        </w:tc>
        <w:tc>
          <w:tcPr>
            <w:tcW w:w="4473" w:type="dxa"/>
            <w:tcBorders>
              <w:top w:val="nil"/>
              <w:left w:val="nil"/>
              <w:bottom w:val="dashed" w:sz="4" w:space="0" w:color="auto"/>
              <w:right w:val="single" w:sz="4" w:space="0" w:color="auto"/>
            </w:tcBorders>
            <w:shd w:val="clear" w:color="000000" w:fill="DDEBF7"/>
            <w:vAlign w:val="center"/>
            <w:hideMark/>
          </w:tcPr>
          <w:p w14:paraId="12B69314" w14:textId="77777777" w:rsidR="008113A3" w:rsidRPr="0079673F" w:rsidRDefault="008113A3">
            <w:pPr>
              <w:suppressAutoHyphens w:val="0"/>
              <w:autoSpaceDN/>
              <w:textAlignment w:val="auto"/>
              <w:rPr>
                <w:rFonts w:eastAsia="Times New Roman"/>
                <w:color w:val="000000"/>
              </w:rPr>
            </w:pPr>
            <w:r w:rsidRPr="0079673F">
              <w:rPr>
                <w:rFonts w:eastAsia="Times New Roman"/>
                <w:color w:val="000000"/>
                <w14:ligatures w14:val="standardContextual"/>
              </w:rPr>
              <w:t xml:space="preserve">FortiFlex (formerly Flex-VM) Subscription 3 Year FortiFlex (formerlyFlex-VM) Prepaid Subscription Program license with contract term length of 36 months. The Points can be purchased through FortiFlex Consumption Point SKU (LIC-ELAVM-10K or ELAVMMY-50K-36). </w:t>
            </w:r>
          </w:p>
        </w:tc>
        <w:tc>
          <w:tcPr>
            <w:tcW w:w="591" w:type="dxa"/>
            <w:tcBorders>
              <w:top w:val="nil"/>
              <w:left w:val="nil"/>
              <w:bottom w:val="dashed" w:sz="4" w:space="0" w:color="auto"/>
              <w:right w:val="single" w:sz="4" w:space="0" w:color="auto"/>
            </w:tcBorders>
            <w:shd w:val="clear" w:color="000000" w:fill="DDEBF7"/>
            <w:noWrap/>
            <w:vAlign w:val="center"/>
            <w:hideMark/>
          </w:tcPr>
          <w:p w14:paraId="013524AF" w14:textId="77777777" w:rsidR="008113A3" w:rsidRPr="0079673F" w:rsidRDefault="008113A3">
            <w:pPr>
              <w:suppressAutoHyphens w:val="0"/>
              <w:autoSpaceDN/>
              <w:jc w:val="right"/>
              <w:textAlignment w:val="auto"/>
              <w:rPr>
                <w:rFonts w:eastAsia="Times New Roman"/>
                <w:color w:val="000000"/>
              </w:rPr>
            </w:pPr>
            <w:r w:rsidRPr="0079673F">
              <w:rPr>
                <w:rFonts w:eastAsia="Times New Roman"/>
                <w:color w:val="000000"/>
                <w14:ligatures w14:val="standardContextual"/>
              </w:rPr>
              <w:t>1</w:t>
            </w:r>
          </w:p>
        </w:tc>
        <w:tc>
          <w:tcPr>
            <w:tcW w:w="657" w:type="dxa"/>
            <w:tcBorders>
              <w:top w:val="nil"/>
              <w:left w:val="nil"/>
              <w:bottom w:val="dashed" w:sz="4" w:space="0" w:color="auto"/>
              <w:right w:val="single" w:sz="4" w:space="0" w:color="auto"/>
            </w:tcBorders>
            <w:shd w:val="clear" w:color="000000" w:fill="DDEBF7"/>
            <w:noWrap/>
            <w:vAlign w:val="bottom"/>
            <w:hideMark/>
          </w:tcPr>
          <w:p w14:paraId="6ECD0CD0"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57" w:type="dxa"/>
            <w:tcBorders>
              <w:top w:val="nil"/>
              <w:left w:val="nil"/>
              <w:bottom w:val="dashed" w:sz="4" w:space="0" w:color="auto"/>
              <w:right w:val="single" w:sz="4" w:space="0" w:color="auto"/>
            </w:tcBorders>
            <w:shd w:val="clear" w:color="000000" w:fill="DDEBF7"/>
            <w:noWrap/>
            <w:vAlign w:val="bottom"/>
            <w:hideMark/>
          </w:tcPr>
          <w:p w14:paraId="4B716D17"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dashed" w:sz="4" w:space="0" w:color="auto"/>
              <w:right w:val="single" w:sz="4" w:space="0" w:color="auto"/>
            </w:tcBorders>
            <w:shd w:val="clear" w:color="000000" w:fill="DDEBF7"/>
            <w:noWrap/>
            <w:vAlign w:val="bottom"/>
            <w:hideMark/>
          </w:tcPr>
          <w:p w14:paraId="5972F587"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dashed" w:sz="4" w:space="0" w:color="auto"/>
              <w:right w:val="single" w:sz="4" w:space="0" w:color="auto"/>
            </w:tcBorders>
            <w:shd w:val="clear" w:color="000000" w:fill="DDEBF7"/>
            <w:noWrap/>
            <w:vAlign w:val="bottom"/>
            <w:hideMark/>
          </w:tcPr>
          <w:p w14:paraId="2A4224A5"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dashed" w:sz="4" w:space="0" w:color="auto"/>
              <w:right w:val="single" w:sz="8" w:space="0" w:color="auto"/>
            </w:tcBorders>
            <w:shd w:val="clear" w:color="000000" w:fill="DDEBF7"/>
            <w:noWrap/>
            <w:vAlign w:val="bottom"/>
            <w:hideMark/>
          </w:tcPr>
          <w:p w14:paraId="4684974C"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r>
      <w:tr w:rsidR="008113A3" w:rsidRPr="0079673F" w14:paraId="28330521" w14:textId="77777777" w:rsidTr="008113A3">
        <w:trPr>
          <w:trHeight w:val="861"/>
        </w:trPr>
        <w:tc>
          <w:tcPr>
            <w:tcW w:w="2142" w:type="dxa"/>
            <w:tcBorders>
              <w:top w:val="nil"/>
              <w:left w:val="single" w:sz="8" w:space="0" w:color="auto"/>
              <w:bottom w:val="dashed" w:sz="4" w:space="0" w:color="auto"/>
              <w:right w:val="single" w:sz="4" w:space="0" w:color="auto"/>
            </w:tcBorders>
            <w:shd w:val="clear" w:color="000000" w:fill="DDEBF7"/>
            <w:noWrap/>
            <w:vAlign w:val="center"/>
            <w:hideMark/>
          </w:tcPr>
          <w:p w14:paraId="758FF0F5" w14:textId="77777777" w:rsidR="008113A3" w:rsidRPr="0079673F" w:rsidRDefault="008113A3">
            <w:pPr>
              <w:suppressAutoHyphens w:val="0"/>
              <w:autoSpaceDN/>
              <w:textAlignment w:val="auto"/>
              <w:rPr>
                <w:rFonts w:eastAsia="Times New Roman"/>
                <w:color w:val="000000"/>
              </w:rPr>
            </w:pPr>
            <w:r w:rsidRPr="0079673F">
              <w:rPr>
                <w:rFonts w:eastAsia="Times New Roman"/>
                <w:color w:val="000000"/>
                <w14:ligatures w14:val="standardContextual"/>
              </w:rPr>
              <w:t>LIC-ELAVMMY-50K-36</w:t>
            </w:r>
          </w:p>
        </w:tc>
        <w:tc>
          <w:tcPr>
            <w:tcW w:w="4473" w:type="dxa"/>
            <w:tcBorders>
              <w:top w:val="nil"/>
              <w:left w:val="nil"/>
              <w:bottom w:val="dashed" w:sz="4" w:space="0" w:color="auto"/>
              <w:right w:val="single" w:sz="4" w:space="0" w:color="auto"/>
            </w:tcBorders>
            <w:shd w:val="clear" w:color="000000" w:fill="DDEBF7"/>
            <w:vAlign w:val="center"/>
            <w:hideMark/>
          </w:tcPr>
          <w:p w14:paraId="2E1BD5E6" w14:textId="77777777" w:rsidR="008113A3" w:rsidRPr="0079673F" w:rsidRDefault="008113A3">
            <w:pPr>
              <w:suppressAutoHyphens w:val="0"/>
              <w:autoSpaceDN/>
              <w:textAlignment w:val="auto"/>
              <w:rPr>
                <w:rFonts w:eastAsia="Times New Roman"/>
                <w:color w:val="000000"/>
              </w:rPr>
            </w:pPr>
            <w:r w:rsidRPr="0079673F">
              <w:rPr>
                <w:rFonts w:eastAsia="Times New Roman"/>
                <w:color w:val="000000"/>
                <w14:ligatures w14:val="standardContextual"/>
              </w:rPr>
              <w:t>A stackable three-year point pack SKU to provide 50,000 points upfront in the Flex-VM Prepaid program.</w:t>
            </w:r>
          </w:p>
        </w:tc>
        <w:tc>
          <w:tcPr>
            <w:tcW w:w="591" w:type="dxa"/>
            <w:tcBorders>
              <w:top w:val="nil"/>
              <w:left w:val="nil"/>
              <w:bottom w:val="dashed" w:sz="4" w:space="0" w:color="auto"/>
              <w:right w:val="single" w:sz="4" w:space="0" w:color="auto"/>
            </w:tcBorders>
            <w:shd w:val="clear" w:color="000000" w:fill="DDEBF7"/>
            <w:noWrap/>
            <w:vAlign w:val="center"/>
            <w:hideMark/>
          </w:tcPr>
          <w:p w14:paraId="7CE9ABCC" w14:textId="77777777" w:rsidR="008113A3" w:rsidRPr="0079673F" w:rsidRDefault="008113A3">
            <w:pPr>
              <w:suppressAutoHyphens w:val="0"/>
              <w:autoSpaceDN/>
              <w:jc w:val="right"/>
              <w:textAlignment w:val="auto"/>
              <w:rPr>
                <w:rFonts w:eastAsia="Times New Roman"/>
                <w:color w:val="000000"/>
              </w:rPr>
            </w:pPr>
            <w:r w:rsidRPr="0079673F">
              <w:rPr>
                <w:rFonts w:eastAsia="Times New Roman"/>
                <w:color w:val="000000"/>
                <w14:ligatures w14:val="standardContextual"/>
              </w:rPr>
              <w:t>2</w:t>
            </w:r>
          </w:p>
        </w:tc>
        <w:tc>
          <w:tcPr>
            <w:tcW w:w="657" w:type="dxa"/>
            <w:tcBorders>
              <w:top w:val="nil"/>
              <w:left w:val="nil"/>
              <w:bottom w:val="dashed" w:sz="4" w:space="0" w:color="auto"/>
              <w:right w:val="single" w:sz="4" w:space="0" w:color="auto"/>
            </w:tcBorders>
            <w:shd w:val="clear" w:color="000000" w:fill="DDEBF7"/>
            <w:noWrap/>
            <w:vAlign w:val="bottom"/>
            <w:hideMark/>
          </w:tcPr>
          <w:p w14:paraId="2B70A9BF"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57" w:type="dxa"/>
            <w:tcBorders>
              <w:top w:val="nil"/>
              <w:left w:val="nil"/>
              <w:bottom w:val="dashed" w:sz="4" w:space="0" w:color="auto"/>
              <w:right w:val="single" w:sz="4" w:space="0" w:color="auto"/>
            </w:tcBorders>
            <w:shd w:val="clear" w:color="000000" w:fill="DDEBF7"/>
            <w:noWrap/>
            <w:vAlign w:val="bottom"/>
            <w:hideMark/>
          </w:tcPr>
          <w:p w14:paraId="1C2CC8F3"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dashed" w:sz="4" w:space="0" w:color="auto"/>
              <w:right w:val="single" w:sz="4" w:space="0" w:color="auto"/>
            </w:tcBorders>
            <w:shd w:val="clear" w:color="000000" w:fill="DDEBF7"/>
            <w:noWrap/>
            <w:vAlign w:val="bottom"/>
            <w:hideMark/>
          </w:tcPr>
          <w:p w14:paraId="7D25CD78"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dashed" w:sz="4" w:space="0" w:color="auto"/>
              <w:right w:val="single" w:sz="4" w:space="0" w:color="auto"/>
            </w:tcBorders>
            <w:shd w:val="clear" w:color="000000" w:fill="DDEBF7"/>
            <w:noWrap/>
            <w:vAlign w:val="bottom"/>
            <w:hideMark/>
          </w:tcPr>
          <w:p w14:paraId="2E486177"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dashed" w:sz="4" w:space="0" w:color="auto"/>
              <w:right w:val="single" w:sz="8" w:space="0" w:color="auto"/>
            </w:tcBorders>
            <w:shd w:val="clear" w:color="000000" w:fill="DDEBF7"/>
            <w:noWrap/>
            <w:vAlign w:val="bottom"/>
            <w:hideMark/>
          </w:tcPr>
          <w:p w14:paraId="29CFE939"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r>
      <w:tr w:rsidR="008113A3" w:rsidRPr="0079673F" w14:paraId="1710FDFD" w14:textId="77777777" w:rsidTr="008113A3">
        <w:trPr>
          <w:trHeight w:val="294"/>
        </w:trPr>
        <w:tc>
          <w:tcPr>
            <w:tcW w:w="2142" w:type="dxa"/>
            <w:tcBorders>
              <w:top w:val="nil"/>
              <w:left w:val="single" w:sz="8" w:space="0" w:color="auto"/>
              <w:bottom w:val="single" w:sz="8" w:space="0" w:color="auto"/>
              <w:right w:val="single" w:sz="4" w:space="0" w:color="auto"/>
            </w:tcBorders>
            <w:shd w:val="clear" w:color="000000" w:fill="DDEBF7"/>
            <w:noWrap/>
            <w:vAlign w:val="center"/>
            <w:hideMark/>
          </w:tcPr>
          <w:p w14:paraId="48587929" w14:textId="77777777" w:rsidR="008113A3" w:rsidRPr="0079673F" w:rsidRDefault="008113A3">
            <w:pPr>
              <w:suppressAutoHyphens w:val="0"/>
              <w:autoSpaceDN/>
              <w:textAlignment w:val="auto"/>
              <w:rPr>
                <w:rFonts w:eastAsia="Times New Roman"/>
                <w:color w:val="000000"/>
              </w:rPr>
            </w:pPr>
            <w:r w:rsidRPr="0079673F">
              <w:rPr>
                <w:rFonts w:eastAsia="Times New Roman"/>
                <w:color w:val="000000"/>
                <w14:ligatures w14:val="standardContextual"/>
              </w:rPr>
              <w:t>LIC-ELAVM-10K</w:t>
            </w:r>
          </w:p>
        </w:tc>
        <w:tc>
          <w:tcPr>
            <w:tcW w:w="4473" w:type="dxa"/>
            <w:tcBorders>
              <w:top w:val="nil"/>
              <w:left w:val="nil"/>
              <w:bottom w:val="single" w:sz="8" w:space="0" w:color="auto"/>
              <w:right w:val="single" w:sz="4" w:space="0" w:color="auto"/>
            </w:tcBorders>
            <w:shd w:val="clear" w:color="000000" w:fill="DDEBF7"/>
            <w:noWrap/>
            <w:vAlign w:val="center"/>
            <w:hideMark/>
          </w:tcPr>
          <w:p w14:paraId="052D0040" w14:textId="77777777" w:rsidR="008113A3" w:rsidRPr="0079673F" w:rsidRDefault="008113A3">
            <w:pPr>
              <w:suppressAutoHyphens w:val="0"/>
              <w:autoSpaceDN/>
              <w:textAlignment w:val="auto"/>
              <w:rPr>
                <w:rFonts w:eastAsia="Times New Roman"/>
                <w:color w:val="000000"/>
              </w:rPr>
            </w:pPr>
            <w:r w:rsidRPr="0079673F">
              <w:rPr>
                <w:rFonts w:eastAsia="Times New Roman"/>
                <w:color w:val="000000"/>
                <w14:ligatures w14:val="standardContextual"/>
              </w:rPr>
              <w:t>Flex-VM Consumption Point</w:t>
            </w:r>
          </w:p>
        </w:tc>
        <w:tc>
          <w:tcPr>
            <w:tcW w:w="591" w:type="dxa"/>
            <w:tcBorders>
              <w:top w:val="nil"/>
              <w:left w:val="nil"/>
              <w:bottom w:val="single" w:sz="8" w:space="0" w:color="auto"/>
              <w:right w:val="single" w:sz="4" w:space="0" w:color="auto"/>
            </w:tcBorders>
            <w:shd w:val="clear" w:color="000000" w:fill="DDEBF7"/>
            <w:noWrap/>
            <w:vAlign w:val="center"/>
            <w:hideMark/>
          </w:tcPr>
          <w:p w14:paraId="2A6F4F5F" w14:textId="77777777" w:rsidR="008113A3" w:rsidRPr="0079673F" w:rsidRDefault="008113A3">
            <w:pPr>
              <w:suppressAutoHyphens w:val="0"/>
              <w:autoSpaceDN/>
              <w:jc w:val="right"/>
              <w:textAlignment w:val="auto"/>
              <w:rPr>
                <w:rFonts w:eastAsia="Times New Roman"/>
                <w:color w:val="000000"/>
              </w:rPr>
            </w:pPr>
            <w:r w:rsidRPr="0079673F">
              <w:rPr>
                <w:rFonts w:eastAsia="Times New Roman"/>
                <w:color w:val="000000"/>
                <w14:ligatures w14:val="standardContextual"/>
              </w:rPr>
              <w:t>2</w:t>
            </w:r>
          </w:p>
        </w:tc>
        <w:tc>
          <w:tcPr>
            <w:tcW w:w="657" w:type="dxa"/>
            <w:tcBorders>
              <w:top w:val="nil"/>
              <w:left w:val="nil"/>
              <w:bottom w:val="single" w:sz="8" w:space="0" w:color="auto"/>
              <w:right w:val="single" w:sz="4" w:space="0" w:color="auto"/>
            </w:tcBorders>
            <w:shd w:val="clear" w:color="000000" w:fill="DDEBF7"/>
            <w:noWrap/>
            <w:vAlign w:val="bottom"/>
            <w:hideMark/>
          </w:tcPr>
          <w:p w14:paraId="0B44CB3A"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57" w:type="dxa"/>
            <w:tcBorders>
              <w:top w:val="nil"/>
              <w:left w:val="nil"/>
              <w:bottom w:val="single" w:sz="8" w:space="0" w:color="auto"/>
              <w:right w:val="single" w:sz="4" w:space="0" w:color="auto"/>
            </w:tcBorders>
            <w:shd w:val="clear" w:color="000000" w:fill="DDEBF7"/>
            <w:noWrap/>
            <w:vAlign w:val="bottom"/>
            <w:hideMark/>
          </w:tcPr>
          <w:p w14:paraId="69353022"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single" w:sz="8" w:space="0" w:color="auto"/>
              <w:right w:val="single" w:sz="4" w:space="0" w:color="auto"/>
            </w:tcBorders>
            <w:shd w:val="clear" w:color="000000" w:fill="DDEBF7"/>
            <w:noWrap/>
            <w:vAlign w:val="bottom"/>
            <w:hideMark/>
          </w:tcPr>
          <w:p w14:paraId="38846DCE"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single" w:sz="8" w:space="0" w:color="auto"/>
              <w:right w:val="single" w:sz="4" w:space="0" w:color="auto"/>
            </w:tcBorders>
            <w:shd w:val="clear" w:color="000000" w:fill="DDEBF7"/>
            <w:noWrap/>
            <w:vAlign w:val="bottom"/>
            <w:hideMark/>
          </w:tcPr>
          <w:p w14:paraId="4B754F6D"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c>
          <w:tcPr>
            <w:tcW w:w="628" w:type="dxa"/>
            <w:tcBorders>
              <w:top w:val="nil"/>
              <w:left w:val="nil"/>
              <w:bottom w:val="single" w:sz="8" w:space="0" w:color="auto"/>
              <w:right w:val="single" w:sz="8" w:space="0" w:color="auto"/>
            </w:tcBorders>
            <w:shd w:val="clear" w:color="000000" w:fill="DDEBF7"/>
            <w:noWrap/>
            <w:vAlign w:val="bottom"/>
            <w:hideMark/>
          </w:tcPr>
          <w:p w14:paraId="6E74EF66" w14:textId="77777777" w:rsidR="008113A3" w:rsidRPr="0079673F" w:rsidRDefault="008113A3">
            <w:pPr>
              <w:suppressAutoHyphens w:val="0"/>
              <w:autoSpaceDN/>
              <w:textAlignment w:val="auto"/>
              <w:rPr>
                <w:rFonts w:ascii="Calibri" w:eastAsia="Times New Roman" w:hAnsi="Calibri"/>
                <w:color w:val="000000"/>
              </w:rPr>
            </w:pPr>
            <w:r w:rsidRPr="0079673F">
              <w:rPr>
                <w:rFonts w:ascii="Calibri" w:eastAsia="Times New Roman" w:hAnsi="Calibri"/>
                <w:color w:val="000000"/>
              </w:rPr>
              <w:t> </w:t>
            </w:r>
          </w:p>
        </w:tc>
      </w:tr>
      <w:tr w:rsidR="008113A3" w:rsidRPr="0079673F" w14:paraId="08B6C2EA" w14:textId="77777777" w:rsidTr="008113A3">
        <w:trPr>
          <w:trHeight w:val="244"/>
        </w:trPr>
        <w:tc>
          <w:tcPr>
            <w:tcW w:w="2142" w:type="dxa"/>
            <w:tcBorders>
              <w:top w:val="nil"/>
              <w:left w:val="nil"/>
              <w:bottom w:val="nil"/>
              <w:right w:val="nil"/>
            </w:tcBorders>
            <w:shd w:val="clear" w:color="auto" w:fill="auto"/>
            <w:noWrap/>
            <w:vAlign w:val="bottom"/>
            <w:hideMark/>
          </w:tcPr>
          <w:p w14:paraId="01EC95FA" w14:textId="77777777" w:rsidR="008113A3" w:rsidRPr="0079673F" w:rsidRDefault="008113A3">
            <w:pPr>
              <w:suppressAutoHyphens w:val="0"/>
              <w:autoSpaceDN/>
              <w:textAlignment w:val="auto"/>
              <w:rPr>
                <w:rFonts w:ascii="Calibri" w:eastAsia="Times New Roman" w:hAnsi="Calibri"/>
                <w:color w:val="000000"/>
              </w:rPr>
            </w:pPr>
          </w:p>
        </w:tc>
        <w:tc>
          <w:tcPr>
            <w:tcW w:w="4473" w:type="dxa"/>
            <w:tcBorders>
              <w:top w:val="nil"/>
              <w:left w:val="nil"/>
              <w:bottom w:val="nil"/>
              <w:right w:val="nil"/>
            </w:tcBorders>
            <w:shd w:val="clear" w:color="auto" w:fill="auto"/>
            <w:noWrap/>
            <w:vAlign w:val="bottom"/>
            <w:hideMark/>
          </w:tcPr>
          <w:p w14:paraId="6C423ABC"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591" w:type="dxa"/>
            <w:tcBorders>
              <w:top w:val="nil"/>
              <w:left w:val="nil"/>
              <w:bottom w:val="nil"/>
              <w:right w:val="nil"/>
            </w:tcBorders>
            <w:shd w:val="clear" w:color="auto" w:fill="auto"/>
            <w:noWrap/>
            <w:vAlign w:val="bottom"/>
            <w:hideMark/>
          </w:tcPr>
          <w:p w14:paraId="43D430DD"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3E6374B6"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08814F93"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63D66BA1"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33EBE64A"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7BEE86D0"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r>
      <w:tr w:rsidR="008113A3" w:rsidRPr="0079673F" w14:paraId="4AFA37F9" w14:textId="77777777" w:rsidTr="008113A3">
        <w:trPr>
          <w:trHeight w:val="252"/>
        </w:trPr>
        <w:tc>
          <w:tcPr>
            <w:tcW w:w="2142" w:type="dxa"/>
            <w:tcBorders>
              <w:top w:val="nil"/>
              <w:left w:val="nil"/>
              <w:bottom w:val="nil"/>
              <w:right w:val="nil"/>
            </w:tcBorders>
            <w:shd w:val="clear" w:color="auto" w:fill="auto"/>
            <w:noWrap/>
            <w:vAlign w:val="bottom"/>
            <w:hideMark/>
          </w:tcPr>
          <w:p w14:paraId="66604D78"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4473" w:type="dxa"/>
            <w:tcBorders>
              <w:top w:val="nil"/>
              <w:left w:val="nil"/>
              <w:bottom w:val="nil"/>
              <w:right w:val="nil"/>
            </w:tcBorders>
            <w:shd w:val="clear" w:color="auto" w:fill="auto"/>
            <w:noWrap/>
            <w:vAlign w:val="bottom"/>
            <w:hideMark/>
          </w:tcPr>
          <w:p w14:paraId="1788D2DB"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591" w:type="dxa"/>
            <w:tcBorders>
              <w:top w:val="nil"/>
              <w:left w:val="nil"/>
              <w:bottom w:val="nil"/>
              <w:right w:val="nil"/>
            </w:tcBorders>
            <w:shd w:val="clear" w:color="auto" w:fill="auto"/>
            <w:noWrap/>
            <w:vAlign w:val="bottom"/>
            <w:hideMark/>
          </w:tcPr>
          <w:p w14:paraId="770DE25D"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6AB1FC93" w14:textId="77777777" w:rsidR="008113A3" w:rsidRPr="0079673F" w:rsidRDefault="008113A3">
            <w:pPr>
              <w:suppressAutoHyphens w:val="0"/>
              <w:autoSpaceDN/>
              <w:textAlignment w:val="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493377BB" w14:textId="77777777" w:rsidR="008113A3" w:rsidRPr="0079673F" w:rsidRDefault="008113A3">
            <w:pPr>
              <w:suppressAutoHyphens w:val="0"/>
              <w:autoSpaceDN/>
              <w:textAlignment w:val="auto"/>
              <w:rPr>
                <w:rFonts w:ascii="Calibri" w:eastAsia="Times New Roman" w:hAnsi="Calibri"/>
                <w:b/>
                <w:bCs/>
                <w:color w:val="000000"/>
              </w:rPr>
            </w:pPr>
            <w:r w:rsidRPr="0079673F">
              <w:rPr>
                <w:rFonts w:ascii="Calibri" w:eastAsia="Times New Roman" w:hAnsi="Calibri"/>
                <w:b/>
                <w:bCs/>
                <w:color w:val="000000"/>
              </w:rPr>
              <w:t>Total</w:t>
            </w:r>
          </w:p>
        </w:tc>
        <w:tc>
          <w:tcPr>
            <w:tcW w:w="628" w:type="dxa"/>
            <w:tcBorders>
              <w:top w:val="single" w:sz="4" w:space="0" w:color="auto"/>
              <w:left w:val="nil"/>
              <w:bottom w:val="double" w:sz="6" w:space="0" w:color="auto"/>
              <w:right w:val="nil"/>
            </w:tcBorders>
            <w:shd w:val="clear" w:color="auto" w:fill="auto"/>
            <w:noWrap/>
            <w:vAlign w:val="bottom"/>
            <w:hideMark/>
          </w:tcPr>
          <w:p w14:paraId="56852317" w14:textId="77777777" w:rsidR="008113A3" w:rsidRPr="0079673F" w:rsidRDefault="008113A3">
            <w:pPr>
              <w:suppressAutoHyphens w:val="0"/>
              <w:autoSpaceDN/>
              <w:textAlignment w:val="auto"/>
              <w:rPr>
                <w:rFonts w:ascii="Calibri" w:eastAsia="Times New Roman" w:hAnsi="Calibri"/>
                <w:b/>
                <w:bCs/>
                <w:color w:val="000000"/>
              </w:rPr>
            </w:pPr>
            <w:r w:rsidRPr="0079673F">
              <w:rPr>
                <w:rFonts w:ascii="Calibri" w:eastAsia="Times New Roman" w:hAnsi="Calibri"/>
                <w:b/>
                <w:bCs/>
                <w:color w:val="000000"/>
              </w:rPr>
              <w:t> </w:t>
            </w:r>
          </w:p>
        </w:tc>
        <w:tc>
          <w:tcPr>
            <w:tcW w:w="628" w:type="dxa"/>
            <w:tcBorders>
              <w:top w:val="single" w:sz="4" w:space="0" w:color="auto"/>
              <w:left w:val="nil"/>
              <w:bottom w:val="double" w:sz="6" w:space="0" w:color="auto"/>
              <w:right w:val="nil"/>
            </w:tcBorders>
            <w:shd w:val="clear" w:color="auto" w:fill="auto"/>
            <w:noWrap/>
            <w:vAlign w:val="bottom"/>
            <w:hideMark/>
          </w:tcPr>
          <w:p w14:paraId="4CA0013F" w14:textId="77777777" w:rsidR="008113A3" w:rsidRPr="0079673F" w:rsidRDefault="008113A3">
            <w:pPr>
              <w:suppressAutoHyphens w:val="0"/>
              <w:autoSpaceDN/>
              <w:textAlignment w:val="auto"/>
              <w:rPr>
                <w:rFonts w:ascii="Calibri" w:eastAsia="Times New Roman" w:hAnsi="Calibri"/>
                <w:b/>
                <w:bCs/>
                <w:color w:val="000000"/>
              </w:rPr>
            </w:pPr>
            <w:r w:rsidRPr="0079673F">
              <w:rPr>
                <w:rFonts w:ascii="Calibri" w:eastAsia="Times New Roman" w:hAnsi="Calibri"/>
                <w:b/>
                <w:bCs/>
                <w:color w:val="000000"/>
              </w:rPr>
              <w:t> </w:t>
            </w:r>
          </w:p>
        </w:tc>
        <w:tc>
          <w:tcPr>
            <w:tcW w:w="628" w:type="dxa"/>
            <w:tcBorders>
              <w:top w:val="single" w:sz="4" w:space="0" w:color="auto"/>
              <w:left w:val="nil"/>
              <w:bottom w:val="double" w:sz="6" w:space="0" w:color="auto"/>
              <w:right w:val="nil"/>
            </w:tcBorders>
            <w:shd w:val="clear" w:color="auto" w:fill="auto"/>
            <w:noWrap/>
            <w:vAlign w:val="bottom"/>
            <w:hideMark/>
          </w:tcPr>
          <w:p w14:paraId="315CAA33" w14:textId="77777777" w:rsidR="008113A3" w:rsidRPr="0079673F" w:rsidRDefault="008113A3">
            <w:pPr>
              <w:suppressAutoHyphens w:val="0"/>
              <w:autoSpaceDN/>
              <w:textAlignment w:val="auto"/>
              <w:rPr>
                <w:rFonts w:ascii="Calibri" w:eastAsia="Times New Roman" w:hAnsi="Calibri"/>
                <w:b/>
                <w:bCs/>
                <w:color w:val="000000"/>
              </w:rPr>
            </w:pPr>
            <w:r w:rsidRPr="0079673F">
              <w:rPr>
                <w:rFonts w:ascii="Calibri" w:eastAsia="Times New Roman" w:hAnsi="Calibri"/>
                <w:b/>
                <w:bCs/>
                <w:color w:val="000000"/>
              </w:rPr>
              <w:t> </w:t>
            </w:r>
          </w:p>
        </w:tc>
      </w:tr>
    </w:tbl>
    <w:p w14:paraId="7C42364D" w14:textId="77777777" w:rsidR="008113A3" w:rsidRDefault="008113A3">
      <w:pPr>
        <w:pStyle w:val="Standard"/>
        <w:rPr>
          <w:sz w:val="24"/>
          <w:szCs w:val="24"/>
        </w:rPr>
      </w:pPr>
    </w:p>
    <w:p w14:paraId="132A28ED" w14:textId="77777777" w:rsidR="008113A3" w:rsidRDefault="008113A3">
      <w:pPr>
        <w:pStyle w:val="Standard"/>
        <w:rPr>
          <w:sz w:val="24"/>
          <w:szCs w:val="24"/>
        </w:rPr>
      </w:pPr>
    </w:p>
    <w:tbl>
      <w:tblPr>
        <w:tblStyle w:val="TableGrid"/>
        <w:tblW w:w="0" w:type="auto"/>
        <w:tblLook w:val="04A0" w:firstRow="1" w:lastRow="0" w:firstColumn="1" w:lastColumn="0" w:noHBand="0" w:noVBand="1"/>
      </w:tblPr>
      <w:tblGrid>
        <w:gridCol w:w="4508"/>
        <w:gridCol w:w="4508"/>
      </w:tblGrid>
      <w:tr w:rsidR="008113A3" w14:paraId="6DBBB865" w14:textId="77777777">
        <w:tc>
          <w:tcPr>
            <w:tcW w:w="4508" w:type="dxa"/>
          </w:tcPr>
          <w:p w14:paraId="5370D6CD" w14:textId="77777777" w:rsidR="008113A3" w:rsidRDefault="008113A3">
            <w:pPr>
              <w:pStyle w:val="Standard"/>
              <w:rPr>
                <w:sz w:val="24"/>
                <w:szCs w:val="24"/>
              </w:rPr>
            </w:pPr>
            <w:r>
              <w:rPr>
                <w:sz w:val="24"/>
                <w:szCs w:val="24"/>
              </w:rPr>
              <w:t>Supplier Margin</w:t>
            </w:r>
          </w:p>
        </w:tc>
        <w:tc>
          <w:tcPr>
            <w:tcW w:w="4508" w:type="dxa"/>
          </w:tcPr>
          <w:p w14:paraId="2AED53FC" w14:textId="77777777" w:rsidR="008113A3" w:rsidRDefault="008113A3">
            <w:pPr>
              <w:pStyle w:val="Standard"/>
              <w:rPr>
                <w:sz w:val="24"/>
                <w:szCs w:val="24"/>
              </w:rPr>
            </w:pPr>
            <w:r>
              <w:rPr>
                <w:sz w:val="24"/>
                <w:szCs w:val="24"/>
              </w:rPr>
              <w:t>X%</w:t>
            </w:r>
          </w:p>
        </w:tc>
      </w:tr>
    </w:tbl>
    <w:p w14:paraId="559DF054" w14:textId="77777777" w:rsidR="008113A3" w:rsidRDefault="008113A3">
      <w:pPr>
        <w:pStyle w:val="Standard"/>
        <w:rPr>
          <w:sz w:val="24"/>
          <w:szCs w:val="24"/>
        </w:rPr>
      </w:pPr>
    </w:p>
    <w:p w14:paraId="2719A740" w14:textId="77777777" w:rsidR="008113A3" w:rsidRDefault="008113A3">
      <w:pPr>
        <w:pStyle w:val="Standard"/>
        <w:rPr>
          <w:sz w:val="24"/>
          <w:szCs w:val="24"/>
        </w:rPr>
      </w:pPr>
    </w:p>
    <w:p w14:paraId="3D624808" w14:textId="61301A99" w:rsidR="008113A3" w:rsidRDefault="008113A3">
      <w:pPr>
        <w:pStyle w:val="Standard"/>
        <w:rPr>
          <w:sz w:val="24"/>
          <w:szCs w:val="24"/>
        </w:rPr>
      </w:pPr>
    </w:p>
    <w:p w14:paraId="7E723BF0" w14:textId="77777777" w:rsidR="008113A3" w:rsidRPr="007E3A59" w:rsidRDefault="008113A3">
      <w:pPr>
        <w:pStyle w:val="Standard"/>
        <w:rPr>
          <w:sz w:val="24"/>
          <w:szCs w:val="24"/>
        </w:rPr>
      </w:pPr>
      <w:r w:rsidRPr="007E3A59">
        <w:rPr>
          <w:sz w:val="24"/>
          <w:szCs w:val="24"/>
        </w:rPr>
        <w:t xml:space="preserve">Contract Term: </w:t>
      </w:r>
      <w:r>
        <w:rPr>
          <w:sz w:val="24"/>
          <w:szCs w:val="24"/>
        </w:rPr>
        <w:t>36</w:t>
      </w:r>
      <w:r w:rsidRPr="007E3A59">
        <w:rPr>
          <w:sz w:val="24"/>
          <w:szCs w:val="24"/>
        </w:rPr>
        <w:t xml:space="preserve"> months</w:t>
      </w:r>
    </w:p>
    <w:p w14:paraId="7F72541B" w14:textId="77777777" w:rsidR="008113A3" w:rsidRPr="007E3A59" w:rsidRDefault="008113A3">
      <w:pPr>
        <w:pStyle w:val="Standard"/>
        <w:rPr>
          <w:sz w:val="24"/>
          <w:szCs w:val="24"/>
        </w:rPr>
      </w:pPr>
    </w:p>
    <w:p w14:paraId="60117BA1" w14:textId="77777777" w:rsidR="008113A3" w:rsidRPr="007E3A59" w:rsidRDefault="008113A3">
      <w:pPr>
        <w:pStyle w:val="Standard"/>
        <w:rPr>
          <w:sz w:val="24"/>
          <w:szCs w:val="24"/>
        </w:rPr>
      </w:pPr>
      <w:r w:rsidRPr="007E3A59">
        <w:rPr>
          <w:sz w:val="24"/>
          <w:szCs w:val="24"/>
        </w:rPr>
        <w:t>Contract Value: £</w:t>
      </w:r>
      <w:r>
        <w:rPr>
          <w:sz w:val="24"/>
          <w:szCs w:val="24"/>
        </w:rPr>
        <w:t>90,000</w:t>
      </w:r>
      <w:r w:rsidRPr="007E3A59">
        <w:rPr>
          <w:sz w:val="24"/>
          <w:szCs w:val="24"/>
        </w:rPr>
        <w:t xml:space="preserve"> – £</w:t>
      </w:r>
      <w:r>
        <w:rPr>
          <w:sz w:val="24"/>
          <w:szCs w:val="24"/>
        </w:rPr>
        <w:t>130,000 exVAT</w:t>
      </w:r>
    </w:p>
    <w:p w14:paraId="19C0B804" w14:textId="77777777" w:rsidR="008113A3" w:rsidRDefault="008113A3" w:rsidP="008113A3">
      <w:pPr>
        <w:pStyle w:val="Heading2"/>
        <w:widowControl/>
        <w:numPr>
          <w:ilvl w:val="0"/>
          <w:numId w:val="4"/>
        </w:numPr>
        <w:spacing w:before="360" w:line="240" w:lineRule="auto"/>
      </w:pPr>
      <w:bookmarkStart w:id="5" w:name="_Toc109720906"/>
      <w:r>
        <w:t>Delivery Information</w:t>
      </w:r>
      <w:bookmarkEnd w:id="5"/>
    </w:p>
    <w:p w14:paraId="116033D8" w14:textId="77777777" w:rsidR="008113A3" w:rsidRPr="007E3A59" w:rsidRDefault="008113A3">
      <w:pPr>
        <w:pStyle w:val="Standard"/>
        <w:rPr>
          <w:sz w:val="24"/>
          <w:szCs w:val="24"/>
        </w:rPr>
      </w:pPr>
    </w:p>
    <w:p w14:paraId="32B19666" w14:textId="77777777" w:rsidR="008113A3" w:rsidRPr="007E3A59" w:rsidRDefault="008113A3" w:rsidP="008113A3">
      <w:pPr>
        <w:pStyle w:val="ListParagraph"/>
        <w:numPr>
          <w:ilvl w:val="1"/>
          <w:numId w:val="4"/>
        </w:numPr>
        <w:spacing w:after="0"/>
        <w:rPr>
          <w:sz w:val="24"/>
        </w:rPr>
      </w:pPr>
      <w:r w:rsidRPr="007E3A59">
        <w:rPr>
          <w:sz w:val="24"/>
        </w:rPr>
        <w:t>Licences required delivery date: 27</w:t>
      </w:r>
      <w:r w:rsidRPr="007E3A59">
        <w:rPr>
          <w:sz w:val="24"/>
          <w:vertAlign w:val="superscript"/>
        </w:rPr>
        <w:t>th</w:t>
      </w:r>
      <w:r w:rsidRPr="007E3A59">
        <w:rPr>
          <w:sz w:val="24"/>
        </w:rPr>
        <w:t xml:space="preserve"> November 2023 – 1</w:t>
      </w:r>
      <w:r w:rsidRPr="007E3A59">
        <w:rPr>
          <w:sz w:val="24"/>
          <w:vertAlign w:val="superscript"/>
        </w:rPr>
        <w:t>st</w:t>
      </w:r>
      <w:r w:rsidRPr="007E3A59">
        <w:rPr>
          <w:sz w:val="24"/>
        </w:rPr>
        <w:t xml:space="preserve"> December 2023</w:t>
      </w:r>
    </w:p>
    <w:p w14:paraId="61E391FB" w14:textId="77777777" w:rsidR="008113A3" w:rsidRPr="007E3A59" w:rsidRDefault="008113A3">
      <w:pPr>
        <w:pStyle w:val="ListParagraph"/>
        <w:ind w:left="1021"/>
        <w:rPr>
          <w:sz w:val="24"/>
        </w:rPr>
      </w:pPr>
    </w:p>
    <w:p w14:paraId="72643C99" w14:textId="77777777" w:rsidR="008113A3" w:rsidRPr="007E3A59" w:rsidRDefault="008113A3" w:rsidP="008113A3">
      <w:pPr>
        <w:pStyle w:val="ListParagraph"/>
        <w:numPr>
          <w:ilvl w:val="1"/>
          <w:numId w:val="4"/>
        </w:numPr>
        <w:spacing w:after="0"/>
        <w:rPr>
          <w:sz w:val="24"/>
        </w:rPr>
      </w:pPr>
      <w:r w:rsidRPr="007E3A59">
        <w:rPr>
          <w:sz w:val="24"/>
        </w:rPr>
        <w:t xml:space="preserve">Delivery location: Virtual </w:t>
      </w:r>
    </w:p>
    <w:p w14:paraId="0A75A170" w14:textId="77777777" w:rsidR="008113A3" w:rsidRDefault="008113A3">
      <w:pPr>
        <w:pStyle w:val="ListParagraph"/>
      </w:pPr>
    </w:p>
    <w:p w14:paraId="5DBEEFDF" w14:textId="77777777" w:rsidR="008113A3" w:rsidRDefault="008113A3">
      <w:pPr>
        <w:pStyle w:val="ListParagraph"/>
        <w:ind w:left="1021"/>
      </w:pPr>
    </w:p>
    <w:p w14:paraId="010521F8" w14:textId="77777777" w:rsidR="008113A3" w:rsidRDefault="008113A3">
      <w:pPr>
        <w:pStyle w:val="ListParagraph"/>
        <w:ind w:left="1021"/>
      </w:pPr>
    </w:p>
    <w:p w14:paraId="3CF4E669" w14:textId="77777777" w:rsidR="008113A3" w:rsidRDefault="008113A3">
      <w:pPr>
        <w:pStyle w:val="ListParagraph"/>
        <w:ind w:left="1021"/>
      </w:pPr>
    </w:p>
    <w:p w14:paraId="1A381048" w14:textId="77777777" w:rsidR="008113A3" w:rsidRDefault="008113A3" w:rsidP="008113A3">
      <w:pPr>
        <w:pStyle w:val="Heading2"/>
        <w:widowControl/>
        <w:numPr>
          <w:ilvl w:val="0"/>
          <w:numId w:val="4"/>
        </w:numPr>
        <w:spacing w:before="360" w:line="240" w:lineRule="auto"/>
      </w:pPr>
      <w:bookmarkStart w:id="6" w:name="_Toc109720907"/>
      <w:r>
        <w:t>Further competition timetable</w:t>
      </w:r>
      <w:bookmarkEnd w:id="6"/>
    </w:p>
    <w:p w14:paraId="73D559B1" w14:textId="77777777" w:rsidR="008113A3" w:rsidRDefault="008113A3">
      <w:pPr>
        <w:pStyle w:val="Standard"/>
      </w:pPr>
    </w:p>
    <w:p w14:paraId="5ADEDCB3" w14:textId="77777777" w:rsidR="008113A3" w:rsidRPr="007E3A59" w:rsidRDefault="008113A3" w:rsidP="008113A3">
      <w:pPr>
        <w:pStyle w:val="ListParagraph"/>
        <w:numPr>
          <w:ilvl w:val="1"/>
          <w:numId w:val="4"/>
        </w:numPr>
        <w:spacing w:after="0"/>
        <w:rPr>
          <w:sz w:val="24"/>
        </w:rPr>
      </w:pPr>
      <w:r w:rsidRPr="007E3A59">
        <w:rPr>
          <w:sz w:val="24"/>
        </w:rPr>
        <w:t>The Authority may change this timetable at any time. Potential Providers will be informed if changes to this timetable are necessary.</w:t>
      </w:r>
    </w:p>
    <w:p w14:paraId="32C5B38B" w14:textId="77777777" w:rsidR="008113A3" w:rsidRPr="007E3A59" w:rsidRDefault="008113A3">
      <w:pPr>
        <w:pStyle w:val="Standard"/>
        <w:ind w:left="360"/>
        <w:rPr>
          <w:sz w:val="24"/>
          <w:szCs w:val="24"/>
        </w:rPr>
      </w:pPr>
    </w:p>
    <w:p w14:paraId="6585A047" w14:textId="77777777" w:rsidR="008113A3" w:rsidRPr="007E3A59" w:rsidRDefault="008113A3">
      <w:pPr>
        <w:pStyle w:val="Standard"/>
        <w:ind w:left="360"/>
        <w:rPr>
          <w:sz w:val="24"/>
          <w:szCs w:val="24"/>
        </w:rPr>
      </w:pPr>
    </w:p>
    <w:tbl>
      <w:tblPr>
        <w:tblW w:w="8656" w:type="dxa"/>
        <w:tblInd w:w="360" w:type="dxa"/>
        <w:tblCellMar>
          <w:left w:w="10" w:type="dxa"/>
          <w:right w:w="10" w:type="dxa"/>
        </w:tblCellMar>
        <w:tblLook w:val="04A0" w:firstRow="1" w:lastRow="0" w:firstColumn="1" w:lastColumn="0" w:noHBand="0" w:noVBand="1"/>
      </w:tblPr>
      <w:tblGrid>
        <w:gridCol w:w="1950"/>
        <w:gridCol w:w="6706"/>
      </w:tblGrid>
      <w:tr w:rsidR="008113A3" w:rsidRPr="007E3A59" w14:paraId="2692ED4E"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2BA41" w14:textId="77777777" w:rsidR="008113A3" w:rsidRPr="007E3A59" w:rsidRDefault="008113A3">
            <w:pPr>
              <w:pStyle w:val="Standard"/>
              <w:rPr>
                <w:sz w:val="24"/>
                <w:szCs w:val="24"/>
              </w:rPr>
            </w:pPr>
            <w:r w:rsidRPr="007E3A59">
              <w:rPr>
                <w:sz w:val="24"/>
                <w:szCs w:val="24"/>
              </w:rPr>
              <w:t>DATE</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90301F" w14:textId="77777777" w:rsidR="008113A3" w:rsidRPr="007E3A59" w:rsidRDefault="008113A3">
            <w:pPr>
              <w:pStyle w:val="Standard"/>
              <w:rPr>
                <w:sz w:val="24"/>
                <w:szCs w:val="24"/>
              </w:rPr>
            </w:pPr>
            <w:r w:rsidRPr="007E3A59">
              <w:rPr>
                <w:sz w:val="24"/>
                <w:szCs w:val="24"/>
              </w:rPr>
              <w:t>ACTIVITY</w:t>
            </w:r>
          </w:p>
        </w:tc>
      </w:tr>
      <w:tr w:rsidR="008113A3" w:rsidRPr="007E3A59" w14:paraId="5D1EB251"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68D38" w14:textId="77777777" w:rsidR="008113A3" w:rsidRPr="007E3A59" w:rsidRDefault="008113A3">
            <w:pPr>
              <w:pStyle w:val="Standard"/>
              <w:rPr>
                <w:sz w:val="24"/>
                <w:szCs w:val="24"/>
              </w:rPr>
            </w:pPr>
            <w:r w:rsidRPr="007E3A59">
              <w:rPr>
                <w:sz w:val="24"/>
                <w:szCs w:val="24"/>
              </w:rPr>
              <w:t>01/11/2023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48CEA" w14:textId="77777777" w:rsidR="008113A3" w:rsidRPr="007E3A59" w:rsidRDefault="008113A3">
            <w:pPr>
              <w:pStyle w:val="Standard"/>
              <w:rPr>
                <w:sz w:val="24"/>
                <w:szCs w:val="24"/>
              </w:rPr>
            </w:pPr>
            <w:r w:rsidRPr="007E3A59">
              <w:rPr>
                <w:sz w:val="24"/>
                <w:szCs w:val="24"/>
              </w:rPr>
              <w:t>Publication of the Invitation to tender</w:t>
            </w:r>
          </w:p>
        </w:tc>
      </w:tr>
      <w:tr w:rsidR="008113A3" w:rsidRPr="007E3A59" w14:paraId="3C4DCE5B"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BA7F0" w14:textId="77777777" w:rsidR="008113A3" w:rsidRPr="007E3A59" w:rsidRDefault="008113A3">
            <w:pPr>
              <w:pStyle w:val="Standard"/>
              <w:rPr>
                <w:sz w:val="24"/>
                <w:szCs w:val="24"/>
              </w:rPr>
            </w:pPr>
            <w:r w:rsidRPr="007E3A59">
              <w:rPr>
                <w:sz w:val="24"/>
                <w:szCs w:val="24"/>
              </w:rPr>
              <w:t>01/11/2023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568C36" w14:textId="77777777" w:rsidR="008113A3" w:rsidRPr="007E3A59" w:rsidRDefault="008113A3">
            <w:pPr>
              <w:pStyle w:val="Standard"/>
              <w:rPr>
                <w:sz w:val="24"/>
                <w:szCs w:val="24"/>
              </w:rPr>
            </w:pPr>
            <w:r w:rsidRPr="007E3A59">
              <w:rPr>
                <w:sz w:val="24"/>
                <w:szCs w:val="24"/>
              </w:rPr>
              <w:t>Clarification period starts</w:t>
            </w:r>
          </w:p>
        </w:tc>
      </w:tr>
      <w:tr w:rsidR="008113A3" w:rsidRPr="007E3A59" w14:paraId="47386952"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F251A1" w14:textId="77777777" w:rsidR="008113A3" w:rsidRPr="007E3A59" w:rsidRDefault="008113A3">
            <w:pPr>
              <w:pStyle w:val="Standard"/>
              <w:rPr>
                <w:sz w:val="24"/>
                <w:szCs w:val="24"/>
              </w:rPr>
            </w:pPr>
            <w:r w:rsidRPr="007E3A59">
              <w:rPr>
                <w:sz w:val="24"/>
                <w:szCs w:val="24"/>
              </w:rPr>
              <w:t>0</w:t>
            </w:r>
            <w:r>
              <w:rPr>
                <w:sz w:val="24"/>
                <w:szCs w:val="24"/>
              </w:rPr>
              <w:t>6</w:t>
            </w:r>
            <w:r w:rsidRPr="007E3A59">
              <w:rPr>
                <w:sz w:val="24"/>
                <w:szCs w:val="24"/>
              </w:rPr>
              <w:t>/11/2023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32356C" w14:textId="77777777" w:rsidR="008113A3" w:rsidRPr="007E3A59" w:rsidRDefault="008113A3">
            <w:pPr>
              <w:pStyle w:val="Standard"/>
              <w:rPr>
                <w:sz w:val="24"/>
                <w:szCs w:val="24"/>
              </w:rPr>
            </w:pPr>
            <w:r w:rsidRPr="007E3A59">
              <w:rPr>
                <w:sz w:val="24"/>
                <w:szCs w:val="24"/>
              </w:rPr>
              <w:t>Clarification closes</w:t>
            </w:r>
          </w:p>
        </w:tc>
      </w:tr>
      <w:tr w:rsidR="008113A3" w:rsidRPr="007E3A59" w14:paraId="051D2A87"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2D36A5" w14:textId="77777777" w:rsidR="008113A3" w:rsidRPr="007E3A59" w:rsidRDefault="008113A3">
            <w:pPr>
              <w:pStyle w:val="Standard"/>
              <w:rPr>
                <w:sz w:val="24"/>
                <w:szCs w:val="24"/>
              </w:rPr>
            </w:pPr>
            <w:r w:rsidRPr="007E3A59">
              <w:rPr>
                <w:sz w:val="24"/>
                <w:szCs w:val="24"/>
              </w:rPr>
              <w:t>0</w:t>
            </w:r>
            <w:r>
              <w:rPr>
                <w:sz w:val="24"/>
                <w:szCs w:val="24"/>
              </w:rPr>
              <w:t>7</w:t>
            </w:r>
            <w:r w:rsidRPr="007E3A59">
              <w:rPr>
                <w:sz w:val="24"/>
                <w:szCs w:val="24"/>
              </w:rPr>
              <w:t>/11/2023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63934" w14:textId="77777777" w:rsidR="008113A3" w:rsidRPr="007E3A59" w:rsidRDefault="008113A3">
            <w:pPr>
              <w:pStyle w:val="Standard"/>
              <w:rPr>
                <w:sz w:val="24"/>
                <w:szCs w:val="24"/>
              </w:rPr>
            </w:pPr>
            <w:r w:rsidRPr="007E3A59">
              <w:rPr>
                <w:sz w:val="24"/>
                <w:szCs w:val="24"/>
              </w:rPr>
              <w:t>Deadline for publication of responses to clarification questions</w:t>
            </w:r>
          </w:p>
        </w:tc>
      </w:tr>
      <w:tr w:rsidR="008113A3" w:rsidRPr="007E3A59" w14:paraId="792DB482"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53E15" w14:textId="77777777" w:rsidR="008113A3" w:rsidRPr="007E3A59" w:rsidRDefault="008113A3">
            <w:pPr>
              <w:pStyle w:val="Standard"/>
              <w:rPr>
                <w:sz w:val="24"/>
                <w:szCs w:val="24"/>
              </w:rPr>
            </w:pPr>
            <w:r w:rsidRPr="007E3A59">
              <w:rPr>
                <w:sz w:val="24"/>
                <w:szCs w:val="24"/>
              </w:rPr>
              <w:t>10/11/2023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5B7895" w14:textId="77777777" w:rsidR="008113A3" w:rsidRPr="007E3A59" w:rsidRDefault="008113A3">
            <w:pPr>
              <w:pStyle w:val="Standard"/>
              <w:rPr>
                <w:sz w:val="24"/>
                <w:szCs w:val="24"/>
              </w:rPr>
            </w:pPr>
            <w:r w:rsidRPr="007E3A59">
              <w:rPr>
                <w:sz w:val="24"/>
                <w:szCs w:val="24"/>
              </w:rPr>
              <w:t>Deadline for supplier submission of tender to the Authority</w:t>
            </w:r>
          </w:p>
        </w:tc>
      </w:tr>
      <w:tr w:rsidR="008113A3" w:rsidRPr="007E3A59" w14:paraId="41B1BA12"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72CAE5" w14:textId="77777777" w:rsidR="008113A3" w:rsidRPr="007E3A59" w:rsidRDefault="008113A3">
            <w:pPr>
              <w:pStyle w:val="Standard"/>
              <w:rPr>
                <w:sz w:val="24"/>
                <w:szCs w:val="24"/>
              </w:rPr>
            </w:pPr>
            <w:r w:rsidRPr="007E3A59">
              <w:rPr>
                <w:sz w:val="24"/>
                <w:szCs w:val="24"/>
              </w:rPr>
              <w:t>20/11/2023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EB424" w14:textId="77777777" w:rsidR="008113A3" w:rsidRPr="007E3A59" w:rsidRDefault="008113A3">
            <w:pPr>
              <w:pStyle w:val="Standard"/>
              <w:rPr>
                <w:sz w:val="24"/>
                <w:szCs w:val="24"/>
              </w:rPr>
            </w:pPr>
            <w:r w:rsidRPr="007E3A59">
              <w:rPr>
                <w:sz w:val="24"/>
                <w:szCs w:val="24"/>
              </w:rPr>
              <w:t>Proposed award date</w:t>
            </w:r>
          </w:p>
        </w:tc>
      </w:tr>
    </w:tbl>
    <w:p w14:paraId="5A3C1B14" w14:textId="77777777" w:rsidR="008113A3" w:rsidRPr="007E3A59" w:rsidRDefault="008113A3">
      <w:pPr>
        <w:pStyle w:val="Standard"/>
        <w:ind w:left="360"/>
        <w:rPr>
          <w:sz w:val="24"/>
          <w:szCs w:val="24"/>
        </w:rPr>
      </w:pPr>
    </w:p>
    <w:p w14:paraId="4EE7C69A" w14:textId="77777777" w:rsidR="008113A3" w:rsidRDefault="008113A3" w:rsidP="008113A3">
      <w:pPr>
        <w:pStyle w:val="Heading2"/>
        <w:widowControl/>
        <w:numPr>
          <w:ilvl w:val="0"/>
          <w:numId w:val="4"/>
        </w:numPr>
        <w:spacing w:before="360" w:line="240" w:lineRule="auto"/>
      </w:pPr>
      <w:bookmarkStart w:id="7" w:name="_Toc109720908"/>
      <w:r>
        <w:t>Questions and clarifications</w:t>
      </w:r>
      <w:bookmarkEnd w:id="7"/>
    </w:p>
    <w:p w14:paraId="2CBAD0D9" w14:textId="77777777" w:rsidR="008113A3" w:rsidRDefault="008113A3">
      <w:pPr>
        <w:pStyle w:val="Standard"/>
      </w:pPr>
    </w:p>
    <w:p w14:paraId="15EAD293" w14:textId="77777777" w:rsidR="008113A3" w:rsidRPr="007E3A59" w:rsidRDefault="008113A3" w:rsidP="008113A3">
      <w:pPr>
        <w:pStyle w:val="Standard"/>
        <w:numPr>
          <w:ilvl w:val="1"/>
          <w:numId w:val="4"/>
        </w:numPr>
        <w:rPr>
          <w:sz w:val="24"/>
          <w:szCs w:val="24"/>
        </w:rPr>
      </w:pPr>
      <w:r w:rsidRPr="007E3A59">
        <w:rPr>
          <w:sz w:val="24"/>
          <w:szCs w:val="24"/>
        </w:rPr>
        <w:t>Potential Providers may raise questions or seek clarification regarding any aspect of this further competition at any time prior to the clarification deadline.</w:t>
      </w:r>
    </w:p>
    <w:p w14:paraId="6C9D1EA7" w14:textId="77777777" w:rsidR="008113A3" w:rsidRPr="007E3A59" w:rsidRDefault="008113A3">
      <w:pPr>
        <w:pStyle w:val="Standard"/>
        <w:ind w:left="1021"/>
        <w:rPr>
          <w:sz w:val="24"/>
          <w:szCs w:val="24"/>
        </w:rPr>
      </w:pPr>
    </w:p>
    <w:p w14:paraId="62ADD0EC" w14:textId="77777777" w:rsidR="008113A3" w:rsidRPr="007E3A59" w:rsidRDefault="008113A3" w:rsidP="008113A3">
      <w:pPr>
        <w:pStyle w:val="Standard"/>
        <w:numPr>
          <w:ilvl w:val="1"/>
          <w:numId w:val="4"/>
        </w:numPr>
        <w:rPr>
          <w:sz w:val="24"/>
          <w:szCs w:val="24"/>
        </w:rPr>
      </w:pPr>
      <w:r w:rsidRPr="007E3A59">
        <w:rPr>
          <w:sz w:val="24"/>
          <w:szCs w:val="24"/>
        </w:rPr>
        <w:t xml:space="preserve">To raise a clarification question e-mail </w:t>
      </w:r>
      <w:hyperlink r:id="rId12" w:history="1">
        <w:r w:rsidRPr="00331511">
          <w:rPr>
            <w:rStyle w:val="Hyperlink"/>
            <w:sz w:val="24"/>
            <w:szCs w:val="24"/>
          </w:rPr>
          <w:t>will.laing@beis.gov.uk</w:t>
        </w:r>
      </w:hyperlink>
      <w:r w:rsidRPr="007E3A59">
        <w:rPr>
          <w:sz w:val="24"/>
          <w:szCs w:val="24"/>
        </w:rPr>
        <w:t xml:space="preserve"> and cc’d </w:t>
      </w:r>
      <w:hyperlink r:id="rId13" w:history="1">
        <w:r w:rsidRPr="007E3A59">
          <w:rPr>
            <w:rStyle w:val="Hyperlink"/>
            <w:sz w:val="24"/>
            <w:szCs w:val="24"/>
          </w:rPr>
          <w:t>ddatprocurements@energysecurity.gov.uk</w:t>
        </w:r>
      </w:hyperlink>
    </w:p>
    <w:p w14:paraId="4134C912" w14:textId="77777777" w:rsidR="008113A3" w:rsidRPr="007E3A59" w:rsidRDefault="008113A3">
      <w:pPr>
        <w:pStyle w:val="ListParagraph"/>
        <w:rPr>
          <w:sz w:val="24"/>
        </w:rPr>
      </w:pPr>
    </w:p>
    <w:p w14:paraId="2112A17D" w14:textId="77777777" w:rsidR="008113A3" w:rsidRPr="007E3A59" w:rsidRDefault="008113A3">
      <w:pPr>
        <w:pStyle w:val="ListParagraph"/>
        <w:rPr>
          <w:sz w:val="24"/>
        </w:rPr>
      </w:pPr>
    </w:p>
    <w:p w14:paraId="62CA0C1A" w14:textId="77777777" w:rsidR="008113A3" w:rsidRPr="007E3A59" w:rsidRDefault="008113A3" w:rsidP="008113A3">
      <w:pPr>
        <w:pStyle w:val="Standard"/>
        <w:numPr>
          <w:ilvl w:val="1"/>
          <w:numId w:val="4"/>
        </w:numPr>
        <w:rPr>
          <w:sz w:val="24"/>
          <w:szCs w:val="24"/>
        </w:rPr>
      </w:pPr>
      <w:r w:rsidRPr="007E3A59">
        <w:rPr>
          <w:sz w:val="24"/>
          <w:szCs w:val="24"/>
        </w:rPr>
        <w:t>To ensure that all Potential Providers have equal access to information regarding this further completion, the Authority will publish all its responses to questions raised by Potential \providers on an anonymous basis.</w:t>
      </w:r>
    </w:p>
    <w:p w14:paraId="7C3F3D86" w14:textId="77777777" w:rsidR="008113A3" w:rsidRPr="007E3A59" w:rsidRDefault="008113A3">
      <w:pPr>
        <w:pStyle w:val="ListParagraph"/>
        <w:rPr>
          <w:sz w:val="24"/>
        </w:rPr>
      </w:pPr>
    </w:p>
    <w:p w14:paraId="21283617" w14:textId="77777777" w:rsidR="008113A3" w:rsidRPr="007E3A59" w:rsidRDefault="008113A3" w:rsidP="008113A3">
      <w:pPr>
        <w:pStyle w:val="Standard"/>
        <w:numPr>
          <w:ilvl w:val="1"/>
          <w:numId w:val="4"/>
        </w:numPr>
        <w:rPr>
          <w:sz w:val="24"/>
          <w:szCs w:val="24"/>
        </w:rPr>
      </w:pPr>
      <w:r w:rsidRPr="007E3A59">
        <w:rPr>
          <w:sz w:val="24"/>
          <w:szCs w:val="24"/>
        </w:rPr>
        <w:t>Responses will be published in a questions and answers document to all Potential Providers who were invited to tender.</w:t>
      </w:r>
    </w:p>
    <w:p w14:paraId="1EAFE64D" w14:textId="77777777" w:rsidR="008113A3" w:rsidRDefault="008113A3" w:rsidP="008113A3">
      <w:pPr>
        <w:pStyle w:val="Heading2"/>
        <w:widowControl/>
        <w:numPr>
          <w:ilvl w:val="0"/>
          <w:numId w:val="4"/>
        </w:numPr>
        <w:spacing w:before="360" w:line="240" w:lineRule="auto"/>
      </w:pPr>
      <w:bookmarkStart w:id="8" w:name="_Toc109720909"/>
      <w:r>
        <w:t>Submitting a tender</w:t>
      </w:r>
      <w:bookmarkEnd w:id="8"/>
    </w:p>
    <w:p w14:paraId="5D22D88F" w14:textId="77777777" w:rsidR="008113A3" w:rsidRDefault="008113A3">
      <w:pPr>
        <w:pStyle w:val="Standard"/>
      </w:pPr>
    </w:p>
    <w:p w14:paraId="1CDAD5D2" w14:textId="77777777" w:rsidR="008113A3" w:rsidRPr="007E3A59" w:rsidRDefault="008113A3" w:rsidP="008113A3">
      <w:pPr>
        <w:pStyle w:val="Standard"/>
        <w:numPr>
          <w:ilvl w:val="1"/>
          <w:numId w:val="4"/>
        </w:numPr>
        <w:rPr>
          <w:sz w:val="24"/>
          <w:szCs w:val="24"/>
        </w:rPr>
      </w:pPr>
      <w:r w:rsidRPr="007E3A59">
        <w:rPr>
          <w:sz w:val="24"/>
          <w:szCs w:val="24"/>
        </w:rPr>
        <w:t>Potential Providers should submit a tender and provide a pricing schedule or supplier quotation.</w:t>
      </w:r>
    </w:p>
    <w:p w14:paraId="12499409" w14:textId="77777777" w:rsidR="008113A3" w:rsidRPr="007E3A59" w:rsidRDefault="008113A3">
      <w:pPr>
        <w:pStyle w:val="Standard"/>
        <w:ind w:left="1021"/>
        <w:rPr>
          <w:sz w:val="24"/>
          <w:szCs w:val="24"/>
        </w:rPr>
      </w:pPr>
    </w:p>
    <w:p w14:paraId="2BC0E055" w14:textId="77777777" w:rsidR="008113A3" w:rsidRPr="007E3A59" w:rsidRDefault="008113A3" w:rsidP="008113A3">
      <w:pPr>
        <w:pStyle w:val="Standard"/>
        <w:numPr>
          <w:ilvl w:val="1"/>
          <w:numId w:val="4"/>
        </w:numPr>
        <w:rPr>
          <w:sz w:val="24"/>
          <w:szCs w:val="24"/>
        </w:rPr>
      </w:pPr>
      <w:r w:rsidRPr="007E3A59">
        <w:rPr>
          <w:sz w:val="24"/>
          <w:szCs w:val="24"/>
        </w:rPr>
        <w:lastRenderedPageBreak/>
        <w:t xml:space="preserve">Potential Providers should submit a tender by e-mail to; </w:t>
      </w:r>
      <w:hyperlink r:id="rId14" w:history="1">
        <w:r w:rsidRPr="00331511">
          <w:rPr>
            <w:rStyle w:val="Hyperlink"/>
            <w:sz w:val="24"/>
            <w:szCs w:val="24"/>
          </w:rPr>
          <w:t>will.laing@beis.gov.uk</w:t>
        </w:r>
      </w:hyperlink>
      <w:r w:rsidRPr="007E3A59">
        <w:rPr>
          <w:sz w:val="24"/>
          <w:szCs w:val="24"/>
        </w:rPr>
        <w:t xml:space="preserve"> cc’d </w:t>
      </w:r>
      <w:hyperlink r:id="rId15" w:history="1">
        <w:r w:rsidRPr="007E3A59">
          <w:rPr>
            <w:rStyle w:val="Hyperlink"/>
            <w:sz w:val="24"/>
            <w:szCs w:val="24"/>
          </w:rPr>
          <w:t>ddatprocurements@energysecurity.gov.uk</w:t>
        </w:r>
      </w:hyperlink>
    </w:p>
    <w:p w14:paraId="216AE629" w14:textId="77777777" w:rsidR="008113A3" w:rsidRPr="007E3A59" w:rsidRDefault="008113A3">
      <w:pPr>
        <w:pStyle w:val="Standard"/>
        <w:rPr>
          <w:sz w:val="24"/>
          <w:szCs w:val="24"/>
          <w:highlight w:val="yellow"/>
        </w:rPr>
      </w:pPr>
    </w:p>
    <w:p w14:paraId="1D0C7F19" w14:textId="77777777" w:rsidR="008113A3" w:rsidRPr="007E3A59" w:rsidRDefault="008113A3" w:rsidP="008113A3">
      <w:pPr>
        <w:pStyle w:val="Standard"/>
        <w:numPr>
          <w:ilvl w:val="1"/>
          <w:numId w:val="4"/>
        </w:numPr>
        <w:rPr>
          <w:sz w:val="24"/>
          <w:szCs w:val="24"/>
        </w:rPr>
      </w:pPr>
      <w:r w:rsidRPr="007E3A59">
        <w:rPr>
          <w:sz w:val="24"/>
          <w:szCs w:val="24"/>
        </w:rPr>
        <w:t>A tender must remain valid and capable of acceptance by the Authority for a period of 30 days following the tender submission deadline. A tender with a shorter validity may be rejected.</w:t>
      </w:r>
    </w:p>
    <w:p w14:paraId="0374B183" w14:textId="77777777" w:rsidR="008113A3" w:rsidRPr="007E3A59" w:rsidRDefault="008113A3">
      <w:pPr>
        <w:pStyle w:val="Standard"/>
        <w:ind w:left="360"/>
        <w:rPr>
          <w:sz w:val="24"/>
          <w:szCs w:val="24"/>
        </w:rPr>
      </w:pPr>
    </w:p>
    <w:p w14:paraId="2ECA9062" w14:textId="77777777" w:rsidR="008113A3" w:rsidRDefault="008113A3" w:rsidP="008113A3">
      <w:pPr>
        <w:pStyle w:val="Heading2"/>
        <w:widowControl/>
        <w:numPr>
          <w:ilvl w:val="0"/>
          <w:numId w:val="4"/>
        </w:numPr>
        <w:spacing w:before="360" w:line="240" w:lineRule="auto"/>
      </w:pPr>
      <w:bookmarkStart w:id="9" w:name="_Toc109720910"/>
      <w:r>
        <w:t>Tender evaluation</w:t>
      </w:r>
      <w:bookmarkEnd w:id="9"/>
    </w:p>
    <w:p w14:paraId="2C11D65F" w14:textId="77777777" w:rsidR="008113A3" w:rsidRPr="007E3A59" w:rsidRDefault="008113A3">
      <w:pPr>
        <w:pStyle w:val="Standard"/>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113A3" w:rsidRPr="007E3A59" w14:paraId="2150EA7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B06" w14:textId="77777777" w:rsidR="008113A3" w:rsidRPr="007E3A59" w:rsidRDefault="008113A3">
            <w:pPr>
              <w:pStyle w:val="Standard"/>
              <w:rPr>
                <w:sz w:val="24"/>
                <w:szCs w:val="24"/>
              </w:rPr>
            </w:pPr>
            <w:r w:rsidRPr="007E3A59">
              <w:rPr>
                <w:sz w:val="24"/>
                <w:szCs w:val="24"/>
              </w:rPr>
              <w:t>Questionnaire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8BE14" w14:textId="77777777" w:rsidR="008113A3" w:rsidRPr="007E3A59" w:rsidRDefault="008113A3">
            <w:pPr>
              <w:pStyle w:val="Standard"/>
              <w:rPr>
                <w:sz w:val="24"/>
                <w:szCs w:val="24"/>
              </w:rPr>
            </w:pPr>
            <w:r w:rsidRPr="007E3A59">
              <w:rPr>
                <w:sz w:val="24"/>
                <w:szCs w:val="24"/>
              </w:rPr>
              <w:t>Total score available</w:t>
            </w:r>
          </w:p>
        </w:tc>
      </w:tr>
      <w:tr w:rsidR="008113A3" w:rsidRPr="007E3A59" w14:paraId="479F4DF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CCD3" w14:textId="77777777" w:rsidR="008113A3" w:rsidRPr="007E3A59" w:rsidRDefault="008113A3">
            <w:pPr>
              <w:pStyle w:val="Standard"/>
              <w:rPr>
                <w:sz w:val="24"/>
                <w:szCs w:val="24"/>
              </w:rPr>
            </w:pPr>
            <w:r w:rsidRPr="007E3A59">
              <w:rPr>
                <w:sz w:val="24"/>
                <w:szCs w:val="24"/>
              </w:rPr>
              <w:t>Price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E8775" w14:textId="77777777" w:rsidR="008113A3" w:rsidRPr="007E3A59" w:rsidRDefault="008113A3">
            <w:pPr>
              <w:pStyle w:val="Standard"/>
              <w:rPr>
                <w:sz w:val="24"/>
                <w:szCs w:val="24"/>
              </w:rPr>
            </w:pPr>
            <w:r w:rsidRPr="007E3A59">
              <w:rPr>
                <w:sz w:val="24"/>
                <w:szCs w:val="24"/>
              </w:rPr>
              <w:t>100%</w:t>
            </w:r>
          </w:p>
        </w:tc>
      </w:tr>
      <w:tr w:rsidR="008113A3" w:rsidRPr="007E3A59" w14:paraId="2357D95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30D4" w14:textId="77777777" w:rsidR="008113A3" w:rsidRPr="007E3A59" w:rsidRDefault="008113A3">
            <w:pPr>
              <w:pStyle w:val="Standard"/>
              <w:rPr>
                <w:sz w:val="24"/>
                <w:szCs w:val="24"/>
              </w:rPr>
            </w:pPr>
            <w:r w:rsidRPr="007E3A59">
              <w:rPr>
                <w:sz w:val="24"/>
                <w:szCs w:val="24"/>
              </w:rPr>
              <w:t>N/A</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0EC8" w14:textId="77777777" w:rsidR="008113A3" w:rsidRPr="007E3A59" w:rsidRDefault="008113A3">
            <w:pPr>
              <w:pStyle w:val="Standard"/>
              <w:rPr>
                <w:sz w:val="24"/>
                <w:szCs w:val="24"/>
              </w:rPr>
            </w:pPr>
            <w:r w:rsidRPr="007E3A59">
              <w:rPr>
                <w:sz w:val="24"/>
                <w:szCs w:val="24"/>
              </w:rPr>
              <w:t>Total 100%</w:t>
            </w:r>
          </w:p>
        </w:tc>
      </w:tr>
    </w:tbl>
    <w:p w14:paraId="7C3A7BEE" w14:textId="77777777" w:rsidR="008113A3" w:rsidRPr="007E3A59" w:rsidRDefault="008113A3">
      <w:pPr>
        <w:pStyle w:val="Standard"/>
        <w:rPr>
          <w:sz w:val="24"/>
          <w:szCs w:val="24"/>
        </w:rPr>
      </w:pPr>
    </w:p>
    <w:p w14:paraId="6AB14DAC" w14:textId="77777777" w:rsidR="008113A3" w:rsidRDefault="008113A3" w:rsidP="008113A3">
      <w:pPr>
        <w:pStyle w:val="Heading2"/>
        <w:widowControl/>
        <w:numPr>
          <w:ilvl w:val="0"/>
          <w:numId w:val="4"/>
        </w:numPr>
        <w:spacing w:before="360" w:line="240" w:lineRule="auto"/>
      </w:pPr>
      <w:bookmarkStart w:id="10" w:name="_Toc109720911"/>
      <w:r>
        <w:t>Contract award</w:t>
      </w:r>
      <w:bookmarkEnd w:id="10"/>
    </w:p>
    <w:p w14:paraId="2EFDB533" w14:textId="77777777" w:rsidR="008113A3" w:rsidRDefault="008113A3">
      <w:pPr>
        <w:pStyle w:val="Standard"/>
      </w:pPr>
    </w:p>
    <w:p w14:paraId="561D26B7" w14:textId="77777777" w:rsidR="008113A3" w:rsidRPr="007E3A59" w:rsidRDefault="008113A3" w:rsidP="008113A3">
      <w:pPr>
        <w:pStyle w:val="Standard"/>
        <w:numPr>
          <w:ilvl w:val="1"/>
          <w:numId w:val="4"/>
        </w:numPr>
        <w:rPr>
          <w:sz w:val="24"/>
          <w:szCs w:val="24"/>
        </w:rPr>
      </w:pPr>
      <w:r w:rsidRPr="007E3A59">
        <w:rPr>
          <w:sz w:val="24"/>
          <w:szCs w:val="24"/>
        </w:rPr>
        <w:t>The maximum mark available for price will be 100. This mark will be awarded to the lowest Potential Provider. Remaining Potential Providers will receive a mark out of this maximum mark on a pro rata basis dependent on how far they deviate from the lowest price.</w:t>
      </w:r>
    </w:p>
    <w:p w14:paraId="3763155F" w14:textId="77777777" w:rsidR="008113A3" w:rsidRPr="007E3A59" w:rsidRDefault="008113A3">
      <w:pPr>
        <w:pStyle w:val="Standard"/>
        <w:ind w:left="1021"/>
        <w:rPr>
          <w:sz w:val="24"/>
          <w:szCs w:val="24"/>
        </w:rPr>
      </w:pPr>
    </w:p>
    <w:p w14:paraId="6F379DA6" w14:textId="77777777" w:rsidR="008113A3" w:rsidRPr="007E3A59" w:rsidRDefault="008113A3" w:rsidP="008113A3">
      <w:pPr>
        <w:pStyle w:val="Standard"/>
        <w:numPr>
          <w:ilvl w:val="1"/>
          <w:numId w:val="4"/>
        </w:numPr>
        <w:rPr>
          <w:sz w:val="24"/>
          <w:szCs w:val="24"/>
        </w:rPr>
      </w:pPr>
      <w:r w:rsidRPr="007E3A59">
        <w:rPr>
          <w:sz w:val="24"/>
          <w:szCs w:val="24"/>
        </w:rPr>
        <w:t>The calculation below describes how the mark will be calculated.</w:t>
      </w:r>
    </w:p>
    <w:p w14:paraId="43A7D5BA" w14:textId="77777777" w:rsidR="008113A3" w:rsidRPr="007E3A59" w:rsidRDefault="008113A3">
      <w:pPr>
        <w:pStyle w:val="Standard"/>
        <w:rPr>
          <w:sz w:val="24"/>
          <w:szCs w:val="24"/>
        </w:rPr>
      </w:pPr>
    </w:p>
    <w:p w14:paraId="18BF141E" w14:textId="77777777" w:rsidR="008113A3" w:rsidRPr="007E3A59" w:rsidRDefault="008113A3">
      <w:pPr>
        <w:pStyle w:val="Standard"/>
        <w:ind w:left="360"/>
        <w:rPr>
          <w:sz w:val="24"/>
          <w:szCs w:val="24"/>
        </w:rPr>
      </w:pPr>
      <w:r w:rsidRPr="007E3A59">
        <w:rPr>
          <w:sz w:val="24"/>
          <w:szCs w:val="24"/>
        </w:rPr>
        <w:t>Score equals the lowest tender price divided by the tender price and times by 100 (maximum mark available)</w:t>
      </w:r>
    </w:p>
    <w:p w14:paraId="75738AAD" w14:textId="77777777" w:rsidR="008113A3" w:rsidRDefault="008113A3">
      <w:pPr>
        <w:pStyle w:val="Standard"/>
        <w:ind w:left="360"/>
      </w:pPr>
    </w:p>
    <w:p w14:paraId="6C9C0F7F" w14:textId="77777777" w:rsidR="008113A3" w:rsidRDefault="008113A3" w:rsidP="008113A3">
      <w:pPr>
        <w:pStyle w:val="Heading2"/>
        <w:widowControl/>
        <w:numPr>
          <w:ilvl w:val="0"/>
          <w:numId w:val="4"/>
        </w:numPr>
        <w:spacing w:before="360" w:line="240" w:lineRule="auto"/>
      </w:pPr>
      <w:bookmarkStart w:id="11" w:name="_Toc109720912"/>
      <w:r>
        <w:t xml:space="preserve">Outcome letters and call off </w:t>
      </w:r>
      <w:bookmarkEnd w:id="11"/>
      <w:r>
        <w:t>contracts.</w:t>
      </w:r>
    </w:p>
    <w:p w14:paraId="3A0B76B2" w14:textId="77777777" w:rsidR="008113A3" w:rsidRPr="007E3A59" w:rsidRDefault="008113A3" w:rsidP="008113A3">
      <w:pPr>
        <w:pStyle w:val="Standard"/>
        <w:numPr>
          <w:ilvl w:val="1"/>
          <w:numId w:val="4"/>
        </w:numPr>
        <w:rPr>
          <w:sz w:val="24"/>
          <w:szCs w:val="24"/>
        </w:rPr>
      </w:pPr>
      <w:r w:rsidRPr="007E3A59">
        <w:rPr>
          <w:sz w:val="24"/>
          <w:szCs w:val="24"/>
        </w:rPr>
        <w:t>Upon contract award Potential Providers will be notified of the outcome by e-mail.</w:t>
      </w:r>
    </w:p>
    <w:p w14:paraId="64D5525E" w14:textId="77777777" w:rsidR="008113A3" w:rsidRPr="007E3A59" w:rsidRDefault="008113A3">
      <w:pPr>
        <w:pStyle w:val="Standard"/>
        <w:rPr>
          <w:sz w:val="24"/>
          <w:szCs w:val="24"/>
        </w:rPr>
      </w:pPr>
    </w:p>
    <w:p w14:paraId="14C20E71" w14:textId="77777777" w:rsidR="001A5CDE" w:rsidRDefault="001A5CDE">
      <w:pPr>
        <w:rPr>
          <w:shd w:val="clear" w:color="auto" w:fill="FFFF00"/>
        </w:rPr>
      </w:pPr>
    </w:p>
    <w:p w14:paraId="5F4A71B4" w14:textId="77777777" w:rsidR="001A5CDE" w:rsidRDefault="001A5CDE">
      <w:pPr>
        <w:rPr>
          <w:shd w:val="clear" w:color="auto" w:fill="FFFF00"/>
        </w:rPr>
      </w:pPr>
    </w:p>
    <w:p w14:paraId="78E43BE9" w14:textId="77777777" w:rsidR="001A5CDE" w:rsidRPr="008113A3" w:rsidRDefault="001A5CDE" w:rsidP="008113A3"/>
    <w:p w14:paraId="54A326E8" w14:textId="6A0C0ACE" w:rsidR="00920744" w:rsidRPr="008113A3" w:rsidRDefault="00920744" w:rsidP="008113A3">
      <w:r w:rsidRPr="008113A3">
        <w:t>Annex B: The supplier’s proposal; pdf file ; “</w:t>
      </w:r>
      <w:r w:rsidR="00D213A8" w:rsidRPr="008113A3">
        <w:t>SQU4875222</w:t>
      </w:r>
      <w:r w:rsidR="009E663D" w:rsidRPr="008113A3">
        <w:t>_V3.pdf</w:t>
      </w:r>
      <w:r w:rsidRPr="008113A3">
        <w:t>”</w:t>
      </w:r>
    </w:p>
    <w:p w14:paraId="19B4B0E5" w14:textId="7DFFBDF4" w:rsidR="009E663D" w:rsidRDefault="009E663D"/>
    <w:sectPr w:rsidR="009E663D">
      <w:headerReference w:type="default"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91F5" w14:textId="77777777" w:rsidR="00A17704" w:rsidRDefault="00A17704">
      <w:pPr>
        <w:spacing w:after="0"/>
      </w:pPr>
      <w:r>
        <w:separator/>
      </w:r>
    </w:p>
  </w:endnote>
  <w:endnote w:type="continuationSeparator" w:id="0">
    <w:p w14:paraId="72139007" w14:textId="77777777" w:rsidR="00A17704" w:rsidRDefault="00A17704">
      <w:pPr>
        <w:spacing w:after="0"/>
      </w:pPr>
      <w:r>
        <w:continuationSeparator/>
      </w:r>
    </w:p>
  </w:endnote>
  <w:endnote w:type="continuationNotice" w:id="1">
    <w:p w14:paraId="77BABCED" w14:textId="77777777" w:rsidR="00A17704" w:rsidRDefault="00A177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55 Roma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C8B3" w14:textId="77777777" w:rsidR="00E368ED" w:rsidRDefault="00E368ED">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9AA2" w14:textId="77777777" w:rsidR="00A17704" w:rsidRDefault="00A17704">
      <w:pPr>
        <w:spacing w:after="0"/>
      </w:pPr>
      <w:r>
        <w:rPr>
          <w:color w:val="000000"/>
        </w:rPr>
        <w:separator/>
      </w:r>
    </w:p>
  </w:footnote>
  <w:footnote w:type="continuationSeparator" w:id="0">
    <w:p w14:paraId="3997AE04" w14:textId="77777777" w:rsidR="00A17704" w:rsidRDefault="00A17704">
      <w:pPr>
        <w:spacing w:after="0"/>
      </w:pPr>
      <w:r>
        <w:continuationSeparator/>
      </w:r>
    </w:p>
  </w:footnote>
  <w:footnote w:type="continuationNotice" w:id="1">
    <w:p w14:paraId="747AA9D4" w14:textId="77777777" w:rsidR="00A17704" w:rsidRDefault="00A177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1F20" w14:textId="77777777" w:rsidR="00E368ED" w:rsidRDefault="00E368ED">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6"/>
    <w:multiLevelType w:val="multilevel"/>
    <w:tmpl w:val="B6C06004"/>
    <w:lvl w:ilvl="0">
      <w:start w:val="1"/>
      <w:numFmt w:val="decimal"/>
      <w:lvlText w:val="%1."/>
      <w:lvlJc w:val="left"/>
      <w:pPr>
        <w:ind w:left="360" w:hanging="360"/>
      </w:pPr>
    </w:lvl>
    <w:lvl w:ilvl="1">
      <w:start w:val="1"/>
      <w:numFmt w:val="decimal"/>
      <w:lvlText w:val="%1.%2."/>
      <w:lvlJc w:val="left"/>
      <w:pPr>
        <w:ind w:left="944" w:hanging="66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CA05E7"/>
    <w:multiLevelType w:val="multilevel"/>
    <w:tmpl w:val="27D8F000"/>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640CE4"/>
    <w:multiLevelType w:val="multilevel"/>
    <w:tmpl w:val="8452ABEC"/>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0E6BAF"/>
    <w:multiLevelType w:val="multilevel"/>
    <w:tmpl w:val="D250BE96"/>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C8D527B"/>
    <w:multiLevelType w:val="multilevel"/>
    <w:tmpl w:val="FE4C4B82"/>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0528031">
    <w:abstractNumId w:val="1"/>
  </w:num>
  <w:num w:numId="2" w16cid:durableId="2128893745">
    <w:abstractNumId w:val="2"/>
  </w:num>
  <w:num w:numId="3" w16cid:durableId="2079672899">
    <w:abstractNumId w:val="3"/>
  </w:num>
  <w:num w:numId="4" w16cid:durableId="335695944">
    <w:abstractNumId w:val="4"/>
  </w:num>
  <w:num w:numId="5" w16cid:durableId="182165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9C"/>
    <w:rsid w:val="00030B8C"/>
    <w:rsid w:val="000C6D98"/>
    <w:rsid w:val="00164E15"/>
    <w:rsid w:val="001818D6"/>
    <w:rsid w:val="001A5CDE"/>
    <w:rsid w:val="001B1136"/>
    <w:rsid w:val="002500FE"/>
    <w:rsid w:val="002B5C65"/>
    <w:rsid w:val="002C6B82"/>
    <w:rsid w:val="00387121"/>
    <w:rsid w:val="0050695F"/>
    <w:rsid w:val="005302C4"/>
    <w:rsid w:val="00557A9C"/>
    <w:rsid w:val="005B5817"/>
    <w:rsid w:val="006E4240"/>
    <w:rsid w:val="00726428"/>
    <w:rsid w:val="00806ABB"/>
    <w:rsid w:val="008113A3"/>
    <w:rsid w:val="00812483"/>
    <w:rsid w:val="00920744"/>
    <w:rsid w:val="00931BCD"/>
    <w:rsid w:val="00966C8A"/>
    <w:rsid w:val="00971975"/>
    <w:rsid w:val="00986664"/>
    <w:rsid w:val="00993CF2"/>
    <w:rsid w:val="009965D9"/>
    <w:rsid w:val="009C5A92"/>
    <w:rsid w:val="009E663D"/>
    <w:rsid w:val="00A17704"/>
    <w:rsid w:val="00A80EB0"/>
    <w:rsid w:val="00B82DF2"/>
    <w:rsid w:val="00BD3E3B"/>
    <w:rsid w:val="00BE57DC"/>
    <w:rsid w:val="00CC532A"/>
    <w:rsid w:val="00D151F7"/>
    <w:rsid w:val="00D213A8"/>
    <w:rsid w:val="00D453B3"/>
    <w:rsid w:val="00D6339F"/>
    <w:rsid w:val="00E368ED"/>
    <w:rsid w:val="00F14FC5"/>
    <w:rsid w:val="00F748F9"/>
    <w:rsid w:val="427C0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C2D8"/>
  <w15:docId w15:val="{F4C595F7-DD33-41A6-A1F0-9BB743C2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812483"/>
    <w:rPr>
      <w:b/>
      <w:bCs/>
    </w:rPr>
  </w:style>
  <w:style w:type="character" w:styleId="CommentReference">
    <w:name w:val="annotation reference"/>
    <w:basedOn w:val="DefaultParagraphFont"/>
    <w:uiPriority w:val="99"/>
    <w:semiHidden/>
    <w:unhideWhenUsed/>
    <w:rsid w:val="00D453B3"/>
    <w:rPr>
      <w:sz w:val="16"/>
      <w:szCs w:val="16"/>
    </w:rPr>
  </w:style>
  <w:style w:type="paragraph" w:styleId="CommentText">
    <w:name w:val="annotation text"/>
    <w:basedOn w:val="Normal"/>
    <w:link w:val="CommentTextChar"/>
    <w:uiPriority w:val="99"/>
    <w:unhideWhenUsed/>
    <w:rsid w:val="00D453B3"/>
    <w:rPr>
      <w:sz w:val="20"/>
      <w:szCs w:val="20"/>
    </w:rPr>
  </w:style>
  <w:style w:type="character" w:customStyle="1" w:styleId="CommentTextChar">
    <w:name w:val="Comment Text Char"/>
    <w:basedOn w:val="DefaultParagraphFont"/>
    <w:link w:val="CommentText"/>
    <w:uiPriority w:val="99"/>
    <w:rsid w:val="00D453B3"/>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D453B3"/>
    <w:rPr>
      <w:b/>
      <w:bCs/>
    </w:rPr>
  </w:style>
  <w:style w:type="character" w:customStyle="1" w:styleId="CommentSubjectChar">
    <w:name w:val="Comment Subject Char"/>
    <w:basedOn w:val="CommentTextChar"/>
    <w:link w:val="CommentSubject"/>
    <w:uiPriority w:val="99"/>
    <w:semiHidden/>
    <w:rsid w:val="00D453B3"/>
    <w:rPr>
      <w:rFonts w:eastAsia="Calibri" w:cs="Calibri"/>
      <w:b/>
      <w:bCs/>
      <w:sz w:val="20"/>
      <w:szCs w:val="20"/>
    </w:rPr>
  </w:style>
  <w:style w:type="character" w:styleId="Mention">
    <w:name w:val="Mention"/>
    <w:basedOn w:val="DefaultParagraphFont"/>
    <w:uiPriority w:val="99"/>
    <w:unhideWhenUsed/>
    <w:rsid w:val="00D453B3"/>
    <w:rPr>
      <w:color w:val="2B579A"/>
      <w:shd w:val="clear" w:color="auto" w:fill="E1DFDD"/>
    </w:rPr>
  </w:style>
  <w:style w:type="paragraph" w:customStyle="1" w:styleId="Standard">
    <w:name w:val="Standard"/>
    <w:rsid w:val="008113A3"/>
    <w:pPr>
      <w:widowControl w:val="0"/>
      <w:suppressAutoHyphens/>
      <w:spacing w:after="0" w:line="276" w:lineRule="auto"/>
    </w:pPr>
    <w:rPr>
      <w:sz w:val="27"/>
      <w:szCs w:val="27"/>
      <w:lang w:eastAsia="zh-CN" w:bidi="hi-IN"/>
    </w:rPr>
  </w:style>
  <w:style w:type="table" w:styleId="TableGrid">
    <w:name w:val="Table Grid"/>
    <w:basedOn w:val="TableNormal"/>
    <w:uiPriority w:val="59"/>
    <w:rsid w:val="008113A3"/>
    <w:pPr>
      <w:widowControl w:val="0"/>
      <w:spacing w:after="0"/>
    </w:pPr>
    <w:rPr>
      <w:sz w:val="27"/>
      <w:szCs w:val="27"/>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tprocurements@energysecurit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l.laing@bei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datprocurements@energysecurity.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laing@bei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8" ma:contentTypeDescription="Create a new document." ma:contentTypeScope="" ma:versionID="8f4614443c3a9e40d0f243b2a84ec596">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4c12cbdbf11fbda4e5ab06794e443567"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f17926d-0d60-41ee-9211-49c87b2d713d">547ZAAXTDT4U-1398752263-561</_dlc_DocId>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Retention_x0020_Label xmlns="a8f60570-4bd3-4f2b-950b-a996de8ab151" xsi:nil="true"/>
    <Government_x0020_Body xmlns="b413c3fd-5a3b-4239-b985-69032e371c04">BEIS</Government_x0020_Body>
    <Date_x0020_Opened xmlns="b413c3fd-5a3b-4239-b985-69032e371c04">2023-12-15T14:48:13+00:00</Date_x0020_Opened>
    <Descriptor xmlns="0063f72e-ace3-48fb-9c1f-5b513408b31f" xsi:nil="true"/>
    <Security_x0020_Classification xmlns="0063f72e-ace3-48fb-9c1f-5b513408b31f">OFFICIAL</Security_x0020_Classification>
    <_dlc_DocIdUrl xmlns="bf17926d-0d60-41ee-9211-49c87b2d713d">
      <Url>https://beisgov.sharepoint.com/sites/Commercial-BEISDigitalHub/_layouts/15/DocIdRedir.aspx?ID=547ZAAXTDT4U-1398752263-561</Url>
      <Description>547ZAAXTDT4U-1398752263-561</Description>
    </_dlc_DocIdUrl>
    <Date_x0020_Closed xmlns="b413c3fd-5a3b-4239-b985-69032e371c04" xsi:nil="true"/>
    <TaxCatchAll xmlns="bf17926d-0d60-41ee-9211-49c87b2d713d">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96CAE-831A-44A2-97C7-905CFFF926CB}">
  <ds:schemaRefs>
    <ds:schemaRef ds:uri="http://schemas.microsoft.com/sharepoint/events"/>
  </ds:schemaRefs>
</ds:datastoreItem>
</file>

<file path=customXml/itemProps2.xml><?xml version="1.0" encoding="utf-8"?>
<ds:datastoreItem xmlns:ds="http://schemas.openxmlformats.org/officeDocument/2006/customXml" ds:itemID="{6B3A67E4-4EB7-4499-9572-3A01C042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A1E02-C257-45CB-AF71-A4FC50AEC503}">
  <ds:schemaRefs>
    <ds:schemaRef ds:uri="http://schemas.microsoft.com/office/2006/metadata/properties"/>
    <ds:schemaRef ds:uri="http://schemas.microsoft.com/office/infopath/2007/PartnerControls"/>
    <ds:schemaRef ds:uri="aaacb922-5235-4a66-b188-303b9b46fbd7"/>
    <ds:schemaRef ds:uri="bf17926d-0d60-41ee-9211-49c87b2d713d"/>
    <ds:schemaRef ds:uri="a8f60570-4bd3-4f2b-950b-a996de8ab151"/>
    <ds:schemaRef ds:uri="b413c3fd-5a3b-4239-b985-69032e371c04"/>
    <ds:schemaRef ds:uri="0063f72e-ace3-48fb-9c1f-5b513408b31f"/>
  </ds:schemaRefs>
</ds:datastoreItem>
</file>

<file path=customXml/itemProps4.xml><?xml version="1.0" encoding="utf-8"?>
<ds:datastoreItem xmlns:ds="http://schemas.openxmlformats.org/officeDocument/2006/customXml" ds:itemID="{98A2F273-B2ED-4017-AAD4-61379761E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Links>
    <vt:vector size="108" baseType="variant">
      <vt:variant>
        <vt:i4>3670103</vt:i4>
      </vt:variant>
      <vt:variant>
        <vt:i4>48</vt:i4>
      </vt:variant>
      <vt:variant>
        <vt:i4>0</vt:i4>
      </vt:variant>
      <vt:variant>
        <vt:i4>5</vt:i4>
      </vt:variant>
      <vt:variant>
        <vt:lpwstr>mailto:ddatprocurements@energysecurity.gov.uk</vt:lpwstr>
      </vt:variant>
      <vt:variant>
        <vt:lpwstr/>
      </vt:variant>
      <vt:variant>
        <vt:i4>6946889</vt:i4>
      </vt:variant>
      <vt:variant>
        <vt:i4>45</vt:i4>
      </vt:variant>
      <vt:variant>
        <vt:i4>0</vt:i4>
      </vt:variant>
      <vt:variant>
        <vt:i4>5</vt:i4>
      </vt:variant>
      <vt:variant>
        <vt:lpwstr>mailto:will.laing@beis.gov.uk</vt:lpwstr>
      </vt:variant>
      <vt:variant>
        <vt:lpwstr/>
      </vt:variant>
      <vt:variant>
        <vt:i4>3670103</vt:i4>
      </vt:variant>
      <vt:variant>
        <vt:i4>42</vt:i4>
      </vt:variant>
      <vt:variant>
        <vt:i4>0</vt:i4>
      </vt:variant>
      <vt:variant>
        <vt:i4>5</vt:i4>
      </vt:variant>
      <vt:variant>
        <vt:lpwstr>mailto:ddatprocurements@energysecurity.gov.uk</vt:lpwstr>
      </vt:variant>
      <vt:variant>
        <vt:lpwstr/>
      </vt:variant>
      <vt:variant>
        <vt:i4>6946889</vt:i4>
      </vt:variant>
      <vt:variant>
        <vt:i4>39</vt:i4>
      </vt:variant>
      <vt:variant>
        <vt:i4>0</vt:i4>
      </vt:variant>
      <vt:variant>
        <vt:i4>5</vt:i4>
      </vt:variant>
      <vt:variant>
        <vt:lpwstr>mailto:will.laing@beis.gov.uk</vt:lpwstr>
      </vt:variant>
      <vt:variant>
        <vt:lpwstr/>
      </vt:variant>
      <vt:variant>
        <vt:i4>6160501</vt:i4>
      </vt:variant>
      <vt:variant>
        <vt:i4>36</vt:i4>
      </vt:variant>
      <vt:variant>
        <vt:i4>0</vt:i4>
      </vt:variant>
      <vt:variant>
        <vt:i4>5</vt:i4>
      </vt:variant>
      <vt:variant>
        <vt:lpwstr>mailto:aringrose@fortinet.com</vt:lpwstr>
      </vt:variant>
      <vt:variant>
        <vt:lpwstr/>
      </vt:variant>
      <vt:variant>
        <vt:i4>1114163</vt:i4>
      </vt:variant>
      <vt:variant>
        <vt:i4>32</vt:i4>
      </vt:variant>
      <vt:variant>
        <vt:i4>0</vt:i4>
      </vt:variant>
      <vt:variant>
        <vt:i4>5</vt:i4>
      </vt:variant>
      <vt:variant>
        <vt:lpwstr/>
      </vt:variant>
      <vt:variant>
        <vt:lpwstr>_Toc109720912</vt:lpwstr>
      </vt:variant>
      <vt:variant>
        <vt:i4>1114163</vt:i4>
      </vt:variant>
      <vt:variant>
        <vt:i4>29</vt:i4>
      </vt:variant>
      <vt:variant>
        <vt:i4>0</vt:i4>
      </vt:variant>
      <vt:variant>
        <vt:i4>5</vt:i4>
      </vt:variant>
      <vt:variant>
        <vt:lpwstr/>
      </vt:variant>
      <vt:variant>
        <vt:lpwstr>_Toc109720911</vt:lpwstr>
      </vt:variant>
      <vt:variant>
        <vt:i4>1114163</vt:i4>
      </vt:variant>
      <vt:variant>
        <vt:i4>26</vt:i4>
      </vt:variant>
      <vt:variant>
        <vt:i4>0</vt:i4>
      </vt:variant>
      <vt:variant>
        <vt:i4>5</vt:i4>
      </vt:variant>
      <vt:variant>
        <vt:lpwstr/>
      </vt:variant>
      <vt:variant>
        <vt:lpwstr>_Toc109720910</vt:lpwstr>
      </vt:variant>
      <vt:variant>
        <vt:i4>1048627</vt:i4>
      </vt:variant>
      <vt:variant>
        <vt:i4>23</vt:i4>
      </vt:variant>
      <vt:variant>
        <vt:i4>0</vt:i4>
      </vt:variant>
      <vt:variant>
        <vt:i4>5</vt:i4>
      </vt:variant>
      <vt:variant>
        <vt:lpwstr/>
      </vt:variant>
      <vt:variant>
        <vt:lpwstr>_Toc109720909</vt:lpwstr>
      </vt:variant>
      <vt:variant>
        <vt:i4>1048627</vt:i4>
      </vt:variant>
      <vt:variant>
        <vt:i4>20</vt:i4>
      </vt:variant>
      <vt:variant>
        <vt:i4>0</vt:i4>
      </vt:variant>
      <vt:variant>
        <vt:i4>5</vt:i4>
      </vt:variant>
      <vt:variant>
        <vt:lpwstr/>
      </vt:variant>
      <vt:variant>
        <vt:lpwstr>_Toc109720908</vt:lpwstr>
      </vt:variant>
      <vt:variant>
        <vt:i4>1048627</vt:i4>
      </vt:variant>
      <vt:variant>
        <vt:i4>17</vt:i4>
      </vt:variant>
      <vt:variant>
        <vt:i4>0</vt:i4>
      </vt:variant>
      <vt:variant>
        <vt:i4>5</vt:i4>
      </vt:variant>
      <vt:variant>
        <vt:lpwstr/>
      </vt:variant>
      <vt:variant>
        <vt:lpwstr>_Toc109720907</vt:lpwstr>
      </vt:variant>
      <vt:variant>
        <vt:i4>1048627</vt:i4>
      </vt:variant>
      <vt:variant>
        <vt:i4>14</vt:i4>
      </vt:variant>
      <vt:variant>
        <vt:i4>0</vt:i4>
      </vt:variant>
      <vt:variant>
        <vt:i4>5</vt:i4>
      </vt:variant>
      <vt:variant>
        <vt:lpwstr/>
      </vt:variant>
      <vt:variant>
        <vt:lpwstr>_Toc109720906</vt:lpwstr>
      </vt:variant>
      <vt:variant>
        <vt:i4>1048627</vt:i4>
      </vt:variant>
      <vt:variant>
        <vt:i4>11</vt:i4>
      </vt:variant>
      <vt:variant>
        <vt:i4>0</vt:i4>
      </vt:variant>
      <vt:variant>
        <vt:i4>5</vt:i4>
      </vt:variant>
      <vt:variant>
        <vt:lpwstr/>
      </vt:variant>
      <vt:variant>
        <vt:lpwstr>_Toc109720905</vt:lpwstr>
      </vt:variant>
      <vt:variant>
        <vt:i4>1048627</vt:i4>
      </vt:variant>
      <vt:variant>
        <vt:i4>8</vt:i4>
      </vt:variant>
      <vt:variant>
        <vt:i4>0</vt:i4>
      </vt:variant>
      <vt:variant>
        <vt:i4>5</vt:i4>
      </vt:variant>
      <vt:variant>
        <vt:lpwstr/>
      </vt:variant>
      <vt:variant>
        <vt:lpwstr>_Toc109720904</vt:lpwstr>
      </vt:variant>
      <vt:variant>
        <vt:i4>1048627</vt:i4>
      </vt:variant>
      <vt:variant>
        <vt:i4>5</vt:i4>
      </vt:variant>
      <vt:variant>
        <vt:i4>0</vt:i4>
      </vt:variant>
      <vt:variant>
        <vt:i4>5</vt:i4>
      </vt:variant>
      <vt:variant>
        <vt:lpwstr/>
      </vt:variant>
      <vt:variant>
        <vt:lpwstr>_Toc109720903</vt:lpwstr>
      </vt:variant>
      <vt:variant>
        <vt:i4>6422615</vt:i4>
      </vt:variant>
      <vt:variant>
        <vt:i4>0</vt:i4>
      </vt:variant>
      <vt:variant>
        <vt:i4>0</vt:i4>
      </vt:variant>
      <vt:variant>
        <vt:i4>5</vt:i4>
      </vt:variant>
      <vt:variant>
        <vt:lpwstr>mailto:a.how@uk.cdw.com</vt:lpwstr>
      </vt:variant>
      <vt:variant>
        <vt:lpwstr/>
      </vt:variant>
      <vt:variant>
        <vt:i4>6946889</vt:i4>
      </vt:variant>
      <vt:variant>
        <vt:i4>3</vt:i4>
      </vt:variant>
      <vt:variant>
        <vt:i4>0</vt:i4>
      </vt:variant>
      <vt:variant>
        <vt:i4>5</vt:i4>
      </vt:variant>
      <vt:variant>
        <vt:lpwstr>mailto:Will.Laing@beis.gov.uk</vt:lpwstr>
      </vt:variant>
      <vt:variant>
        <vt:lpwstr/>
      </vt:variant>
      <vt:variant>
        <vt:i4>6946889</vt:i4>
      </vt:variant>
      <vt:variant>
        <vt:i4>0</vt:i4>
      </vt:variant>
      <vt:variant>
        <vt:i4>0</vt:i4>
      </vt:variant>
      <vt:variant>
        <vt:i4>5</vt:i4>
      </vt:variant>
      <vt:variant>
        <vt:lpwstr>mailto:Will.Laing@beis.gov.uk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cp:lastModifiedBy>Reeder, William (Energy Security)</cp:lastModifiedBy>
  <cp:revision>4</cp:revision>
  <dcterms:created xsi:type="dcterms:W3CDTF">2023-12-15T14:48:00Z</dcterms:created>
  <dcterms:modified xsi:type="dcterms:W3CDTF">2023-12-15T15:03:00Z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2023-11-17T09:34:33Z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ff493598-d2ae-4346-b097-a3d900e8dbde</vt:lpwstr>
  </property>
  <property fmtid="{D5CDD505-2E9C-101B-9397-08002B2CF9AE}" pid="8" name="MSIP_Label_ba62f585-b40f-4ab9-bafe-39150f03d124_ContentBits">
    <vt:lpwstr>0</vt:lpwstr>
  </property>
  <property fmtid="{D5CDD505-2E9C-101B-9397-08002B2CF9AE}" pid="9" name="Business Unit">
    <vt:lpwstr>1;#BEIS|594de1fb-2f2e-49e8-a305-5172f7f325d0</vt:lpwstr>
  </property>
  <property fmtid="{D5CDD505-2E9C-101B-9397-08002B2CF9AE}" pid="10" name="ContentTypeId">
    <vt:lpwstr>0x010100B1C091BE59D47946BB6FB6B3075EA7B0</vt:lpwstr>
  </property>
  <property fmtid="{D5CDD505-2E9C-101B-9397-08002B2CF9AE}" pid="11" name="_dlc_DocIdItemGuid">
    <vt:lpwstr>d0a55975-8449-4ae7-bc22-684c96e3db03</vt:lpwstr>
  </property>
</Properties>
</file>