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EB04B0" w14:textId="77777777" w:rsidR="00FE4C2C" w:rsidRDefault="00432EDE">
      <w:r>
        <w:t xml:space="preserve"> </w:t>
      </w:r>
    </w:p>
    <w:p w14:paraId="201FA563" w14:textId="77777777" w:rsidR="00FE4C2C" w:rsidRDefault="00FE4C2C">
      <w:pPr>
        <w:rPr>
          <w:b/>
          <w:u w:val="single"/>
        </w:rPr>
      </w:pPr>
    </w:p>
    <w:tbl>
      <w:tblPr>
        <w:tblStyle w:val="TableGrid"/>
        <w:tblW w:w="0" w:type="auto"/>
        <w:tblLook w:val="04A0" w:firstRow="1" w:lastRow="0" w:firstColumn="1" w:lastColumn="0" w:noHBand="0" w:noVBand="1"/>
      </w:tblPr>
      <w:tblGrid>
        <w:gridCol w:w="1932"/>
        <w:gridCol w:w="7084"/>
      </w:tblGrid>
      <w:tr w:rsidR="00FE4C2C" w14:paraId="16C8F1F5" w14:textId="77777777">
        <w:tc>
          <w:tcPr>
            <w:tcW w:w="1951" w:type="dxa"/>
          </w:tcPr>
          <w:p w14:paraId="79188B72" w14:textId="77777777" w:rsidR="00FE4C2C" w:rsidRDefault="00432EDE">
            <w:pPr>
              <w:rPr>
                <w:b/>
                <w:sz w:val="28"/>
                <w:szCs w:val="28"/>
                <w:u w:val="single"/>
              </w:rPr>
            </w:pPr>
            <w:r>
              <w:rPr>
                <w:b/>
                <w:sz w:val="28"/>
                <w:szCs w:val="28"/>
                <w:u w:val="single"/>
              </w:rPr>
              <w:t xml:space="preserve">Company Name </w:t>
            </w:r>
          </w:p>
          <w:p w14:paraId="3DAA955E" w14:textId="77777777" w:rsidR="00FE4C2C" w:rsidRDefault="00432EDE">
            <w:pPr>
              <w:rPr>
                <w:sz w:val="28"/>
                <w:szCs w:val="28"/>
              </w:rPr>
            </w:pPr>
            <w:r>
              <w:rPr>
                <w:sz w:val="28"/>
                <w:szCs w:val="28"/>
              </w:rPr>
              <w:t>Address</w:t>
            </w:r>
          </w:p>
          <w:p w14:paraId="543101DA" w14:textId="77777777" w:rsidR="00FE4C2C" w:rsidRDefault="00432EDE">
            <w:pPr>
              <w:rPr>
                <w:sz w:val="28"/>
                <w:szCs w:val="28"/>
              </w:rPr>
            </w:pPr>
            <w:r>
              <w:rPr>
                <w:sz w:val="28"/>
                <w:szCs w:val="28"/>
              </w:rPr>
              <w:t>Telephone</w:t>
            </w:r>
          </w:p>
          <w:p w14:paraId="7720E5B4" w14:textId="77777777" w:rsidR="00FE4C2C" w:rsidRDefault="00432EDE">
            <w:pPr>
              <w:rPr>
                <w:b/>
                <w:sz w:val="28"/>
                <w:szCs w:val="28"/>
              </w:rPr>
            </w:pPr>
            <w:r>
              <w:rPr>
                <w:sz w:val="28"/>
                <w:szCs w:val="28"/>
              </w:rPr>
              <w:t>Contact Name</w:t>
            </w:r>
          </w:p>
        </w:tc>
        <w:tc>
          <w:tcPr>
            <w:tcW w:w="7291" w:type="dxa"/>
          </w:tcPr>
          <w:p w14:paraId="44191E9B" w14:textId="77777777" w:rsidR="00FE4C2C" w:rsidRDefault="00432EDE">
            <w:pPr>
              <w:rPr>
                <w:b/>
                <w:sz w:val="28"/>
                <w:szCs w:val="28"/>
              </w:rPr>
            </w:pPr>
            <w:r>
              <w:rPr>
                <w:b/>
                <w:sz w:val="28"/>
                <w:szCs w:val="28"/>
              </w:rPr>
              <w:t>Swanley Town Council</w:t>
            </w:r>
          </w:p>
          <w:p w14:paraId="12B7EFA9" w14:textId="77777777" w:rsidR="00FE4C2C" w:rsidRDefault="00432EDE">
            <w:pPr>
              <w:rPr>
                <w:b/>
                <w:sz w:val="28"/>
                <w:szCs w:val="28"/>
              </w:rPr>
            </w:pPr>
            <w:r>
              <w:rPr>
                <w:b/>
                <w:sz w:val="28"/>
                <w:szCs w:val="28"/>
              </w:rPr>
              <w:t>St Mary’s Road, Swanley, Kent, BR8 7BU</w:t>
            </w:r>
          </w:p>
          <w:p w14:paraId="3571E795" w14:textId="77777777" w:rsidR="00FE4C2C" w:rsidRDefault="00432EDE">
            <w:pPr>
              <w:rPr>
                <w:b/>
                <w:sz w:val="28"/>
                <w:szCs w:val="28"/>
              </w:rPr>
            </w:pPr>
            <w:r>
              <w:rPr>
                <w:b/>
                <w:sz w:val="28"/>
                <w:szCs w:val="28"/>
              </w:rPr>
              <w:t>01322 665855</w:t>
            </w:r>
          </w:p>
          <w:p w14:paraId="6DCE1A04" w14:textId="357C50FB" w:rsidR="00FE4C2C" w:rsidRDefault="009F449C">
            <w:pPr>
              <w:rPr>
                <w:b/>
                <w:sz w:val="28"/>
                <w:szCs w:val="28"/>
              </w:rPr>
            </w:pPr>
            <w:r>
              <w:rPr>
                <w:b/>
                <w:sz w:val="28"/>
                <w:szCs w:val="28"/>
              </w:rPr>
              <w:t xml:space="preserve">Adele Farrier </w:t>
            </w:r>
          </w:p>
        </w:tc>
      </w:tr>
      <w:tr w:rsidR="00FE4C2C" w14:paraId="696E4055" w14:textId="77777777">
        <w:trPr>
          <w:trHeight w:val="607"/>
        </w:trPr>
        <w:tc>
          <w:tcPr>
            <w:tcW w:w="1951" w:type="dxa"/>
          </w:tcPr>
          <w:p w14:paraId="35F70A10" w14:textId="77777777" w:rsidR="00FE4C2C" w:rsidRDefault="00432EDE">
            <w:pPr>
              <w:rPr>
                <w:b/>
                <w:sz w:val="28"/>
                <w:szCs w:val="28"/>
                <w:u w:val="single"/>
              </w:rPr>
            </w:pPr>
            <w:r>
              <w:rPr>
                <w:b/>
                <w:sz w:val="28"/>
                <w:szCs w:val="28"/>
                <w:u w:val="single"/>
              </w:rPr>
              <w:t xml:space="preserve">Signed </w:t>
            </w:r>
          </w:p>
        </w:tc>
        <w:tc>
          <w:tcPr>
            <w:tcW w:w="7291" w:type="dxa"/>
          </w:tcPr>
          <w:p w14:paraId="6149DB48" w14:textId="54FF1934" w:rsidR="00FE4C2C" w:rsidRDefault="00FE4C2C">
            <w:pPr>
              <w:rPr>
                <w:i/>
                <w:sz w:val="28"/>
                <w:szCs w:val="28"/>
              </w:rPr>
            </w:pPr>
          </w:p>
        </w:tc>
      </w:tr>
      <w:tr w:rsidR="00FE4C2C" w14:paraId="446836AC" w14:textId="77777777">
        <w:tc>
          <w:tcPr>
            <w:tcW w:w="1951" w:type="dxa"/>
          </w:tcPr>
          <w:p w14:paraId="45A6DB4A" w14:textId="77777777" w:rsidR="00FE4C2C" w:rsidRDefault="00432EDE">
            <w:pPr>
              <w:rPr>
                <w:b/>
                <w:sz w:val="28"/>
                <w:szCs w:val="28"/>
                <w:u w:val="single"/>
              </w:rPr>
            </w:pPr>
            <w:r>
              <w:rPr>
                <w:b/>
                <w:sz w:val="28"/>
                <w:szCs w:val="28"/>
                <w:u w:val="single"/>
              </w:rPr>
              <w:t xml:space="preserve">Spec req’d </w:t>
            </w:r>
            <w:proofErr w:type="gramStart"/>
            <w:r>
              <w:rPr>
                <w:b/>
                <w:sz w:val="28"/>
                <w:szCs w:val="28"/>
                <w:u w:val="single"/>
              </w:rPr>
              <w:t>by :</w:t>
            </w:r>
            <w:proofErr w:type="gramEnd"/>
          </w:p>
        </w:tc>
        <w:tc>
          <w:tcPr>
            <w:tcW w:w="7291" w:type="dxa"/>
          </w:tcPr>
          <w:p w14:paraId="2D377AA1" w14:textId="3A143B22" w:rsidR="00FE4C2C" w:rsidRDefault="009F449C">
            <w:pPr>
              <w:rPr>
                <w:sz w:val="28"/>
                <w:szCs w:val="28"/>
              </w:rPr>
            </w:pPr>
            <w:r>
              <w:rPr>
                <w:sz w:val="28"/>
                <w:szCs w:val="28"/>
              </w:rPr>
              <w:t>4</w:t>
            </w:r>
            <w:r w:rsidRPr="009F449C">
              <w:rPr>
                <w:sz w:val="28"/>
                <w:szCs w:val="28"/>
                <w:vertAlign w:val="superscript"/>
              </w:rPr>
              <w:t>th</w:t>
            </w:r>
            <w:r>
              <w:rPr>
                <w:sz w:val="28"/>
                <w:szCs w:val="28"/>
              </w:rPr>
              <w:t xml:space="preserve"> November</w:t>
            </w:r>
            <w:r w:rsidR="00432EDE">
              <w:rPr>
                <w:sz w:val="28"/>
                <w:szCs w:val="28"/>
              </w:rPr>
              <w:t xml:space="preserve"> 202</w:t>
            </w:r>
            <w:r>
              <w:rPr>
                <w:sz w:val="28"/>
                <w:szCs w:val="28"/>
              </w:rPr>
              <w:t>4</w:t>
            </w:r>
          </w:p>
        </w:tc>
      </w:tr>
    </w:tbl>
    <w:p w14:paraId="6D06498F" w14:textId="77777777" w:rsidR="00FE4C2C" w:rsidRDefault="00FE4C2C">
      <w:pPr>
        <w:rPr>
          <w:b/>
          <w:sz w:val="28"/>
          <w:szCs w:val="28"/>
          <w:u w:val="single"/>
        </w:rPr>
      </w:pPr>
    </w:p>
    <w:p w14:paraId="2540F46D" w14:textId="77777777" w:rsidR="00FE4C2C" w:rsidRDefault="00432EDE">
      <w:pPr>
        <w:rPr>
          <w:b/>
          <w:u w:val="single"/>
        </w:rPr>
      </w:pPr>
      <w:r>
        <w:rPr>
          <w:b/>
          <w:sz w:val="28"/>
          <w:szCs w:val="28"/>
          <w:u w:val="single"/>
        </w:rPr>
        <w:t xml:space="preserve">Description of Work recommended </w:t>
      </w:r>
      <w:r>
        <w:rPr>
          <w:b/>
          <w:sz w:val="28"/>
          <w:szCs w:val="28"/>
        </w:rPr>
        <w:tab/>
      </w:r>
      <w:r>
        <w:rPr>
          <w:b/>
          <w:sz w:val="28"/>
          <w:szCs w:val="28"/>
        </w:rPr>
        <w:tab/>
      </w:r>
      <w:r>
        <w:rPr>
          <w:b/>
          <w:sz w:val="28"/>
          <w:szCs w:val="28"/>
        </w:rPr>
        <w:tab/>
      </w:r>
      <w:r>
        <w:rPr>
          <w:b/>
          <w:sz w:val="28"/>
          <w:szCs w:val="28"/>
        </w:rPr>
        <w:tab/>
        <w:t>Qty</w:t>
      </w:r>
      <w:r>
        <w:rPr>
          <w:b/>
        </w:rPr>
        <w:tab/>
      </w:r>
      <w:r>
        <w:rPr>
          <w:b/>
          <w:u w:val="single"/>
        </w:rPr>
        <w:t xml:space="preserve"> </w:t>
      </w:r>
    </w:p>
    <w:tbl>
      <w:tblPr>
        <w:tblStyle w:val="TableGrid"/>
        <w:tblW w:w="0" w:type="auto"/>
        <w:tblLook w:val="04A0" w:firstRow="1" w:lastRow="0" w:firstColumn="1" w:lastColumn="0" w:noHBand="0" w:noVBand="1"/>
      </w:tblPr>
      <w:tblGrid>
        <w:gridCol w:w="5795"/>
        <w:gridCol w:w="3221"/>
      </w:tblGrid>
      <w:tr w:rsidR="0015356F" w14:paraId="4FB9CACD" w14:textId="77777777" w:rsidTr="00830D0B">
        <w:tc>
          <w:tcPr>
            <w:tcW w:w="5795" w:type="dxa"/>
          </w:tcPr>
          <w:p w14:paraId="47EDCEA4" w14:textId="77777777" w:rsidR="0015356F" w:rsidRDefault="0015356F">
            <w:pPr>
              <w:pStyle w:val="ListParagraph"/>
              <w:numPr>
                <w:ilvl w:val="0"/>
                <w:numId w:val="1"/>
              </w:numPr>
              <w:rPr>
                <w:b/>
                <w:u w:val="single"/>
              </w:rPr>
            </w:pPr>
          </w:p>
          <w:p w14:paraId="091D49A4" w14:textId="77F46BE4" w:rsidR="0015356F" w:rsidRDefault="0015356F">
            <w:pPr>
              <w:pStyle w:val="ListParagraph"/>
              <w:rPr>
                <w:b/>
                <w:u w:val="single"/>
              </w:rPr>
            </w:pPr>
            <w:r>
              <w:rPr>
                <w:rFonts w:ascii="Arial" w:eastAsia="Times New Roman" w:hAnsi="Arial" w:cs="Arial"/>
                <w:b/>
                <w:sz w:val="24"/>
                <w:szCs w:val="24"/>
              </w:rPr>
              <w:t>Firework Night 2025</w:t>
            </w:r>
          </w:p>
          <w:p w14:paraId="439EC6CF" w14:textId="77777777" w:rsidR="0015356F" w:rsidRDefault="0015356F">
            <w:r>
              <w:rPr>
                <w:rFonts w:ascii="Arial" w:eastAsia="Times New Roman" w:hAnsi="Arial" w:cs="Arial"/>
                <w:sz w:val="24"/>
                <w:szCs w:val="24"/>
              </w:rPr>
              <w:t xml:space="preserve">To organise a fireworks display starting at 7.30pm to last a minimum of 20 minutes. The display will be viewed from the recreation ground in St Mary’s Road Swanley. The display must be mainly </w:t>
            </w:r>
            <w:proofErr w:type="gramStart"/>
            <w:r>
              <w:rPr>
                <w:rFonts w:ascii="Arial" w:eastAsia="Times New Roman" w:hAnsi="Arial" w:cs="Arial"/>
                <w:sz w:val="24"/>
                <w:szCs w:val="24"/>
              </w:rPr>
              <w:t>high level</w:t>
            </w:r>
            <w:proofErr w:type="gramEnd"/>
            <w:r>
              <w:rPr>
                <w:rFonts w:ascii="Arial" w:eastAsia="Times New Roman" w:hAnsi="Arial" w:cs="Arial"/>
                <w:sz w:val="24"/>
                <w:szCs w:val="24"/>
              </w:rPr>
              <w:t xml:space="preserve"> aerial displays as there are trees between the firing area and viewing area. The firing area will be in the grounds of St Mary’s School playing fields adjacent to the Recreation Ground</w:t>
            </w:r>
          </w:p>
          <w:p w14:paraId="3D3DCFD0" w14:textId="77777777" w:rsidR="0015356F" w:rsidRDefault="0015356F"/>
          <w:p w14:paraId="075A2586" w14:textId="77777777" w:rsidR="0015356F" w:rsidRDefault="0015356F"/>
        </w:tc>
        <w:tc>
          <w:tcPr>
            <w:tcW w:w="3221" w:type="dxa"/>
          </w:tcPr>
          <w:p w14:paraId="08C6DA85" w14:textId="565FBCF2" w:rsidR="0015356F" w:rsidRDefault="0015356F">
            <w:pPr>
              <w:rPr>
                <w:b/>
                <w:u w:val="single"/>
              </w:rPr>
            </w:pPr>
          </w:p>
        </w:tc>
      </w:tr>
      <w:tr w:rsidR="0015356F" w14:paraId="11DAE6EF" w14:textId="77777777" w:rsidTr="00BC34C1">
        <w:tc>
          <w:tcPr>
            <w:tcW w:w="5795" w:type="dxa"/>
          </w:tcPr>
          <w:p w14:paraId="25A5F3F0" w14:textId="77777777" w:rsidR="0015356F" w:rsidRDefault="0015356F">
            <w:pPr>
              <w:pStyle w:val="ListParagraph"/>
              <w:numPr>
                <w:ilvl w:val="0"/>
                <w:numId w:val="1"/>
              </w:numPr>
              <w:rPr>
                <w:b/>
                <w:u w:val="single"/>
              </w:rPr>
            </w:pPr>
          </w:p>
          <w:p w14:paraId="6A8C1361" w14:textId="77777777" w:rsidR="0015356F" w:rsidRDefault="0015356F">
            <w:pPr>
              <w:pStyle w:val="ListParagraph"/>
              <w:rPr>
                <w:b/>
                <w:u w:val="single"/>
              </w:rPr>
            </w:pPr>
            <w:r>
              <w:rPr>
                <w:rFonts w:ascii="Arial" w:eastAsia="Times New Roman" w:hAnsi="Arial" w:cs="Arial"/>
                <w:b/>
                <w:sz w:val="24"/>
                <w:szCs w:val="24"/>
              </w:rPr>
              <w:t xml:space="preserve">1812 Concert with </w:t>
            </w:r>
            <w:proofErr w:type="gramStart"/>
            <w:r>
              <w:rPr>
                <w:rFonts w:ascii="Arial" w:eastAsia="Times New Roman" w:hAnsi="Arial" w:cs="Arial"/>
                <w:b/>
                <w:sz w:val="24"/>
                <w:szCs w:val="24"/>
              </w:rPr>
              <w:t>Fireworks  Night</w:t>
            </w:r>
            <w:proofErr w:type="gramEnd"/>
          </w:p>
          <w:p w14:paraId="1AD05E3C" w14:textId="77777777" w:rsidR="0015356F" w:rsidRDefault="0015356F">
            <w:pPr>
              <w:ind w:left="720"/>
              <w:rPr>
                <w:rFonts w:ascii="Arial" w:eastAsia="Times New Roman" w:hAnsi="Arial" w:cs="Arial"/>
                <w:sz w:val="24"/>
                <w:szCs w:val="24"/>
              </w:rPr>
            </w:pPr>
            <w:r>
              <w:rPr>
                <w:rFonts w:ascii="Arial" w:eastAsia="Times New Roman" w:hAnsi="Arial" w:cs="Arial"/>
                <w:sz w:val="24"/>
                <w:szCs w:val="24"/>
              </w:rPr>
              <w:t xml:space="preserve">To organise a </w:t>
            </w:r>
            <w:proofErr w:type="gramStart"/>
            <w:r>
              <w:rPr>
                <w:rFonts w:ascii="Arial" w:eastAsia="Times New Roman" w:hAnsi="Arial" w:cs="Arial"/>
                <w:sz w:val="24"/>
                <w:szCs w:val="24"/>
              </w:rPr>
              <w:t>firework</w:t>
            </w:r>
            <w:proofErr w:type="gramEnd"/>
            <w:r>
              <w:rPr>
                <w:rFonts w:ascii="Arial" w:eastAsia="Times New Roman" w:hAnsi="Arial" w:cs="Arial"/>
                <w:sz w:val="24"/>
                <w:szCs w:val="24"/>
              </w:rPr>
              <w:t xml:space="preserve"> display of approximately 20 minutes at the summer concert in Swanley Park. There is a requirement for the fireworks display to be set-off to coincide with the music of the last two musical scores, the “1812 Overture” followed by further fireworks during the playing of “Land of Hope and Glory”.</w:t>
            </w:r>
          </w:p>
          <w:p w14:paraId="46BBF026" w14:textId="77777777" w:rsidR="0015356F" w:rsidRDefault="0015356F">
            <w:pPr>
              <w:ind w:left="720"/>
              <w:rPr>
                <w:rFonts w:ascii="Arial" w:eastAsia="Times New Roman" w:hAnsi="Arial" w:cs="Arial"/>
                <w:sz w:val="24"/>
                <w:szCs w:val="24"/>
              </w:rPr>
            </w:pPr>
          </w:p>
          <w:p w14:paraId="32F8BF2B" w14:textId="77777777" w:rsidR="0015356F" w:rsidRDefault="0015356F">
            <w:pPr>
              <w:ind w:left="720"/>
              <w:rPr>
                <w:rFonts w:ascii="Arial" w:eastAsia="Times New Roman" w:hAnsi="Arial" w:cs="Arial"/>
                <w:sz w:val="24"/>
                <w:szCs w:val="24"/>
              </w:rPr>
            </w:pPr>
            <w:r>
              <w:rPr>
                <w:rFonts w:ascii="Arial" w:eastAsia="Times New Roman" w:hAnsi="Arial" w:cs="Arial"/>
                <w:sz w:val="24"/>
                <w:szCs w:val="24"/>
              </w:rPr>
              <w:t>The timings and length of the music is specified by the concert band and will form the basis of the display. Musical timings and length of actual display will be discussed with the concert band and Swanley Town Council prior to the evening and details agreed with the successful company. The fireworks are usually fired at approximately 8.45pm and last approximately 15-20 minutes in total.</w:t>
            </w:r>
          </w:p>
          <w:p w14:paraId="0BCA948A" w14:textId="77777777" w:rsidR="0015356F" w:rsidRDefault="0015356F">
            <w:pPr>
              <w:ind w:left="720"/>
              <w:rPr>
                <w:rFonts w:ascii="Arial" w:eastAsia="Times New Roman" w:hAnsi="Arial" w:cs="Arial"/>
                <w:sz w:val="24"/>
                <w:szCs w:val="24"/>
              </w:rPr>
            </w:pPr>
          </w:p>
          <w:p w14:paraId="75B12348" w14:textId="77777777" w:rsidR="0015356F" w:rsidRDefault="0015356F">
            <w:pPr>
              <w:ind w:left="720"/>
              <w:rPr>
                <w:rFonts w:ascii="Arial" w:eastAsia="Times New Roman" w:hAnsi="Arial" w:cs="Arial"/>
                <w:sz w:val="24"/>
                <w:szCs w:val="24"/>
              </w:rPr>
            </w:pPr>
            <w:r>
              <w:rPr>
                <w:rFonts w:ascii="Arial" w:eastAsia="Times New Roman" w:hAnsi="Arial" w:cs="Arial"/>
                <w:sz w:val="24"/>
                <w:szCs w:val="24"/>
              </w:rPr>
              <w:lastRenderedPageBreak/>
              <w:t>This event is always held on the Friday before the August bank holiday.</w:t>
            </w:r>
          </w:p>
          <w:p w14:paraId="27A3875B" w14:textId="77777777" w:rsidR="0015356F" w:rsidRDefault="0015356F"/>
          <w:p w14:paraId="478C6DD3" w14:textId="77777777" w:rsidR="0015356F" w:rsidRDefault="0015356F"/>
        </w:tc>
        <w:tc>
          <w:tcPr>
            <w:tcW w:w="3221" w:type="dxa"/>
          </w:tcPr>
          <w:p w14:paraId="54EC8C9B" w14:textId="242D5E28" w:rsidR="0015356F" w:rsidRDefault="0015356F">
            <w:pPr>
              <w:rPr>
                <w:b/>
                <w:u w:val="single"/>
              </w:rPr>
            </w:pPr>
          </w:p>
        </w:tc>
      </w:tr>
      <w:tr w:rsidR="0015356F" w14:paraId="4C904A8F" w14:textId="77777777" w:rsidTr="00F213F1">
        <w:tc>
          <w:tcPr>
            <w:tcW w:w="5795" w:type="dxa"/>
          </w:tcPr>
          <w:p w14:paraId="15DA2363" w14:textId="77777777" w:rsidR="0015356F" w:rsidRDefault="0015356F">
            <w:pPr>
              <w:pStyle w:val="ListParagraph"/>
              <w:numPr>
                <w:ilvl w:val="0"/>
                <w:numId w:val="1"/>
              </w:numPr>
              <w:rPr>
                <w:b/>
                <w:u w:val="single"/>
              </w:rPr>
            </w:pPr>
          </w:p>
          <w:p w14:paraId="6C8C4828" w14:textId="77777777" w:rsidR="0015356F" w:rsidRDefault="0015356F">
            <w:pPr>
              <w:pStyle w:val="ListParagraph"/>
              <w:rPr>
                <w:b/>
                <w:u w:val="single"/>
              </w:rPr>
            </w:pPr>
            <w:r>
              <w:rPr>
                <w:rFonts w:ascii="Arial" w:eastAsia="Times New Roman" w:hAnsi="Arial" w:cs="Arial"/>
                <w:b/>
                <w:sz w:val="24"/>
                <w:szCs w:val="24"/>
              </w:rPr>
              <w:t>11</w:t>
            </w:r>
            <w:r>
              <w:rPr>
                <w:rFonts w:ascii="Arial" w:eastAsia="Times New Roman" w:hAnsi="Arial" w:cs="Arial"/>
                <w:b/>
                <w:sz w:val="24"/>
                <w:szCs w:val="24"/>
                <w:vertAlign w:val="superscript"/>
              </w:rPr>
              <w:t>th</w:t>
            </w:r>
            <w:r>
              <w:rPr>
                <w:rFonts w:ascii="Arial" w:eastAsia="Times New Roman" w:hAnsi="Arial" w:cs="Arial"/>
                <w:b/>
                <w:sz w:val="24"/>
                <w:szCs w:val="24"/>
              </w:rPr>
              <w:t xml:space="preserve"> November Remembrance Day</w:t>
            </w:r>
            <w:r>
              <w:rPr>
                <w:rFonts w:ascii="Arial" w:eastAsia="Times New Roman" w:hAnsi="Arial" w:cs="Arial"/>
                <w:sz w:val="24"/>
                <w:szCs w:val="24"/>
              </w:rPr>
              <w:t xml:space="preserve">. </w:t>
            </w:r>
          </w:p>
          <w:p w14:paraId="5CB91367" w14:textId="77777777" w:rsidR="0015356F" w:rsidRDefault="0015356F">
            <w:pPr>
              <w:ind w:left="720"/>
              <w:rPr>
                <w:rFonts w:ascii="Arial" w:eastAsia="Times New Roman" w:hAnsi="Arial" w:cs="Arial"/>
                <w:sz w:val="24"/>
                <w:szCs w:val="24"/>
              </w:rPr>
            </w:pPr>
            <w:r>
              <w:rPr>
                <w:rFonts w:ascii="Arial" w:eastAsia="Times New Roman" w:hAnsi="Arial" w:cs="Arial"/>
                <w:sz w:val="24"/>
                <w:szCs w:val="24"/>
              </w:rPr>
              <w:t>The Council also wishes to receive as an option the firing of maroons in Swanley Park or St Mary’s Recreation Ground on 11</w:t>
            </w:r>
            <w:r>
              <w:rPr>
                <w:rFonts w:ascii="Arial" w:eastAsia="Times New Roman" w:hAnsi="Arial" w:cs="Arial"/>
                <w:sz w:val="24"/>
                <w:szCs w:val="24"/>
                <w:vertAlign w:val="superscript"/>
              </w:rPr>
              <w:t>th</w:t>
            </w:r>
            <w:r>
              <w:rPr>
                <w:rFonts w:ascii="Arial" w:eastAsia="Times New Roman" w:hAnsi="Arial" w:cs="Arial"/>
                <w:sz w:val="24"/>
                <w:szCs w:val="24"/>
              </w:rPr>
              <w:t xml:space="preserve"> November to signal 2 minutes silence. The first maroons to be fired at 11.00am to mark the start and again at 11.02am to mark the end of the 2 minutes silence.</w:t>
            </w:r>
          </w:p>
          <w:p w14:paraId="432A2D69" w14:textId="77777777" w:rsidR="0015356F" w:rsidRDefault="0015356F"/>
        </w:tc>
        <w:tc>
          <w:tcPr>
            <w:tcW w:w="3221" w:type="dxa"/>
          </w:tcPr>
          <w:p w14:paraId="7CC5D52E" w14:textId="76DBF8F2" w:rsidR="0015356F" w:rsidRDefault="0015356F">
            <w:pPr>
              <w:rPr>
                <w:b/>
                <w:u w:val="single"/>
              </w:rPr>
            </w:pPr>
          </w:p>
        </w:tc>
      </w:tr>
      <w:tr w:rsidR="0015356F" w14:paraId="2809480A" w14:textId="77777777" w:rsidTr="00B84EAB">
        <w:tc>
          <w:tcPr>
            <w:tcW w:w="5795" w:type="dxa"/>
          </w:tcPr>
          <w:p w14:paraId="56892BBC" w14:textId="77777777" w:rsidR="0015356F" w:rsidRDefault="0015356F">
            <w:pPr>
              <w:rPr>
                <w:b/>
                <w:sz w:val="32"/>
                <w:szCs w:val="32"/>
                <w:u w:val="single"/>
              </w:rPr>
            </w:pPr>
            <w:r>
              <w:rPr>
                <w:b/>
                <w:sz w:val="32"/>
                <w:szCs w:val="32"/>
                <w:u w:val="single"/>
              </w:rPr>
              <w:t xml:space="preserve">Additional </w:t>
            </w:r>
            <w:proofErr w:type="gramStart"/>
            <w:r>
              <w:rPr>
                <w:b/>
                <w:sz w:val="32"/>
                <w:szCs w:val="32"/>
                <w:u w:val="single"/>
              </w:rPr>
              <w:t>Comments :</w:t>
            </w:r>
            <w:proofErr w:type="gramEnd"/>
            <w:r>
              <w:rPr>
                <w:b/>
                <w:sz w:val="32"/>
                <w:szCs w:val="32"/>
                <w:u w:val="single"/>
              </w:rPr>
              <w:t xml:space="preserve"> </w:t>
            </w:r>
          </w:p>
          <w:p w14:paraId="675FB8B1" w14:textId="77777777" w:rsidR="0015356F" w:rsidRDefault="0015356F">
            <w:pPr>
              <w:rPr>
                <w:b/>
              </w:rPr>
            </w:pPr>
            <w:r>
              <w:rPr>
                <w:rFonts w:ascii="Arial" w:eastAsia="Times New Roman" w:hAnsi="Arial" w:cs="Arial"/>
                <w:b/>
                <w:sz w:val="24"/>
                <w:szCs w:val="24"/>
              </w:rPr>
              <w:t>The successful applicant will be required to provide public liability insurance, minimum cover of £10,000,000 and be required to carry out and provide a full risk assessment of all elements required above</w:t>
            </w:r>
          </w:p>
          <w:p w14:paraId="5E3D3FA2" w14:textId="77777777" w:rsidR="0015356F" w:rsidRDefault="0015356F">
            <w:pPr>
              <w:rPr>
                <w:b/>
                <w:u w:val="single"/>
              </w:rPr>
            </w:pPr>
          </w:p>
          <w:p w14:paraId="6EBF01D1" w14:textId="77777777" w:rsidR="0015356F" w:rsidRDefault="0015356F">
            <w:pPr>
              <w:rPr>
                <w:b/>
                <w:u w:val="single"/>
              </w:rPr>
            </w:pPr>
          </w:p>
          <w:p w14:paraId="30B59235" w14:textId="77777777" w:rsidR="0015356F" w:rsidRDefault="0015356F">
            <w:pPr>
              <w:rPr>
                <w:b/>
                <w:u w:val="single"/>
              </w:rPr>
            </w:pPr>
          </w:p>
          <w:p w14:paraId="40B6C8A8" w14:textId="77777777" w:rsidR="0015356F" w:rsidRDefault="0015356F">
            <w:pPr>
              <w:rPr>
                <w:b/>
                <w:u w:val="single"/>
              </w:rPr>
            </w:pPr>
          </w:p>
        </w:tc>
        <w:tc>
          <w:tcPr>
            <w:tcW w:w="3221" w:type="dxa"/>
          </w:tcPr>
          <w:p w14:paraId="0F86236A" w14:textId="77777777" w:rsidR="0015356F" w:rsidRDefault="0015356F">
            <w:pPr>
              <w:rPr>
                <w:b/>
                <w:u w:val="single"/>
              </w:rPr>
            </w:pPr>
          </w:p>
        </w:tc>
      </w:tr>
      <w:tr w:rsidR="0015356F" w14:paraId="149B3053" w14:textId="77777777" w:rsidTr="00E3255C">
        <w:tc>
          <w:tcPr>
            <w:tcW w:w="5795" w:type="dxa"/>
          </w:tcPr>
          <w:p w14:paraId="071D79C2" w14:textId="77777777" w:rsidR="0015356F" w:rsidRDefault="0015356F">
            <w:pPr>
              <w:jc w:val="right"/>
              <w:rPr>
                <w:b/>
                <w:sz w:val="32"/>
                <w:szCs w:val="32"/>
                <w:u w:val="single"/>
              </w:rPr>
            </w:pPr>
            <w:r>
              <w:rPr>
                <w:b/>
                <w:sz w:val="32"/>
                <w:szCs w:val="32"/>
                <w:u w:val="single"/>
              </w:rPr>
              <w:t xml:space="preserve">Total for works </w:t>
            </w:r>
          </w:p>
          <w:p w14:paraId="10D4BDF4" w14:textId="77777777" w:rsidR="0015356F" w:rsidRDefault="0015356F">
            <w:pPr>
              <w:jc w:val="right"/>
              <w:rPr>
                <w:b/>
                <w:sz w:val="32"/>
                <w:szCs w:val="32"/>
                <w:u w:val="single"/>
              </w:rPr>
            </w:pPr>
            <w:r>
              <w:rPr>
                <w:b/>
                <w:sz w:val="32"/>
                <w:szCs w:val="32"/>
                <w:u w:val="single"/>
              </w:rPr>
              <w:t xml:space="preserve">VAT </w:t>
            </w:r>
          </w:p>
          <w:p w14:paraId="4C87EF24" w14:textId="77777777" w:rsidR="0015356F" w:rsidRDefault="0015356F">
            <w:pPr>
              <w:jc w:val="right"/>
              <w:rPr>
                <w:b/>
                <w:u w:val="single"/>
              </w:rPr>
            </w:pPr>
            <w:r>
              <w:rPr>
                <w:b/>
                <w:sz w:val="32"/>
                <w:szCs w:val="32"/>
                <w:u w:val="single"/>
              </w:rPr>
              <w:t>Grand Total</w:t>
            </w:r>
          </w:p>
        </w:tc>
        <w:tc>
          <w:tcPr>
            <w:tcW w:w="3221" w:type="dxa"/>
          </w:tcPr>
          <w:p w14:paraId="648D1CEA" w14:textId="77777777" w:rsidR="0015356F" w:rsidRDefault="0015356F">
            <w:pPr>
              <w:rPr>
                <w:b/>
                <w:u w:val="single"/>
              </w:rPr>
            </w:pPr>
          </w:p>
        </w:tc>
      </w:tr>
    </w:tbl>
    <w:p w14:paraId="2099A889" w14:textId="77777777" w:rsidR="00FE4C2C" w:rsidRDefault="00FE4C2C">
      <w:pPr>
        <w:rPr>
          <w:b/>
          <w:u w:val="single"/>
        </w:rPr>
      </w:pPr>
    </w:p>
    <w:p w14:paraId="41E35514" w14:textId="75ACA529" w:rsidR="00FE4C2C" w:rsidRPr="009F449C" w:rsidRDefault="009F449C">
      <w:pPr>
        <w:rPr>
          <w:b/>
          <w:sz w:val="28"/>
          <w:szCs w:val="28"/>
          <w:u w:val="single"/>
        </w:rPr>
      </w:pPr>
      <w:r w:rsidRPr="009F449C">
        <w:rPr>
          <w:b/>
          <w:sz w:val="28"/>
          <w:szCs w:val="28"/>
          <w:u w:val="single"/>
        </w:rPr>
        <w:t>*Note this is a three-year contract at the price tendered for*</w:t>
      </w:r>
    </w:p>
    <w:p w14:paraId="4943BAC7" w14:textId="77777777" w:rsidR="00FE4C2C" w:rsidRDefault="00FE4C2C">
      <w:pPr>
        <w:rPr>
          <w:b/>
          <w:u w:val="single"/>
        </w:rPr>
      </w:pPr>
    </w:p>
    <w:sectPr w:rsidR="00FE4C2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AD6E28" w14:textId="77777777" w:rsidR="00961950" w:rsidRDefault="00432EDE">
      <w:pPr>
        <w:spacing w:line="240" w:lineRule="auto"/>
      </w:pPr>
      <w:r>
        <w:separator/>
      </w:r>
    </w:p>
  </w:endnote>
  <w:endnote w:type="continuationSeparator" w:id="0">
    <w:p w14:paraId="46F9DAEE" w14:textId="77777777" w:rsidR="00961950" w:rsidRDefault="00432E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614E51" w14:textId="77777777" w:rsidR="00961950" w:rsidRDefault="00432EDE">
      <w:pPr>
        <w:spacing w:line="240" w:lineRule="auto"/>
      </w:pPr>
      <w:r>
        <w:separator/>
      </w:r>
    </w:p>
  </w:footnote>
  <w:footnote w:type="continuationSeparator" w:id="0">
    <w:p w14:paraId="73D4C7F3" w14:textId="77777777" w:rsidR="00961950" w:rsidRDefault="00432E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36C24" w14:textId="77777777" w:rsidR="00FE4C2C" w:rsidRDefault="00432EDE">
    <w:pPr>
      <w:pStyle w:val="Header"/>
      <w:jc w:val="center"/>
    </w:pPr>
    <w:r>
      <w:rPr>
        <w:noProof/>
        <w:lang w:eastAsia="en-GB"/>
      </w:rPr>
      <w:drawing>
        <wp:inline distT="0" distB="0" distL="0" distR="0" wp14:anchorId="58203AAF" wp14:editId="677836DF">
          <wp:extent cx="711333" cy="608723"/>
          <wp:effectExtent l="0" t="0" r="0" b="1270"/>
          <wp:docPr id="307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1" cstate="print">
                    <a:extLst>
                      <a:ext uri="{28A0092B-C50C-407E-A947-70E740481C1C}">
                        <a14:useLocalDpi xmlns:a14="http://schemas.microsoft.com/office/drawing/2010/main" val="0"/>
                      </a:ext>
                    </a:extLst>
                  </a:blip>
                  <a:srcRect/>
                  <a:stretch>
                    <a:fillRect/>
                  </a:stretch>
                </pic:blipFill>
                <pic:spPr>
                  <a:xfrm>
                    <a:off x="0" y="0"/>
                    <a:ext cx="711333" cy="6087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A9280F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C748E8"/>
    <w:multiLevelType w:val="hybridMultilevel"/>
    <w:tmpl w:val="A41E88EE"/>
    <w:lvl w:ilvl="0" w:tplc="A9EC3FB6">
      <w:start w:val="1"/>
      <w:numFmt w:val="upperLetter"/>
      <w:lvlText w:val="%1)"/>
      <w:lvlJc w:val="left"/>
      <w:pPr>
        <w:tabs>
          <w:tab w:val="left" w:pos="720"/>
        </w:tabs>
        <w:ind w:left="720" w:hanging="36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num w:numId="1" w16cid:durableId="174539480">
    <w:abstractNumId w:val="0"/>
  </w:num>
  <w:num w:numId="2" w16cid:durableId="212279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C2C"/>
    <w:rsid w:val="0015356F"/>
    <w:rsid w:val="003D3899"/>
    <w:rsid w:val="00432EDE"/>
    <w:rsid w:val="008735E9"/>
    <w:rsid w:val="00961950"/>
    <w:rsid w:val="009F449C"/>
    <w:rsid w:val="00FE4C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58FA1"/>
  <w15:docId w15:val="{E8BE8A1D-426B-4331-AC08-B24ABE07C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513"/>
        <w:tab w:val="right" w:pos="9026"/>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315</Words>
  <Characters>1802</Characters>
  <Application>Microsoft Office Word</Application>
  <DocSecurity>0</DocSecurity>
  <Lines>15</Lines>
  <Paragraphs>4</Paragraphs>
  <ScaleCrop>false</ScaleCrop>
  <Company>Microsoft</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 Micallef</dc:creator>
  <cp:lastModifiedBy>Ryan Hayman</cp:lastModifiedBy>
  <cp:revision>4</cp:revision>
  <cp:lastPrinted>2016-09-29T11:28:00Z</cp:lastPrinted>
  <dcterms:created xsi:type="dcterms:W3CDTF">2024-10-02T12:44:00Z</dcterms:created>
  <dcterms:modified xsi:type="dcterms:W3CDTF">2024-10-02T15:24:00Z</dcterms:modified>
</cp:coreProperties>
</file>