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96" w:rsidRDefault="00AD0C96" w:rsidP="00AD0C96">
      <w:pPr>
        <w:pStyle w:val="Heading2"/>
        <w:numPr>
          <w:ilvl w:val="0"/>
          <w:numId w:val="0"/>
        </w:numPr>
      </w:pPr>
    </w:p>
    <w:p w:rsidR="00200E60" w:rsidRPr="009C7BA6" w:rsidRDefault="00AA3A73" w:rsidP="009C7BA6">
      <w:pPr>
        <w:spacing w:after="240"/>
        <w:ind w:left="850" w:firstLine="850"/>
        <w:jc w:val="left"/>
        <w:rPr>
          <w:rFonts w:eastAsia="Times New Roman" w:cs="Times New Roman"/>
          <w:color w:val="000000" w:themeColor="text1"/>
          <w:lang w:eastAsia="en-GB"/>
        </w:rPr>
      </w:pPr>
      <w:r>
        <w:rPr>
          <w:noProof/>
          <w:lang w:eastAsia="en-GB"/>
        </w:rPr>
        <w:drawing>
          <wp:inline distT="0" distB="0" distL="0" distR="0" wp14:anchorId="696111DA" wp14:editId="4BF6D819">
            <wp:extent cx="3810000" cy="542925"/>
            <wp:effectExtent l="0" t="0" r="0" b="9525"/>
            <wp:docPr id="3" name="Picture 3" descr="Description: Description: Logo (colour) ">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3" name="Picture 3" descr="Description: Description: Logo (colour) ">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42925"/>
                    </a:xfrm>
                    <a:prstGeom prst="rect">
                      <a:avLst/>
                    </a:prstGeom>
                    <a:noFill/>
                    <a:ln>
                      <a:noFill/>
                    </a:ln>
                  </pic:spPr>
                </pic:pic>
              </a:graphicData>
            </a:graphic>
          </wp:inline>
        </w:drawing>
      </w:r>
    </w:p>
    <w:p w:rsidR="00200E60" w:rsidRDefault="00200E60" w:rsidP="00200E60">
      <w:pPr>
        <w:pStyle w:val="Heading2"/>
        <w:numPr>
          <w:ilvl w:val="0"/>
          <w:numId w:val="0"/>
        </w:numPr>
        <w:jc w:val="center"/>
      </w:pPr>
    </w:p>
    <w:p w:rsidR="00AA3A73" w:rsidRDefault="00AA3A73" w:rsidP="00AA3A73">
      <w:pPr>
        <w:pStyle w:val="Heading2"/>
        <w:numPr>
          <w:ilvl w:val="0"/>
          <w:numId w:val="0"/>
        </w:numPr>
        <w:tabs>
          <w:tab w:val="left" w:pos="720"/>
        </w:tabs>
        <w:jc w:val="center"/>
      </w:pPr>
      <w:r>
        <w:t>York Teaching Hospital NHS Foundation Trust</w:t>
      </w:r>
    </w:p>
    <w:p w:rsidR="00200E60" w:rsidRDefault="00200E60" w:rsidP="00200E60">
      <w:pPr>
        <w:pStyle w:val="Heading2"/>
        <w:numPr>
          <w:ilvl w:val="0"/>
          <w:numId w:val="0"/>
        </w:numPr>
        <w:jc w:val="center"/>
      </w:pPr>
    </w:p>
    <w:p w:rsidR="00200E60" w:rsidRDefault="00200E60" w:rsidP="00200E60">
      <w:pPr>
        <w:pStyle w:val="Heading2"/>
        <w:numPr>
          <w:ilvl w:val="0"/>
          <w:numId w:val="0"/>
        </w:numPr>
        <w:jc w:val="center"/>
      </w:pPr>
    </w:p>
    <w:p w:rsidR="00B45130" w:rsidRDefault="00B45130" w:rsidP="00200E60">
      <w:pPr>
        <w:pStyle w:val="Heading2"/>
        <w:numPr>
          <w:ilvl w:val="0"/>
          <w:numId w:val="0"/>
        </w:numPr>
        <w:jc w:val="center"/>
      </w:pPr>
    </w:p>
    <w:p w:rsidR="00200E60" w:rsidRPr="0050545F" w:rsidRDefault="00336D0E" w:rsidP="00200E60">
      <w:pPr>
        <w:pStyle w:val="Heading2"/>
        <w:numPr>
          <w:ilvl w:val="0"/>
          <w:numId w:val="0"/>
        </w:numPr>
        <w:jc w:val="center"/>
      </w:pPr>
      <w:r>
        <w:t xml:space="preserve">Invitation to tender for </w:t>
      </w:r>
      <w:r w:rsidR="00200E60">
        <w:t xml:space="preserve">the </w:t>
      </w:r>
      <w:r w:rsidR="00935EC9">
        <w:t>S</w:t>
      </w:r>
      <w:r w:rsidR="00AA3A73">
        <w:t xml:space="preserve">upply of a </w:t>
      </w:r>
      <w:r w:rsidR="00766D94">
        <w:t>Wireless Access Point (WAP) Cabling</w:t>
      </w:r>
      <w:r w:rsidR="00AD42B5">
        <w:t xml:space="preserve"> Installation</w:t>
      </w:r>
    </w:p>
    <w:p w:rsidR="00200E60" w:rsidRDefault="00200E60" w:rsidP="00200E60">
      <w:pPr>
        <w:pStyle w:val="Heading2"/>
        <w:numPr>
          <w:ilvl w:val="0"/>
          <w:numId w:val="0"/>
        </w:numPr>
        <w:jc w:val="center"/>
      </w:pPr>
    </w:p>
    <w:p w:rsidR="00B45130" w:rsidRDefault="00B45130" w:rsidP="00200E60">
      <w:pPr>
        <w:pStyle w:val="Heading2"/>
        <w:numPr>
          <w:ilvl w:val="0"/>
          <w:numId w:val="0"/>
        </w:numPr>
        <w:jc w:val="center"/>
      </w:pPr>
    </w:p>
    <w:p w:rsidR="00AD1F28" w:rsidRDefault="00AD1F28" w:rsidP="00AD1F28">
      <w:pPr>
        <w:pStyle w:val="Heading2"/>
        <w:numPr>
          <w:ilvl w:val="0"/>
          <w:numId w:val="0"/>
        </w:numPr>
        <w:jc w:val="center"/>
        <w:rPr>
          <w:shd w:val="clear" w:color="auto" w:fill="FFFF66"/>
        </w:rPr>
      </w:pPr>
      <w:r>
        <w:t>Date of adve</w:t>
      </w:r>
      <w:r w:rsidR="00514C26">
        <w:t>rtisement on Contract Finder:  27</w:t>
      </w:r>
      <w:r w:rsidR="00514C26" w:rsidRPr="00514C26">
        <w:rPr>
          <w:vertAlign w:val="superscript"/>
        </w:rPr>
        <w:t>th</w:t>
      </w:r>
      <w:r w:rsidR="00514C26">
        <w:t xml:space="preserve"> July 2015</w:t>
      </w:r>
    </w:p>
    <w:p w:rsidR="00AD1F28" w:rsidRDefault="00AD1F28" w:rsidP="00AD1F28">
      <w:pPr>
        <w:pStyle w:val="Heading2"/>
        <w:numPr>
          <w:ilvl w:val="0"/>
          <w:numId w:val="0"/>
        </w:numPr>
        <w:jc w:val="center"/>
        <w:rPr>
          <w:shd w:val="clear" w:color="auto" w:fill="FFFF66"/>
        </w:rPr>
      </w:pPr>
    </w:p>
    <w:p w:rsidR="00AD1F28" w:rsidRDefault="00AD1F28" w:rsidP="00AD1F28">
      <w:pPr>
        <w:pStyle w:val="Heading2"/>
        <w:numPr>
          <w:ilvl w:val="0"/>
          <w:numId w:val="0"/>
        </w:numPr>
        <w:jc w:val="center"/>
        <w:rPr>
          <w:shd w:val="clear" w:color="auto" w:fill="FFFF66"/>
        </w:rPr>
      </w:pPr>
    </w:p>
    <w:p w:rsidR="00AD1F28" w:rsidRDefault="00AD1F28" w:rsidP="00AD1F28">
      <w:pPr>
        <w:pStyle w:val="Heading2"/>
        <w:numPr>
          <w:ilvl w:val="0"/>
          <w:numId w:val="0"/>
        </w:numPr>
        <w:jc w:val="center"/>
      </w:pPr>
      <w:r w:rsidRPr="00A04003">
        <w:t xml:space="preserve">Authority's reference number:  </w:t>
      </w:r>
      <w:r w:rsidR="00F6119D" w:rsidRPr="00F6119D">
        <w:t>AT/15/1211</w:t>
      </w:r>
    </w:p>
    <w:p w:rsidR="00B45130" w:rsidRDefault="00B45130" w:rsidP="00200E60">
      <w:pPr>
        <w:pStyle w:val="Heading2"/>
        <w:numPr>
          <w:ilvl w:val="0"/>
          <w:numId w:val="0"/>
        </w:numPr>
        <w:jc w:val="center"/>
      </w:pPr>
    </w:p>
    <w:p w:rsidR="00AD1F28" w:rsidRDefault="00AD1F28" w:rsidP="00200E60">
      <w:pPr>
        <w:pStyle w:val="Heading2"/>
        <w:numPr>
          <w:ilvl w:val="0"/>
          <w:numId w:val="0"/>
        </w:numPr>
        <w:jc w:val="center"/>
      </w:pPr>
    </w:p>
    <w:p w:rsidR="00200E60" w:rsidRDefault="00200E60" w:rsidP="00200E60">
      <w:pPr>
        <w:pStyle w:val="Heading2"/>
        <w:numPr>
          <w:ilvl w:val="0"/>
          <w:numId w:val="0"/>
        </w:numPr>
        <w:jc w:val="center"/>
      </w:pPr>
      <w:r>
        <w:t xml:space="preserve">Deadline for </w:t>
      </w:r>
      <w:r w:rsidR="005D7098">
        <w:t>Tenders</w:t>
      </w:r>
      <w:r w:rsidR="00514C26">
        <w:t xml:space="preserve"> to be received:  17</w:t>
      </w:r>
      <w:r w:rsidR="00514C26" w:rsidRPr="00514C26">
        <w:rPr>
          <w:vertAlign w:val="superscript"/>
        </w:rPr>
        <w:t>th</w:t>
      </w:r>
      <w:r w:rsidR="00514C26">
        <w:t xml:space="preserve"> August 2015 at 12 noon</w:t>
      </w:r>
    </w:p>
    <w:p w:rsidR="00B45130" w:rsidRDefault="00B45130" w:rsidP="00200E60">
      <w:pPr>
        <w:pStyle w:val="Heading2"/>
        <w:numPr>
          <w:ilvl w:val="0"/>
          <w:numId w:val="0"/>
        </w:numPr>
        <w:jc w:val="center"/>
      </w:pPr>
    </w:p>
    <w:p w:rsidR="00B45130" w:rsidRDefault="00B45130" w:rsidP="00200E60">
      <w:pPr>
        <w:pStyle w:val="Heading2"/>
        <w:numPr>
          <w:ilvl w:val="0"/>
          <w:numId w:val="0"/>
        </w:numPr>
        <w:jc w:val="center"/>
      </w:pPr>
    </w:p>
    <w:p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rsidR="00B45130" w:rsidRDefault="00B45130" w:rsidP="00200E60">
      <w:pPr>
        <w:pStyle w:val="Heading2"/>
        <w:numPr>
          <w:ilvl w:val="0"/>
          <w:numId w:val="0"/>
        </w:numPr>
        <w:jc w:val="center"/>
      </w:pPr>
    </w:p>
    <w:p w:rsidR="000F79D6" w:rsidRDefault="000F79D6">
      <w:pPr>
        <w:spacing w:after="240"/>
        <w:jc w:val="left"/>
        <w:rPr>
          <w:rFonts w:eastAsia="Times New Roman" w:cs="Times New Roman"/>
          <w:color w:val="000000" w:themeColor="text1"/>
          <w:lang w:eastAsia="en-GB"/>
        </w:rPr>
      </w:pPr>
      <w:r>
        <w:br w:type="page"/>
      </w:r>
    </w:p>
    <w:p w:rsidR="005B59B7" w:rsidRDefault="005B59B7" w:rsidP="00401FF0">
      <w:pPr>
        <w:pStyle w:val="TOC1"/>
      </w:pPr>
      <w:r w:rsidRPr="005B59B7">
        <w:lastRenderedPageBreak/>
        <w:t>TABLE OF CONTENTS</w:t>
      </w:r>
    </w:p>
    <w:p w:rsidR="005B59B7" w:rsidRPr="001F110F" w:rsidRDefault="005B59B7" w:rsidP="001F110F">
      <w:pPr>
        <w:pStyle w:val="TOC1"/>
        <w:spacing w:line="360" w:lineRule="auto"/>
        <w:rPr>
          <w:rFonts w:asciiTheme="minorHAnsi" w:eastAsiaTheme="minorEastAsia" w:hAnsiTheme="minorHAnsi" w:cstheme="minorBidi"/>
          <w:b w:val="0"/>
          <w:noProof/>
          <w:color w:val="auto"/>
          <w:sz w:val="22"/>
          <w:szCs w:val="22"/>
        </w:rPr>
      </w:pPr>
      <w:r w:rsidRPr="001F110F">
        <w:rPr>
          <w:b w:val="0"/>
        </w:rPr>
        <w:fldChar w:fldCharType="begin"/>
      </w:r>
      <w:r w:rsidRPr="001F110F">
        <w:rPr>
          <w:b w:val="0"/>
        </w:rPr>
        <w:instrText xml:space="preserve"> TOC \h \z \t "Main Heading,1,M&amp;R Numbered Heading 1,1" </w:instrText>
      </w:r>
      <w:r w:rsidRPr="001F110F">
        <w:rPr>
          <w:b w:val="0"/>
        </w:rPr>
        <w:fldChar w:fldCharType="separate"/>
      </w:r>
      <w:hyperlink w:anchor="_Toc403556506" w:history="1">
        <w:r w:rsidRPr="001F110F">
          <w:rPr>
            <w:rStyle w:val="Hyperlink"/>
            <w:b w:val="0"/>
            <w:noProof/>
            <w14:scene3d>
              <w14:camera w14:prst="orthographicFront"/>
              <w14:lightRig w14:rig="threePt" w14:dir="t">
                <w14:rot w14:lat="0" w14:lon="0" w14:rev="0"/>
              </w14:lightRig>
            </w14:scene3d>
          </w:rPr>
          <w:t>1</w:t>
        </w:r>
        <w:r w:rsidRPr="001F110F">
          <w:rPr>
            <w:rFonts w:asciiTheme="minorHAnsi" w:eastAsiaTheme="minorEastAsia" w:hAnsiTheme="minorHAnsi" w:cstheme="minorBidi"/>
            <w:b w:val="0"/>
            <w:noProof/>
            <w:color w:val="auto"/>
            <w:sz w:val="22"/>
            <w:szCs w:val="22"/>
          </w:rPr>
          <w:tab/>
        </w:r>
        <w:r w:rsidRPr="001F110F">
          <w:rPr>
            <w:rStyle w:val="Hyperlink"/>
            <w:b w:val="0"/>
            <w:noProof/>
          </w:rPr>
          <w:t>INTRODUCTION AND BACKGROUND</w:t>
        </w:r>
        <w:r w:rsidRPr="001F110F">
          <w:rPr>
            <w:b w:val="0"/>
            <w:noProof/>
            <w:webHidden/>
          </w:rPr>
          <w:tab/>
        </w:r>
        <w:r w:rsidRPr="001F110F">
          <w:rPr>
            <w:b w:val="0"/>
            <w:noProof/>
            <w:webHidden/>
          </w:rPr>
          <w:fldChar w:fldCharType="begin"/>
        </w:r>
        <w:r w:rsidRPr="001F110F">
          <w:rPr>
            <w:b w:val="0"/>
            <w:noProof/>
            <w:webHidden/>
          </w:rPr>
          <w:instrText xml:space="preserve"> PAGEREF _Toc403556506 \h </w:instrText>
        </w:r>
        <w:r w:rsidRPr="001F110F">
          <w:rPr>
            <w:b w:val="0"/>
            <w:noProof/>
            <w:webHidden/>
          </w:rPr>
        </w:r>
        <w:r w:rsidRPr="001F110F">
          <w:rPr>
            <w:b w:val="0"/>
            <w:noProof/>
            <w:webHidden/>
          </w:rPr>
          <w:fldChar w:fldCharType="separate"/>
        </w:r>
        <w:r w:rsidR="00A96B6F">
          <w:rPr>
            <w:b w:val="0"/>
            <w:noProof/>
            <w:webHidden/>
          </w:rPr>
          <w:t>1</w:t>
        </w:r>
        <w:r w:rsidRPr="001F110F">
          <w:rPr>
            <w:b w:val="0"/>
            <w:noProof/>
            <w:webHidden/>
          </w:rPr>
          <w:fldChar w:fldCharType="end"/>
        </w:r>
      </w:hyperlink>
    </w:p>
    <w:p w:rsidR="005B59B7" w:rsidRPr="001F110F" w:rsidRDefault="003D35B8" w:rsidP="001F110F">
      <w:pPr>
        <w:pStyle w:val="TOC1"/>
        <w:spacing w:line="360" w:lineRule="auto"/>
        <w:rPr>
          <w:rFonts w:asciiTheme="minorHAnsi" w:eastAsiaTheme="minorEastAsia" w:hAnsiTheme="minorHAnsi" w:cstheme="minorBidi"/>
          <w:b w:val="0"/>
          <w:noProof/>
          <w:color w:val="auto"/>
          <w:sz w:val="22"/>
          <w:szCs w:val="22"/>
        </w:rPr>
      </w:pPr>
      <w:hyperlink w:anchor="_Toc403556507" w:history="1">
        <w:r w:rsidR="005B59B7" w:rsidRPr="001F110F">
          <w:rPr>
            <w:rStyle w:val="Hyperlink"/>
            <w:b w:val="0"/>
            <w:noProof/>
            <w14:scene3d>
              <w14:camera w14:prst="orthographicFront"/>
              <w14:lightRig w14:rig="threePt" w14:dir="t">
                <w14:rot w14:lat="0" w14:lon="0" w14:rev="0"/>
              </w14:lightRig>
            </w14:scene3d>
          </w:rPr>
          <w:t>2</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TIMETABLE</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_Toc403556507 \h </w:instrText>
        </w:r>
        <w:r w:rsidR="005B59B7" w:rsidRPr="001F110F">
          <w:rPr>
            <w:b w:val="0"/>
            <w:noProof/>
            <w:webHidden/>
          </w:rPr>
        </w:r>
        <w:r w:rsidR="005B59B7" w:rsidRPr="001F110F">
          <w:rPr>
            <w:b w:val="0"/>
            <w:noProof/>
            <w:webHidden/>
          </w:rPr>
          <w:fldChar w:fldCharType="separate"/>
        </w:r>
        <w:r w:rsidR="00A96B6F">
          <w:rPr>
            <w:b w:val="0"/>
            <w:noProof/>
            <w:webHidden/>
          </w:rPr>
          <w:t>3</w:t>
        </w:r>
        <w:r w:rsidR="005B59B7" w:rsidRPr="001F110F">
          <w:rPr>
            <w:b w:val="0"/>
            <w:noProof/>
            <w:webHidden/>
          </w:rPr>
          <w:fldChar w:fldCharType="end"/>
        </w:r>
      </w:hyperlink>
    </w:p>
    <w:p w:rsidR="005B59B7" w:rsidRPr="001F110F" w:rsidRDefault="003D35B8" w:rsidP="001F110F">
      <w:pPr>
        <w:pStyle w:val="TOC1"/>
        <w:spacing w:line="360" w:lineRule="auto"/>
        <w:rPr>
          <w:rFonts w:asciiTheme="minorHAnsi" w:eastAsiaTheme="minorEastAsia" w:hAnsiTheme="minorHAnsi" w:cstheme="minorBidi"/>
          <w:b w:val="0"/>
          <w:noProof/>
          <w:color w:val="auto"/>
          <w:sz w:val="22"/>
          <w:szCs w:val="22"/>
        </w:rPr>
      </w:pPr>
      <w:hyperlink w:anchor="_Toc403556508" w:history="1">
        <w:r w:rsidR="005B59B7" w:rsidRPr="001F110F">
          <w:rPr>
            <w:rStyle w:val="Hyperlink"/>
            <w:b w:val="0"/>
            <w:noProof/>
            <w14:scene3d>
              <w14:camera w14:prst="orthographicFront"/>
              <w14:lightRig w14:rig="threePt" w14:dir="t">
                <w14:rot w14:lat="0" w14:lon="0" w14:rev="0"/>
              </w14:lightRig>
            </w14:scene3d>
          </w:rPr>
          <w:t>3</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INSTRUCTIONS TO BIDDERS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_Toc403556508 \h </w:instrText>
        </w:r>
        <w:r w:rsidR="005B59B7" w:rsidRPr="001F110F">
          <w:rPr>
            <w:b w:val="0"/>
            <w:noProof/>
            <w:webHidden/>
          </w:rPr>
        </w:r>
        <w:r w:rsidR="005B59B7" w:rsidRPr="001F110F">
          <w:rPr>
            <w:b w:val="0"/>
            <w:noProof/>
            <w:webHidden/>
          </w:rPr>
          <w:fldChar w:fldCharType="separate"/>
        </w:r>
        <w:r w:rsidR="00A96B6F">
          <w:rPr>
            <w:b w:val="0"/>
            <w:noProof/>
            <w:webHidden/>
          </w:rPr>
          <w:t>5</w:t>
        </w:r>
        <w:r w:rsidR="005B59B7" w:rsidRPr="001F110F">
          <w:rPr>
            <w:b w:val="0"/>
            <w:noProof/>
            <w:webHidden/>
          </w:rPr>
          <w:fldChar w:fldCharType="end"/>
        </w:r>
      </w:hyperlink>
    </w:p>
    <w:p w:rsidR="005B59B7" w:rsidRPr="001F110F" w:rsidRDefault="003D35B8" w:rsidP="001F110F">
      <w:pPr>
        <w:pStyle w:val="TOC1"/>
        <w:spacing w:line="360" w:lineRule="auto"/>
        <w:rPr>
          <w:rFonts w:asciiTheme="minorHAnsi" w:eastAsiaTheme="minorEastAsia" w:hAnsiTheme="minorHAnsi" w:cstheme="minorBidi"/>
          <w:b w:val="0"/>
          <w:noProof/>
          <w:color w:val="auto"/>
          <w:sz w:val="22"/>
          <w:szCs w:val="22"/>
        </w:rPr>
      </w:pPr>
      <w:hyperlink w:anchor="_Toc403556509" w:history="1">
        <w:r w:rsidR="005B59B7" w:rsidRPr="001F110F">
          <w:rPr>
            <w:rStyle w:val="Hyperlink"/>
            <w:b w:val="0"/>
            <w:noProof/>
            <w14:scene3d>
              <w14:camera w14:prst="orthographicFront"/>
              <w14:lightRig w14:rig="threePt" w14:dir="t">
                <w14:rot w14:lat="0" w14:lon="0" w14:rev="0"/>
              </w14:lightRig>
            </w14:scene3d>
          </w:rPr>
          <w:t>4</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EVALUATION METHODOLOGY AND CRITERIA</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_Toc403556509 \h </w:instrText>
        </w:r>
        <w:r w:rsidR="005B59B7" w:rsidRPr="001F110F">
          <w:rPr>
            <w:b w:val="0"/>
            <w:noProof/>
            <w:webHidden/>
          </w:rPr>
        </w:r>
        <w:r w:rsidR="005B59B7" w:rsidRPr="001F110F">
          <w:rPr>
            <w:b w:val="0"/>
            <w:noProof/>
            <w:webHidden/>
          </w:rPr>
          <w:fldChar w:fldCharType="separate"/>
        </w:r>
        <w:r w:rsidR="00A96B6F">
          <w:rPr>
            <w:b w:val="0"/>
            <w:noProof/>
            <w:webHidden/>
          </w:rPr>
          <w:t>8</w:t>
        </w:r>
        <w:r w:rsidR="005B59B7" w:rsidRPr="001F110F">
          <w:rPr>
            <w:b w:val="0"/>
            <w:noProof/>
            <w:webHidden/>
          </w:rPr>
          <w:fldChar w:fldCharType="end"/>
        </w:r>
      </w:hyperlink>
    </w:p>
    <w:p w:rsidR="005B59B7" w:rsidRPr="001F110F" w:rsidRDefault="003D35B8" w:rsidP="00E212B6">
      <w:pPr>
        <w:pStyle w:val="TOC1"/>
        <w:spacing w:line="360" w:lineRule="auto"/>
        <w:rPr>
          <w:rFonts w:asciiTheme="minorHAnsi" w:eastAsiaTheme="minorEastAsia" w:hAnsiTheme="minorHAnsi" w:cstheme="minorBidi"/>
          <w:b w:val="0"/>
          <w:noProof/>
          <w:color w:val="auto"/>
          <w:sz w:val="22"/>
          <w:szCs w:val="22"/>
        </w:rPr>
      </w:pPr>
      <w:hyperlink w:anchor="_Toc403556511" w:history="1">
        <w:r w:rsidR="00401FF0" w:rsidRPr="001F110F">
          <w:rPr>
            <w:rStyle w:val="Hyperlink"/>
            <w:b w:val="0"/>
            <w:noProof/>
          </w:rPr>
          <w:t xml:space="preserve">ANNEX A1 </w:t>
        </w:r>
        <w:r w:rsidR="005B59B7" w:rsidRPr="001F110F">
          <w:rPr>
            <w:rStyle w:val="Hyperlink"/>
            <w:b w:val="0"/>
            <w:noProof/>
          </w:rPr>
          <w:t>NHS TERMS AND CONDITIONS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_Toc403556511 \h </w:instrText>
        </w:r>
        <w:r w:rsidR="005B59B7" w:rsidRPr="001F110F">
          <w:rPr>
            <w:b w:val="0"/>
            <w:noProof/>
            <w:webHidden/>
          </w:rPr>
        </w:r>
        <w:r w:rsidR="005B59B7" w:rsidRPr="001F110F">
          <w:rPr>
            <w:b w:val="0"/>
            <w:noProof/>
            <w:webHidden/>
          </w:rPr>
          <w:fldChar w:fldCharType="separate"/>
        </w:r>
        <w:r w:rsidR="00A96B6F">
          <w:rPr>
            <w:b w:val="0"/>
            <w:noProof/>
            <w:webHidden/>
          </w:rPr>
          <w:t>11</w:t>
        </w:r>
        <w:r w:rsidR="005B59B7" w:rsidRPr="001F110F">
          <w:rPr>
            <w:b w:val="0"/>
            <w:noProof/>
            <w:webHidden/>
          </w:rPr>
          <w:fldChar w:fldCharType="end"/>
        </w:r>
      </w:hyperlink>
    </w:p>
    <w:p w:rsidR="00AD0C96" w:rsidRPr="001F110F" w:rsidRDefault="005B59B7" w:rsidP="001F110F">
      <w:pPr>
        <w:pStyle w:val="Heading2"/>
        <w:numPr>
          <w:ilvl w:val="0"/>
          <w:numId w:val="0"/>
        </w:numPr>
        <w:spacing w:line="360" w:lineRule="auto"/>
      </w:pPr>
      <w:r w:rsidRPr="001F110F">
        <w:fldChar w:fldCharType="end"/>
      </w:r>
    </w:p>
    <w:p w:rsidR="008306CC" w:rsidRDefault="008306CC" w:rsidP="008306CC">
      <w:pPr>
        <w:pStyle w:val="TOC3"/>
        <w:ind w:left="0"/>
      </w:pPr>
    </w:p>
    <w:p w:rsidR="00897556" w:rsidRDefault="00897556" w:rsidP="00AD0C96">
      <w:pPr>
        <w:pStyle w:val="Heading2"/>
        <w:numPr>
          <w:ilvl w:val="0"/>
          <w:numId w:val="0"/>
        </w:numPr>
        <w:jc w:val="center"/>
        <w:rPr>
          <w:i/>
          <w:shd w:val="clear" w:color="auto" w:fill="FFFF66"/>
        </w:rPr>
      </w:pPr>
    </w:p>
    <w:p w:rsidR="00897556" w:rsidRDefault="00897556" w:rsidP="00897556">
      <w:pPr>
        <w:rPr>
          <w:shd w:val="clear" w:color="auto" w:fill="FFFF66"/>
        </w:rPr>
      </w:pPr>
    </w:p>
    <w:p w:rsidR="00ED0968" w:rsidRDefault="00ED0968" w:rsidP="00200E60">
      <w:pPr>
        <w:pStyle w:val="Heading2"/>
        <w:numPr>
          <w:ilvl w:val="0"/>
          <w:numId w:val="0"/>
        </w:numPr>
        <w:jc w:val="center"/>
      </w:pPr>
    </w:p>
    <w:p w:rsidR="00ED0968" w:rsidRDefault="00ED0968" w:rsidP="00200E60">
      <w:pPr>
        <w:pStyle w:val="Heading2"/>
        <w:numPr>
          <w:ilvl w:val="0"/>
          <w:numId w:val="0"/>
        </w:numPr>
        <w:jc w:val="center"/>
      </w:pPr>
    </w:p>
    <w:p w:rsidR="00B02442" w:rsidRDefault="00727643">
      <w:pPr>
        <w:spacing w:after="240"/>
        <w:jc w:val="left"/>
        <w:sectPr w:rsidR="00B02442" w:rsidSect="00B02442">
          <w:footerReference w:type="default" r:id="rId12"/>
          <w:headerReference w:type="first" r:id="rId13"/>
          <w:footerReference w:type="first" r:id="rId14"/>
          <w:type w:val="continuous"/>
          <w:pgSz w:w="11907" w:h="16840" w:code="9"/>
          <w:pgMar w:top="1418" w:right="1418" w:bottom="1418" w:left="1418" w:header="709" w:footer="567" w:gutter="0"/>
          <w:pgNumType w:start="1"/>
          <w:cols w:space="708"/>
          <w:titlePg/>
          <w:docGrid w:linePitch="360"/>
        </w:sectPr>
      </w:pPr>
      <w:r>
        <w:br w:type="page"/>
      </w:r>
    </w:p>
    <w:p w:rsidR="003E3276" w:rsidRPr="008F3D2C" w:rsidRDefault="003E3276" w:rsidP="00351CE0">
      <w:pPr>
        <w:pStyle w:val="MRNumberedHeading1"/>
        <w:numPr>
          <w:ilvl w:val="0"/>
          <w:numId w:val="19"/>
        </w:numPr>
        <w:tabs>
          <w:tab w:val="clear" w:pos="798"/>
          <w:tab w:val="num" w:pos="709"/>
        </w:tabs>
        <w:ind w:hanging="798"/>
        <w:rPr>
          <w:sz w:val="20"/>
          <w:szCs w:val="20"/>
        </w:rPr>
      </w:pPr>
      <w:bookmarkStart w:id="0" w:name="_Toc403556501"/>
      <w:bookmarkStart w:id="1" w:name="_Toc403556506"/>
      <w:r w:rsidRPr="008F3D2C">
        <w:rPr>
          <w:sz w:val="20"/>
          <w:szCs w:val="20"/>
        </w:rPr>
        <w:lastRenderedPageBreak/>
        <w:t>INTRODUCTION AND BACKGROUND</w:t>
      </w:r>
      <w:bookmarkEnd w:id="0"/>
      <w:bookmarkEnd w:id="1"/>
    </w:p>
    <w:p w:rsidR="00570AFA" w:rsidRDefault="00AA3A73" w:rsidP="006B54D6">
      <w:pPr>
        <w:pStyle w:val="MRNumberedHeading2"/>
      </w:pPr>
      <w:bookmarkStart w:id="2" w:name="_Toc403555077"/>
      <w:r>
        <w:t>The York Teaching Hospital NHS Foundation Trust</w:t>
      </w:r>
      <w:r w:rsidR="003E3276" w:rsidRPr="007724D1">
        <w:t xml:space="preserve"> ("</w:t>
      </w:r>
      <w:r w:rsidR="00B012D5" w:rsidRPr="00570AFA">
        <w:rPr>
          <w:b/>
        </w:rPr>
        <w:t>the</w:t>
      </w:r>
      <w:r w:rsidR="00B012D5">
        <w:t xml:space="preserve"> </w:t>
      </w:r>
      <w:r w:rsidR="003E3276" w:rsidRPr="00570AFA">
        <w:rPr>
          <w:b/>
        </w:rPr>
        <w:t>Authority</w:t>
      </w:r>
      <w:r w:rsidR="003E3276" w:rsidRPr="007724D1">
        <w:t xml:space="preserve">") is issuing this </w:t>
      </w:r>
      <w:r w:rsidR="00D66E43">
        <w:t>invitation to t</w:t>
      </w:r>
      <w:r w:rsidR="003E3276" w:rsidRPr="007724D1">
        <w:t>ender ("</w:t>
      </w:r>
      <w:r w:rsidR="003E3276" w:rsidRPr="00570AFA">
        <w:rPr>
          <w:b/>
        </w:rPr>
        <w:t>ITT</w:t>
      </w:r>
      <w:r w:rsidR="003E3276" w:rsidRPr="007724D1">
        <w:t xml:space="preserve">") in connection with the competitive procurement of </w:t>
      </w:r>
      <w:bookmarkEnd w:id="2"/>
      <w:r w:rsidR="00570AFA">
        <w:t>the</w:t>
      </w:r>
      <w:r>
        <w:t xml:space="preserve"> </w:t>
      </w:r>
      <w:bookmarkStart w:id="3" w:name="_Toc403555078"/>
      <w:r w:rsidR="00570AFA">
        <w:t>Supply of a Wireless Access Point (WAP) Cabling Installation</w:t>
      </w:r>
      <w:r w:rsidR="00570AFA" w:rsidRPr="007724D1">
        <w:t xml:space="preserve"> </w:t>
      </w:r>
    </w:p>
    <w:p w:rsidR="003E3276" w:rsidRPr="007724D1" w:rsidRDefault="003E3276" w:rsidP="006B54D6">
      <w:pPr>
        <w:pStyle w:val="MRNumberedHeading2"/>
      </w:pPr>
      <w:r w:rsidRPr="007724D1">
        <w:t xml:space="preserve">This ITT Section A contains further </w:t>
      </w:r>
      <w:r w:rsidRPr="003E3276">
        <w:t>information</w:t>
      </w:r>
      <w:r w:rsidRPr="007724D1">
        <w:t xml:space="preserve"> about the procurement process.</w:t>
      </w:r>
      <w:bookmarkEnd w:id="3"/>
      <w:r w:rsidRPr="007724D1">
        <w:t xml:space="preserve">  </w:t>
      </w:r>
    </w:p>
    <w:p w:rsidR="003E3276" w:rsidRDefault="003E3276" w:rsidP="006B54D6">
      <w:pPr>
        <w:pStyle w:val="MRNumberedHeading2"/>
      </w:pPr>
      <w:bookmarkStart w:id="4" w:name="_Toc403555079"/>
      <w:r>
        <w:t>ITT Section B contains the questions that Bidders must complete. Each Bidder's response ("</w:t>
      </w:r>
      <w:r w:rsidRPr="00951656">
        <w:rPr>
          <w:b/>
          <w:bCs/>
        </w:rPr>
        <w:t>Tender</w:t>
      </w:r>
      <w:r>
        <w:rPr>
          <w:bCs/>
        </w:rPr>
        <w:t>"</w:t>
      </w:r>
      <w:r>
        <w:t>) should be detailed enough to allow the Authority to make an informed award decision.</w:t>
      </w:r>
      <w:bookmarkEnd w:id="4"/>
    </w:p>
    <w:p w:rsidR="003E3276" w:rsidRPr="00FB2FE9" w:rsidRDefault="00336D0E" w:rsidP="006B54D6">
      <w:pPr>
        <w:pStyle w:val="MRNumberedHeading2"/>
      </w:pPr>
      <w:bookmarkStart w:id="5" w:name="_Toc403555080"/>
      <w:r>
        <w:t>All T</w:t>
      </w:r>
      <w:r w:rsidR="003E3276">
        <w:t>enders must be returned no later th</w:t>
      </w:r>
      <w:r>
        <w:t>an the deadline for receipt of T</w:t>
      </w:r>
      <w:r w:rsidR="003E3276">
        <w:t>ender</w:t>
      </w:r>
      <w:r w:rsidR="00586006">
        <w:t>s</w:t>
      </w:r>
      <w:r w:rsidR="003E3276">
        <w:t xml:space="preserve"> specified on the front cover of this ITT.</w:t>
      </w:r>
      <w:bookmarkEnd w:id="5"/>
    </w:p>
    <w:p w:rsidR="003E3276" w:rsidRDefault="003E3276" w:rsidP="006B54D6">
      <w:pPr>
        <w:pStyle w:val="MRNumberedHeading2"/>
      </w:pPr>
      <w:bookmarkStart w:id="6" w:name="_Toc403555081"/>
      <w:bookmarkStart w:id="7" w:name="_Ref406062423"/>
      <w:r>
        <w:t xml:space="preserve">The Authority is using the </w:t>
      </w:r>
      <w:r w:rsidR="00AA3A73">
        <w:t xml:space="preserve">EU Supply </w:t>
      </w:r>
      <w:r w:rsidR="00D66E43">
        <w:t>e-t</w:t>
      </w:r>
      <w:r w:rsidR="0050545F">
        <w:t>endering</w:t>
      </w:r>
      <w:r>
        <w:t xml:space="preserve"> </w:t>
      </w:r>
      <w:r w:rsidR="00D66E43">
        <w:t>p</w:t>
      </w:r>
      <w:r w:rsidR="004230E7">
        <w:t>ortal</w:t>
      </w:r>
      <w:r>
        <w:t xml:space="preserve"> to conduct the procurement process</w:t>
      </w:r>
      <w:r w:rsidR="00A60BD1">
        <w:t xml:space="preserve"> ("</w:t>
      </w:r>
      <w:r w:rsidR="00A60BD1" w:rsidRPr="003219DA">
        <w:rPr>
          <w:b/>
        </w:rPr>
        <w:t xml:space="preserve">the </w:t>
      </w:r>
      <w:r w:rsidR="0050545F">
        <w:rPr>
          <w:b/>
        </w:rPr>
        <w:t xml:space="preserve">e-Tendering </w:t>
      </w:r>
      <w:r w:rsidR="00A60BD1" w:rsidRPr="003219DA">
        <w:rPr>
          <w:b/>
        </w:rPr>
        <w:t>Portal</w:t>
      </w:r>
      <w:r w:rsidR="00A60BD1">
        <w:t xml:space="preserve">"). The </w:t>
      </w:r>
      <w:r w:rsidR="0050545F">
        <w:t xml:space="preserve">e-Tendering </w:t>
      </w:r>
      <w:r w:rsidR="00A60BD1">
        <w:t>Portal</w:t>
      </w:r>
      <w:r>
        <w:t xml:space="preserve"> can be accessed</w:t>
      </w:r>
      <w:r w:rsidR="00AA3A73">
        <w:t xml:space="preserve"> </w:t>
      </w:r>
      <w:hyperlink r:id="rId15" w:history="1">
        <w:r w:rsidR="00AA3A73" w:rsidRPr="00985C6C">
          <w:rPr>
            <w:rStyle w:val="Hyperlink"/>
          </w:rPr>
          <w:t>https://nep.eu-supply.com/insidemain.asp</w:t>
        </w:r>
      </w:hyperlink>
      <w:r w:rsidR="00AA3A73">
        <w:t xml:space="preserve">. </w:t>
      </w:r>
      <w:r>
        <w:t>All communica</w:t>
      </w:r>
      <w:r w:rsidR="00336D0E">
        <w:t>tions (including submission of T</w:t>
      </w:r>
      <w:r>
        <w:t xml:space="preserve">enders) should be carried out via the </w:t>
      </w:r>
      <w:r w:rsidR="0050545F">
        <w:t xml:space="preserve">e-Tendering </w:t>
      </w:r>
      <w:r w:rsidR="004230E7">
        <w:t>Portal</w:t>
      </w:r>
      <w:r>
        <w:t>.</w:t>
      </w:r>
      <w:bookmarkEnd w:id="6"/>
      <w:bookmarkEnd w:id="7"/>
    </w:p>
    <w:p w:rsidR="006111AA" w:rsidRDefault="006111AA" w:rsidP="006B54D6">
      <w:pPr>
        <w:pStyle w:val="MRNumberedHeading2"/>
      </w:pPr>
      <w:r>
        <w:t>This procurement process is not regulated by</w:t>
      </w:r>
      <w:r w:rsidR="00014E77">
        <w:t xml:space="preserve"> P</w:t>
      </w:r>
      <w:r w:rsidR="008C5577">
        <w:t>arts 2 and 3 of</w:t>
      </w:r>
      <w:r>
        <w:t xml:space="preserve"> the P</w:t>
      </w:r>
      <w:r w:rsidR="003B1EDB">
        <w:t>ublic Contracts Regulations 2015</w:t>
      </w:r>
      <w:r>
        <w:t>.</w:t>
      </w:r>
    </w:p>
    <w:p w:rsidR="00247F0F" w:rsidRPr="003E3276" w:rsidRDefault="00247F0F" w:rsidP="00337295">
      <w:pPr>
        <w:pStyle w:val="Heading1"/>
        <w:spacing w:before="240" w:after="0"/>
        <w:ind w:left="709"/>
        <w:rPr>
          <w:rFonts w:eastAsiaTheme="minorHAnsi"/>
        </w:rPr>
      </w:pPr>
      <w:bookmarkStart w:id="8" w:name="_Toc403555082"/>
      <w:r w:rsidRPr="003E3276">
        <w:rPr>
          <w:rFonts w:eastAsiaTheme="minorHAnsi"/>
        </w:rPr>
        <w:t>Contents of the ITT</w:t>
      </w:r>
      <w:bookmarkEnd w:id="8"/>
      <w:r w:rsidRPr="003E3276">
        <w:rPr>
          <w:rFonts w:eastAsiaTheme="minorHAnsi"/>
        </w:rPr>
        <w:t xml:space="preserve"> </w:t>
      </w:r>
    </w:p>
    <w:p w:rsidR="00AD3446" w:rsidRPr="003E3276" w:rsidRDefault="00AD3446" w:rsidP="006B54D6">
      <w:pPr>
        <w:pStyle w:val="MRNumberedHeading2"/>
        <w:rPr>
          <w:b/>
        </w:rPr>
      </w:pPr>
      <w:bookmarkStart w:id="9" w:name="_Toc403555083"/>
      <w:bookmarkStart w:id="10" w:name="_Ref405452631"/>
      <w:r>
        <w:t>This ITT document consists of:</w:t>
      </w:r>
      <w:bookmarkEnd w:id="9"/>
      <w:bookmarkEnd w:id="10"/>
    </w:p>
    <w:p w:rsidR="003E3276" w:rsidRPr="00951656" w:rsidRDefault="003E3276" w:rsidP="006B54D6">
      <w:pPr>
        <w:pStyle w:val="MRNumberedHeading2"/>
        <w:numPr>
          <w:ilvl w:val="0"/>
          <w:numId w:val="0"/>
        </w:numPr>
        <w:ind w:left="720"/>
      </w:pPr>
    </w:p>
    <w:tbl>
      <w:tblPr>
        <w:tblStyle w:val="TableGrid"/>
        <w:tblW w:w="9214" w:type="dxa"/>
        <w:tblInd w:w="817" w:type="dxa"/>
        <w:tblLook w:val="04A0" w:firstRow="1" w:lastRow="0" w:firstColumn="1" w:lastColumn="0" w:noHBand="0" w:noVBand="1"/>
      </w:tblPr>
      <w:tblGrid>
        <w:gridCol w:w="1418"/>
        <w:gridCol w:w="5386"/>
        <w:gridCol w:w="2410"/>
      </w:tblGrid>
      <w:tr w:rsidR="00653DCC" w:rsidTr="00337295">
        <w:trPr>
          <w:gridAfter w:val="1"/>
          <w:wAfter w:w="2410" w:type="dxa"/>
        </w:trPr>
        <w:tc>
          <w:tcPr>
            <w:tcW w:w="6804" w:type="dxa"/>
            <w:gridSpan w:val="2"/>
            <w:shd w:val="clear" w:color="auto" w:fill="BFBFBF" w:themeFill="background1" w:themeFillShade="BF"/>
          </w:tcPr>
          <w:p w:rsidR="005957B2" w:rsidRPr="00953B6C" w:rsidRDefault="00AD0C96" w:rsidP="00AD3446">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1</w:t>
            </w:r>
          </w:p>
        </w:tc>
        <w:tc>
          <w:tcPr>
            <w:tcW w:w="5386" w:type="dxa"/>
          </w:tcPr>
          <w:p w:rsidR="00653DCC" w:rsidRDefault="00653DCC" w:rsidP="00AD3446">
            <w:pPr>
              <w:pStyle w:val="Heading2"/>
              <w:numPr>
                <w:ilvl w:val="0"/>
                <w:numId w:val="0"/>
              </w:numPr>
              <w:outlineLvl w:val="1"/>
            </w:pPr>
            <w:r>
              <w:t>Introduction and background</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2</w:t>
            </w:r>
          </w:p>
        </w:tc>
        <w:tc>
          <w:tcPr>
            <w:tcW w:w="5386" w:type="dxa"/>
          </w:tcPr>
          <w:p w:rsidR="00653DCC" w:rsidRDefault="00653DCC" w:rsidP="00AD3446">
            <w:pPr>
              <w:pStyle w:val="Heading2"/>
              <w:numPr>
                <w:ilvl w:val="0"/>
                <w:numId w:val="0"/>
              </w:numPr>
              <w:outlineLvl w:val="1"/>
            </w:pPr>
            <w:r>
              <w:t>Tender timetable</w:t>
            </w:r>
            <w:r w:rsidR="00A57D02">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3</w:t>
            </w:r>
          </w:p>
        </w:tc>
        <w:tc>
          <w:tcPr>
            <w:tcW w:w="5386" w:type="dxa"/>
          </w:tcPr>
          <w:p w:rsidR="00653DCC" w:rsidRDefault="00223555" w:rsidP="00AD3446">
            <w:pPr>
              <w:pStyle w:val="Heading2"/>
              <w:numPr>
                <w:ilvl w:val="0"/>
                <w:numId w:val="0"/>
              </w:numPr>
              <w:outlineLvl w:val="1"/>
            </w:pPr>
            <w:r>
              <w:t xml:space="preserve">Instructions to </w:t>
            </w:r>
            <w:r w:rsidR="00E7163F">
              <w:t>Bidders</w:t>
            </w:r>
            <w:r>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4</w:t>
            </w:r>
          </w:p>
        </w:tc>
        <w:tc>
          <w:tcPr>
            <w:tcW w:w="5386" w:type="dxa"/>
          </w:tcPr>
          <w:p w:rsidR="009464EA" w:rsidRDefault="008731E8" w:rsidP="00AD3446">
            <w:pPr>
              <w:pStyle w:val="Heading2"/>
              <w:numPr>
                <w:ilvl w:val="0"/>
                <w:numId w:val="0"/>
              </w:numPr>
              <w:outlineLvl w:val="1"/>
            </w:pPr>
            <w:r>
              <w:t>Tender evaluation methodology and criteria</w:t>
            </w:r>
          </w:p>
          <w:p w:rsidR="00653DCC" w:rsidRDefault="008731E8" w:rsidP="00AD3446">
            <w:pPr>
              <w:pStyle w:val="Heading2"/>
              <w:numPr>
                <w:ilvl w:val="0"/>
                <w:numId w:val="0"/>
              </w:numPr>
              <w:outlineLvl w:val="1"/>
            </w:pPr>
            <w:r>
              <w:t xml:space="preserve"> </w:t>
            </w:r>
          </w:p>
        </w:tc>
      </w:tr>
      <w:tr w:rsidR="00953B6C" w:rsidTr="00337295">
        <w:trPr>
          <w:gridAfter w:val="1"/>
          <w:wAfter w:w="2410" w:type="dxa"/>
        </w:trPr>
        <w:tc>
          <w:tcPr>
            <w:tcW w:w="1418" w:type="dxa"/>
          </w:tcPr>
          <w:p w:rsidR="00953B6C" w:rsidRDefault="00953B6C" w:rsidP="00AD3446">
            <w:pPr>
              <w:pStyle w:val="Heading2"/>
              <w:numPr>
                <w:ilvl w:val="0"/>
                <w:numId w:val="0"/>
              </w:numPr>
              <w:jc w:val="center"/>
              <w:outlineLvl w:val="1"/>
            </w:pPr>
            <w:bookmarkStart w:id="11" w:name="_Ref405453364"/>
            <w:r>
              <w:t xml:space="preserve">Annex </w:t>
            </w:r>
            <w:r w:rsidR="006E3892">
              <w:t>A</w:t>
            </w:r>
            <w:r>
              <w:t>1</w:t>
            </w:r>
            <w:bookmarkEnd w:id="11"/>
          </w:p>
        </w:tc>
        <w:tc>
          <w:tcPr>
            <w:tcW w:w="5386" w:type="dxa"/>
          </w:tcPr>
          <w:p w:rsidR="009464EA" w:rsidRDefault="006E3892" w:rsidP="00AD3446">
            <w:pPr>
              <w:pStyle w:val="Heading2"/>
              <w:numPr>
                <w:ilvl w:val="0"/>
                <w:numId w:val="0"/>
              </w:numPr>
              <w:outlineLvl w:val="1"/>
            </w:pPr>
            <w:r>
              <w:t xml:space="preserve">NHS Terms and Conditions </w:t>
            </w:r>
          </w:p>
          <w:p w:rsidR="006E3892" w:rsidRDefault="006E3892" w:rsidP="00AD3446">
            <w:pPr>
              <w:pStyle w:val="Heading2"/>
              <w:numPr>
                <w:ilvl w:val="0"/>
                <w:numId w:val="0"/>
              </w:numPr>
              <w:outlineLvl w:val="1"/>
            </w:pPr>
          </w:p>
        </w:tc>
      </w:tr>
      <w:tr w:rsidR="00953B6C" w:rsidTr="00337295">
        <w:trPr>
          <w:gridAfter w:val="1"/>
          <w:wAfter w:w="2410" w:type="dxa"/>
        </w:trPr>
        <w:tc>
          <w:tcPr>
            <w:tcW w:w="6804" w:type="dxa"/>
            <w:gridSpan w:val="2"/>
            <w:shd w:val="clear" w:color="auto" w:fill="BFBFBF" w:themeFill="background1" w:themeFillShade="BF"/>
          </w:tcPr>
          <w:p w:rsidR="005957B2" w:rsidRPr="00953B6C" w:rsidRDefault="00AD0C96" w:rsidP="00AD3446">
            <w:pPr>
              <w:pStyle w:val="Heading2"/>
              <w:numPr>
                <w:ilvl w:val="0"/>
                <w:numId w:val="0"/>
              </w:numPr>
              <w:outlineLvl w:val="1"/>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953B6C" w:rsidTr="00337295">
        <w:trPr>
          <w:gridAfter w:val="1"/>
          <w:wAfter w:w="2410" w:type="dxa"/>
        </w:trPr>
        <w:tc>
          <w:tcPr>
            <w:tcW w:w="1418" w:type="dxa"/>
          </w:tcPr>
          <w:p w:rsidR="00953B6C" w:rsidRDefault="006E3892" w:rsidP="00AD3446">
            <w:pPr>
              <w:pStyle w:val="Heading2"/>
              <w:numPr>
                <w:ilvl w:val="0"/>
                <w:numId w:val="0"/>
              </w:numPr>
              <w:jc w:val="center"/>
              <w:outlineLvl w:val="1"/>
            </w:pPr>
            <w:r>
              <w:t>Annex B</w:t>
            </w:r>
            <w:r w:rsidR="00953B6C">
              <w:t>1</w:t>
            </w:r>
          </w:p>
        </w:tc>
        <w:tc>
          <w:tcPr>
            <w:tcW w:w="5386" w:type="dxa"/>
          </w:tcPr>
          <w:p w:rsidR="00953B6C" w:rsidRDefault="006E3892" w:rsidP="00AD3446">
            <w:pPr>
              <w:pStyle w:val="Heading2"/>
              <w:numPr>
                <w:ilvl w:val="0"/>
                <w:numId w:val="0"/>
              </w:numPr>
              <w:outlineLvl w:val="1"/>
            </w:pPr>
            <w:r>
              <w:t>Eligibility</w:t>
            </w:r>
            <w:r w:rsidR="00C573A4">
              <w:t xml:space="preserve"> questions and response</w:t>
            </w:r>
            <w:r w:rsidR="00706A06">
              <w:t>s</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2</w:t>
            </w:r>
          </w:p>
        </w:tc>
        <w:tc>
          <w:tcPr>
            <w:tcW w:w="5386" w:type="dxa"/>
          </w:tcPr>
          <w:p w:rsidR="009464EA" w:rsidRDefault="00636468" w:rsidP="00AD3446">
            <w:pPr>
              <w:pStyle w:val="Heading2"/>
              <w:numPr>
                <w:ilvl w:val="0"/>
                <w:numId w:val="0"/>
              </w:numPr>
              <w:outlineLvl w:val="1"/>
            </w:pPr>
            <w:r>
              <w:t>S</w:t>
            </w:r>
            <w:r w:rsidR="006E3892">
              <w:t>pecification</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B3</w:t>
            </w:r>
          </w:p>
        </w:tc>
        <w:tc>
          <w:tcPr>
            <w:tcW w:w="5386" w:type="dxa"/>
          </w:tcPr>
          <w:p w:rsidR="00C573A4" w:rsidRDefault="008D4F8F" w:rsidP="00AD3446">
            <w:pPr>
              <w:pStyle w:val="Heading2"/>
              <w:numPr>
                <w:ilvl w:val="0"/>
                <w:numId w:val="0"/>
              </w:numPr>
              <w:outlineLvl w:val="1"/>
            </w:pPr>
            <w:r>
              <w:t>Tender R</w:t>
            </w:r>
            <w:r w:rsidR="00A66B5D">
              <w:t xml:space="preserve">esponse </w:t>
            </w:r>
            <w:r>
              <w:t>D</w:t>
            </w:r>
            <w:r w:rsidR="00A66B5D">
              <w:t>ocument</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4</w:t>
            </w:r>
          </w:p>
        </w:tc>
        <w:tc>
          <w:tcPr>
            <w:tcW w:w="5386" w:type="dxa"/>
            <w:tcBorders>
              <w:bottom w:val="single" w:sz="4" w:space="0" w:color="auto"/>
            </w:tcBorders>
          </w:tcPr>
          <w:p w:rsidR="00C573A4" w:rsidRDefault="008D4F8F" w:rsidP="00AD3446">
            <w:pPr>
              <w:pStyle w:val="Heading2"/>
              <w:numPr>
                <w:ilvl w:val="0"/>
                <w:numId w:val="0"/>
              </w:numPr>
              <w:outlineLvl w:val="1"/>
            </w:pPr>
            <w:r>
              <w:t>Commercial S</w:t>
            </w:r>
            <w:r w:rsidR="00A66B5D">
              <w:t>chedule</w:t>
            </w:r>
          </w:p>
          <w:p w:rsidR="009464EA" w:rsidRDefault="009464EA" w:rsidP="00AD3446">
            <w:pPr>
              <w:pStyle w:val="Heading2"/>
              <w:numPr>
                <w:ilvl w:val="0"/>
                <w:numId w:val="0"/>
              </w:numPr>
              <w:outlineLvl w:val="1"/>
            </w:pPr>
          </w:p>
        </w:tc>
      </w:tr>
      <w:tr w:rsidR="009A3E29" w:rsidTr="00337295">
        <w:tc>
          <w:tcPr>
            <w:tcW w:w="1418" w:type="dxa"/>
          </w:tcPr>
          <w:p w:rsidR="009A3E29" w:rsidRDefault="006E3892" w:rsidP="00AD3446">
            <w:pPr>
              <w:pStyle w:val="Heading2"/>
              <w:numPr>
                <w:ilvl w:val="0"/>
                <w:numId w:val="0"/>
              </w:numPr>
              <w:jc w:val="center"/>
              <w:outlineLvl w:val="1"/>
            </w:pPr>
            <w:r>
              <w:t>Annex B</w:t>
            </w:r>
            <w:r w:rsidR="009A3E29">
              <w:t>5</w:t>
            </w:r>
          </w:p>
        </w:tc>
        <w:tc>
          <w:tcPr>
            <w:tcW w:w="5386" w:type="dxa"/>
            <w:tcBorders>
              <w:right w:val="single" w:sz="4" w:space="0" w:color="auto"/>
            </w:tcBorders>
          </w:tcPr>
          <w:p w:rsidR="009A3E29" w:rsidRDefault="00A66B5D" w:rsidP="00AD3446">
            <w:pPr>
              <w:pStyle w:val="Heading2"/>
              <w:numPr>
                <w:ilvl w:val="0"/>
                <w:numId w:val="0"/>
              </w:numPr>
              <w:outlineLvl w:val="1"/>
            </w:pPr>
            <w:r>
              <w:t>Confidential and commercially sensitive information</w:t>
            </w:r>
          </w:p>
          <w:p w:rsidR="009A3E29" w:rsidRDefault="009A3E29" w:rsidP="00AD3446">
            <w:pPr>
              <w:pStyle w:val="Heading2"/>
              <w:numPr>
                <w:ilvl w:val="0"/>
                <w:numId w:val="0"/>
              </w:numPr>
              <w:outlineLvl w:val="1"/>
            </w:pPr>
          </w:p>
        </w:tc>
        <w:tc>
          <w:tcPr>
            <w:tcW w:w="2410" w:type="dxa"/>
            <w:tcBorders>
              <w:top w:val="nil"/>
              <w:left w:val="single" w:sz="4" w:space="0" w:color="auto"/>
              <w:bottom w:val="nil"/>
              <w:right w:val="nil"/>
            </w:tcBorders>
          </w:tcPr>
          <w:p w:rsidR="009A3E29" w:rsidRPr="009A3E29" w:rsidRDefault="009A3E29" w:rsidP="00AD3446">
            <w:pPr>
              <w:pStyle w:val="Heading2"/>
              <w:numPr>
                <w:ilvl w:val="0"/>
                <w:numId w:val="0"/>
              </w:numPr>
              <w:jc w:val="right"/>
              <w:outlineLvl w:val="1"/>
              <w:rPr>
                <w:rFonts w:ascii="Arial Bold" w:hAnsi="Arial Bold"/>
                <w:color w:val="FF0000"/>
              </w:rPr>
            </w:pPr>
            <w:bookmarkStart w:id="12" w:name="handonesix"/>
            <w:bookmarkEnd w:id="12"/>
          </w:p>
        </w:tc>
      </w:tr>
      <w:tr w:rsidR="006E3892" w:rsidTr="00337295">
        <w:tc>
          <w:tcPr>
            <w:tcW w:w="1418" w:type="dxa"/>
          </w:tcPr>
          <w:p w:rsidR="006E3892" w:rsidRDefault="006E3892" w:rsidP="00AD3446">
            <w:pPr>
              <w:pStyle w:val="Heading2"/>
              <w:numPr>
                <w:ilvl w:val="0"/>
                <w:numId w:val="0"/>
              </w:numPr>
              <w:jc w:val="center"/>
              <w:outlineLvl w:val="1"/>
            </w:pPr>
            <w:r>
              <w:t>Annex B</w:t>
            </w:r>
            <w:r w:rsidR="00AD1F28">
              <w:t>6</w:t>
            </w:r>
          </w:p>
          <w:p w:rsidR="006E3892" w:rsidRDefault="006E3892" w:rsidP="00AD3446">
            <w:pPr>
              <w:pStyle w:val="Heading2"/>
              <w:numPr>
                <w:ilvl w:val="0"/>
                <w:numId w:val="0"/>
              </w:numPr>
              <w:jc w:val="center"/>
              <w:outlineLvl w:val="1"/>
            </w:pPr>
          </w:p>
        </w:tc>
        <w:tc>
          <w:tcPr>
            <w:tcW w:w="5386" w:type="dxa"/>
            <w:tcBorders>
              <w:right w:val="single" w:sz="4" w:space="0" w:color="auto"/>
            </w:tcBorders>
          </w:tcPr>
          <w:p w:rsidR="006E3892" w:rsidRDefault="006E3892" w:rsidP="00AD3446">
            <w:pPr>
              <w:pStyle w:val="Heading2"/>
              <w:numPr>
                <w:ilvl w:val="0"/>
                <w:numId w:val="0"/>
              </w:numPr>
              <w:outlineLvl w:val="1"/>
            </w:pPr>
            <w:r>
              <w:t>Form of Tender</w:t>
            </w:r>
          </w:p>
        </w:tc>
        <w:tc>
          <w:tcPr>
            <w:tcW w:w="2410" w:type="dxa"/>
            <w:tcBorders>
              <w:top w:val="nil"/>
              <w:left w:val="single" w:sz="4" w:space="0" w:color="auto"/>
              <w:bottom w:val="nil"/>
              <w:right w:val="nil"/>
            </w:tcBorders>
          </w:tcPr>
          <w:p w:rsidR="006E3892" w:rsidRDefault="006E3892" w:rsidP="00AD3446">
            <w:pPr>
              <w:pStyle w:val="Heading2"/>
              <w:numPr>
                <w:ilvl w:val="0"/>
                <w:numId w:val="0"/>
              </w:numPr>
              <w:jc w:val="right"/>
              <w:outlineLvl w:val="1"/>
            </w:pPr>
          </w:p>
        </w:tc>
      </w:tr>
    </w:tbl>
    <w:p w:rsidR="003E3276" w:rsidRDefault="003E3276" w:rsidP="00247F0F">
      <w:pPr>
        <w:pStyle w:val="Heading2"/>
        <w:numPr>
          <w:ilvl w:val="0"/>
          <w:numId w:val="0"/>
        </w:numPr>
        <w:ind w:left="851"/>
        <w:rPr>
          <w:b/>
        </w:rPr>
      </w:pPr>
    </w:p>
    <w:p w:rsidR="00247F0F" w:rsidRDefault="00247F0F" w:rsidP="00F6119D">
      <w:pPr>
        <w:pStyle w:val="Heading1"/>
        <w:spacing w:before="240" w:after="0"/>
        <w:rPr>
          <w:b w:val="0"/>
        </w:rPr>
      </w:pPr>
      <w:bookmarkStart w:id="13" w:name="_Toc403555084"/>
      <w:r>
        <w:t xml:space="preserve">Introduction to the </w:t>
      </w:r>
      <w:r w:rsidR="00740C0F">
        <w:t>procurement</w:t>
      </w:r>
      <w:bookmarkEnd w:id="13"/>
      <w:r>
        <w:t xml:space="preserve"> </w:t>
      </w:r>
    </w:p>
    <w:p w:rsidR="009F1E32" w:rsidRDefault="009F1E32" w:rsidP="009F1E32">
      <w:pPr>
        <w:rPr>
          <w:rFonts w:cs="Arial"/>
          <w:b/>
        </w:rPr>
      </w:pPr>
      <w:bookmarkStart w:id="14" w:name="_Toc403555085"/>
      <w:bookmarkStart w:id="15" w:name="_Ref405466279"/>
      <w:bookmarkStart w:id="16" w:name="_Ref405466286"/>
      <w:r>
        <w:rPr>
          <w:rFonts w:cs="Arial"/>
        </w:rPr>
        <w:t xml:space="preserve">York Teaching Hospital NHS Foundation Trust provide acute services for approximately 530,000 people living in and around York, North Yorkshire, North East Yorkshire and Ryedale and also a range of specialist services over a wider catchment area of around 500,000 people in North Yorkshire. </w:t>
      </w:r>
    </w:p>
    <w:bookmarkEnd w:id="14"/>
    <w:bookmarkEnd w:id="15"/>
    <w:bookmarkEnd w:id="16"/>
    <w:p w:rsidR="00CE4B87" w:rsidRDefault="009F1E32" w:rsidP="002D6116">
      <w:pPr>
        <w:pStyle w:val="MRNumberedHeading2"/>
      </w:pPr>
      <w:r>
        <w:lastRenderedPageBreak/>
        <w:t>York Teaching Hospital NHS Foundation Trust provide acute services for approximately 530,000 people living in and around York, North Yorkshire, North East Yorkshire and Ryedale and also a range of specialist services over a wider catchment area of 500,000 people in North Yorkshire.</w:t>
      </w:r>
    </w:p>
    <w:p w:rsidR="009F1E32" w:rsidRDefault="009F1E32" w:rsidP="009F1E32">
      <w:pPr>
        <w:spacing w:before="100" w:beforeAutospacing="1"/>
        <w:ind w:left="720"/>
        <w:rPr>
          <w:rFonts w:cs="Arial"/>
          <w:b/>
        </w:rPr>
      </w:pPr>
      <w:r>
        <w:rPr>
          <w:rFonts w:cs="Arial"/>
        </w:rPr>
        <w:t xml:space="preserve">In April 2011 we took over the management of some community based services in Selby, York, Scarborough, Whitby and Ryedale. This includes some community nursing and specialist services as well as Archways in York, St Monica's in </w:t>
      </w:r>
      <w:proofErr w:type="spellStart"/>
      <w:r>
        <w:rPr>
          <w:rFonts w:cs="Arial"/>
        </w:rPr>
        <w:t>Easingwold</w:t>
      </w:r>
      <w:proofErr w:type="spellEnd"/>
      <w:r>
        <w:rPr>
          <w:rFonts w:cs="Arial"/>
        </w:rPr>
        <w:t xml:space="preserve">, The New Selby War Memorial Hospital, Whitby Hospital and </w:t>
      </w:r>
      <w:proofErr w:type="spellStart"/>
      <w:r>
        <w:rPr>
          <w:rFonts w:cs="Arial"/>
        </w:rPr>
        <w:t>Malton</w:t>
      </w:r>
      <w:proofErr w:type="spellEnd"/>
      <w:r>
        <w:rPr>
          <w:rFonts w:cs="Arial"/>
        </w:rPr>
        <w:t xml:space="preserve"> Hospital. From 1 July 2012, Scarborough and Bridlington Hospitals were acquired by York Teaching Hospital NHS Foundation Trust.</w:t>
      </w:r>
    </w:p>
    <w:p w:rsidR="009F1E32" w:rsidRDefault="009F1E32" w:rsidP="009F1E32">
      <w:pPr>
        <w:spacing w:before="100" w:beforeAutospacing="1"/>
        <w:ind w:left="720"/>
        <w:rPr>
          <w:rFonts w:cs="Arial"/>
          <w:b/>
        </w:rPr>
      </w:pPr>
      <w:r>
        <w:rPr>
          <w:rFonts w:cs="Arial"/>
        </w:rPr>
        <w:t>We manage nine hospital sites, 1,127 beds (including day-case beds) and have a workforce of over 9,500 staff working across our hospitals and in the Community:</w:t>
      </w:r>
    </w:p>
    <w:p w:rsidR="009F1E32" w:rsidRDefault="009F1E32" w:rsidP="009F1E32">
      <w:pPr>
        <w:tabs>
          <w:tab w:val="num" w:pos="1004"/>
        </w:tabs>
        <w:rPr>
          <w:rFonts w:cs="Arial"/>
          <w:b/>
        </w:rPr>
      </w:pPr>
    </w:p>
    <w:p w:rsidR="009F1E32" w:rsidRDefault="009F1E32" w:rsidP="00351CE0">
      <w:pPr>
        <w:numPr>
          <w:ilvl w:val="0"/>
          <w:numId w:val="22"/>
        </w:numPr>
        <w:rPr>
          <w:rFonts w:cs="Arial"/>
          <w:b/>
        </w:rPr>
      </w:pPr>
      <w:r>
        <w:rPr>
          <w:rFonts w:cs="Arial"/>
        </w:rPr>
        <w:t>York Hospital</w:t>
      </w:r>
    </w:p>
    <w:p w:rsidR="009F1E32" w:rsidRDefault="009F1E32" w:rsidP="00351CE0">
      <w:pPr>
        <w:numPr>
          <w:ilvl w:val="0"/>
          <w:numId w:val="22"/>
        </w:numPr>
        <w:rPr>
          <w:rFonts w:cs="Arial"/>
          <w:b/>
        </w:rPr>
      </w:pPr>
      <w:r>
        <w:rPr>
          <w:rFonts w:cs="Arial"/>
        </w:rPr>
        <w:t>Scarborough General Hospital</w:t>
      </w:r>
    </w:p>
    <w:p w:rsidR="009F1E32" w:rsidRDefault="009F1E32" w:rsidP="00351CE0">
      <w:pPr>
        <w:numPr>
          <w:ilvl w:val="0"/>
          <w:numId w:val="22"/>
        </w:numPr>
        <w:rPr>
          <w:rFonts w:cs="Arial"/>
          <w:b/>
        </w:rPr>
      </w:pPr>
      <w:r>
        <w:rPr>
          <w:rFonts w:cs="Arial"/>
        </w:rPr>
        <w:t>Bridlington District Hospital</w:t>
      </w:r>
    </w:p>
    <w:p w:rsidR="009F1E32" w:rsidRDefault="009F1E32" w:rsidP="00351CE0">
      <w:pPr>
        <w:numPr>
          <w:ilvl w:val="0"/>
          <w:numId w:val="22"/>
        </w:numPr>
        <w:rPr>
          <w:rFonts w:cs="Arial"/>
          <w:b/>
        </w:rPr>
      </w:pPr>
      <w:proofErr w:type="spellStart"/>
      <w:r>
        <w:rPr>
          <w:rFonts w:cs="Arial"/>
        </w:rPr>
        <w:t>Malton</w:t>
      </w:r>
      <w:proofErr w:type="spellEnd"/>
      <w:r>
        <w:rPr>
          <w:rFonts w:cs="Arial"/>
        </w:rPr>
        <w:t xml:space="preserve"> Community Hospital</w:t>
      </w:r>
    </w:p>
    <w:p w:rsidR="009F1E32" w:rsidRDefault="009F1E32" w:rsidP="00351CE0">
      <w:pPr>
        <w:numPr>
          <w:ilvl w:val="0"/>
          <w:numId w:val="22"/>
        </w:numPr>
        <w:rPr>
          <w:rFonts w:cs="Arial"/>
          <w:b/>
        </w:rPr>
      </w:pPr>
      <w:r>
        <w:rPr>
          <w:rFonts w:cs="Arial"/>
        </w:rPr>
        <w:t>Selby War Memorial Hospital</w:t>
      </w:r>
    </w:p>
    <w:p w:rsidR="009F1E32" w:rsidRDefault="009F1E32" w:rsidP="00351CE0">
      <w:pPr>
        <w:numPr>
          <w:ilvl w:val="0"/>
          <w:numId w:val="22"/>
        </w:numPr>
        <w:rPr>
          <w:rFonts w:cs="Arial"/>
          <w:b/>
        </w:rPr>
      </w:pPr>
      <w:r>
        <w:rPr>
          <w:rFonts w:cs="Arial"/>
        </w:rPr>
        <w:t>St Monica’s Hospital</w:t>
      </w:r>
    </w:p>
    <w:p w:rsidR="009F1E32" w:rsidRDefault="009F1E32" w:rsidP="00351CE0">
      <w:pPr>
        <w:numPr>
          <w:ilvl w:val="0"/>
          <w:numId w:val="22"/>
        </w:numPr>
        <w:rPr>
          <w:rFonts w:cs="Arial"/>
          <w:b/>
        </w:rPr>
      </w:pPr>
      <w:r>
        <w:rPr>
          <w:rFonts w:cs="Arial"/>
        </w:rPr>
        <w:t>Archways Intermediate Care Unit</w:t>
      </w:r>
    </w:p>
    <w:p w:rsidR="009F1E32" w:rsidRDefault="009F1E32" w:rsidP="00351CE0">
      <w:pPr>
        <w:numPr>
          <w:ilvl w:val="0"/>
          <w:numId w:val="22"/>
        </w:numPr>
        <w:rPr>
          <w:rFonts w:cs="Arial"/>
          <w:b/>
        </w:rPr>
      </w:pPr>
      <w:r>
        <w:rPr>
          <w:rFonts w:cs="Arial"/>
        </w:rPr>
        <w:t>White Cross Rehabilitation Hospital</w:t>
      </w:r>
    </w:p>
    <w:p w:rsidR="009F1E32" w:rsidRDefault="009F1E32" w:rsidP="00351CE0">
      <w:pPr>
        <w:numPr>
          <w:ilvl w:val="0"/>
          <w:numId w:val="22"/>
        </w:numPr>
        <w:rPr>
          <w:rFonts w:cs="Arial"/>
          <w:b/>
        </w:rPr>
      </w:pPr>
      <w:r>
        <w:rPr>
          <w:rFonts w:cs="Arial"/>
        </w:rPr>
        <w:t>St Helens Rehabilitation Hospital</w:t>
      </w:r>
    </w:p>
    <w:p w:rsidR="009F1E32" w:rsidRDefault="009F1E32" w:rsidP="009F1E32">
      <w:pPr>
        <w:ind w:firstLine="646"/>
        <w:rPr>
          <w:rFonts w:cs="Arial"/>
          <w:b/>
        </w:rPr>
      </w:pPr>
    </w:p>
    <w:p w:rsidR="009F1E32" w:rsidRPr="009F1E32" w:rsidRDefault="009F1E32" w:rsidP="009F1E32">
      <w:pPr>
        <w:ind w:left="720"/>
        <w:rPr>
          <w:rFonts w:cs="Arial"/>
          <w:b/>
        </w:rPr>
      </w:pPr>
      <w:r>
        <w:rPr>
          <w:rFonts w:cs="Arial"/>
        </w:rPr>
        <w:t xml:space="preserve">We provide some more specialist services from other sites, including renal dialysis in </w:t>
      </w:r>
      <w:proofErr w:type="spellStart"/>
      <w:r>
        <w:rPr>
          <w:rFonts w:cs="Arial"/>
        </w:rPr>
        <w:t>Easingwold</w:t>
      </w:r>
      <w:proofErr w:type="spellEnd"/>
      <w:r>
        <w:rPr>
          <w:rFonts w:cs="Arial"/>
        </w:rPr>
        <w:t xml:space="preserve"> and Harrogate, and sexual health services in </w:t>
      </w:r>
      <w:proofErr w:type="spellStart"/>
      <w:r>
        <w:rPr>
          <w:rFonts w:cs="Arial"/>
        </w:rPr>
        <w:t>Monkgate</w:t>
      </w:r>
      <w:proofErr w:type="spellEnd"/>
      <w:r>
        <w:rPr>
          <w:rFonts w:cs="Arial"/>
        </w:rPr>
        <w:t xml:space="preserve"> Heath Centre in York. </w:t>
      </w:r>
    </w:p>
    <w:p w:rsidR="00C10296" w:rsidRPr="00C10296" w:rsidRDefault="00C10296" w:rsidP="00C10296">
      <w:pPr>
        <w:pStyle w:val="MRNumberedHeading2"/>
      </w:pPr>
      <w:r w:rsidRPr="00C10296">
        <w:rPr>
          <w:rFonts w:cs="Arial"/>
        </w:rPr>
        <w:t xml:space="preserve">York Hospitals Trust is currently in the process of upgrading its Wireless </w:t>
      </w:r>
      <w:r w:rsidR="00F6119D">
        <w:rPr>
          <w:rFonts w:cs="Arial"/>
        </w:rPr>
        <w:t>infrastructure across 8 sites (as stated</w:t>
      </w:r>
      <w:r w:rsidRPr="00C10296">
        <w:rPr>
          <w:rFonts w:cs="Arial"/>
        </w:rPr>
        <w:t>). A total of 931 Cisco Access points will be installed across these sites. The Trust will require cabling to be installed in order to connect the new Access points back to the corresponding Data Cabinets. Chosen Contractor will also be required to fit the Cisco Access points both in ceilings and wall mount points. The majority of the Access points will be installed above ceiling tiles with a small amount required to be wall mounted. The chosen contractor will be required to also mount the access points in the positions specified from the APIDs (Acc</w:t>
      </w:r>
      <w:r w:rsidR="00F6119D">
        <w:rPr>
          <w:rFonts w:cs="Arial"/>
        </w:rPr>
        <w:t>ess point installation document</w:t>
      </w:r>
      <w:r w:rsidRPr="00C10296">
        <w:rPr>
          <w:rFonts w:cs="Arial"/>
        </w:rPr>
        <w:t>). Wall mounted AP’s will require a bracket to be sourced by the Contractor and fitted</w:t>
      </w:r>
    </w:p>
    <w:p w:rsidR="00C10296" w:rsidRPr="00C10296" w:rsidRDefault="00C10296" w:rsidP="00C10296">
      <w:pPr>
        <w:spacing w:before="100" w:beforeAutospacing="1"/>
        <w:ind w:left="720"/>
        <w:rPr>
          <w:rFonts w:cs="Arial"/>
        </w:rPr>
      </w:pPr>
      <w:r w:rsidRPr="00C10296">
        <w:rPr>
          <w:rFonts w:cs="Arial"/>
        </w:rPr>
        <w:t>Contractor will work from a schedule provided by the Trust and upon completion will be required to provide test results and guarantees (as stated).</w:t>
      </w:r>
      <w:r>
        <w:rPr>
          <w:rFonts w:cs="Arial"/>
        </w:rPr>
        <w:t xml:space="preserve"> </w:t>
      </w:r>
    </w:p>
    <w:p w:rsidR="00C10296" w:rsidRDefault="00C10296" w:rsidP="00C10296">
      <w:pPr>
        <w:spacing w:before="100" w:beforeAutospacing="1"/>
        <w:ind w:left="720"/>
        <w:rPr>
          <w:rFonts w:cs="Arial"/>
        </w:rPr>
      </w:pPr>
      <w:r w:rsidRPr="00C10296">
        <w:rPr>
          <w:rFonts w:cs="Arial"/>
        </w:rPr>
        <w:t>The chosen Contractor</w:t>
      </w:r>
      <w:r>
        <w:rPr>
          <w:rFonts w:cs="Arial"/>
        </w:rPr>
        <w:t>/s</w:t>
      </w:r>
      <w:r w:rsidRPr="00C10296">
        <w:rPr>
          <w:rFonts w:cs="Arial"/>
        </w:rPr>
        <w:t xml:space="preserve"> will be required to have regular update meetings with Trus</w:t>
      </w:r>
      <w:r>
        <w:rPr>
          <w:rFonts w:cs="Arial"/>
        </w:rPr>
        <w:t>t Project Team.</w:t>
      </w:r>
    </w:p>
    <w:p w:rsidR="00C10296" w:rsidRDefault="00C10296" w:rsidP="00C10296">
      <w:pPr>
        <w:spacing w:before="100" w:beforeAutospacing="1"/>
        <w:ind w:left="720"/>
        <w:rPr>
          <w:rFonts w:cs="Arial"/>
        </w:rPr>
      </w:pPr>
      <w:r>
        <w:rPr>
          <w:rFonts w:cs="Arial"/>
        </w:rPr>
        <w:t>The procurement is split into 2 lots</w:t>
      </w:r>
      <w:r w:rsidR="008117D1">
        <w:rPr>
          <w:rFonts w:cs="Arial"/>
        </w:rPr>
        <w:t xml:space="preserve"> and within each lot bidders are asked to quote for 2 options detailed in the specification. </w:t>
      </w:r>
      <w:r w:rsidR="008117D1">
        <w:rPr>
          <w:color w:val="000000"/>
        </w:rPr>
        <w:t>York Hospital NHS Foundation Trust reserves the right to go with either option at our discretion</w:t>
      </w:r>
    </w:p>
    <w:p w:rsidR="00C10296" w:rsidRPr="00C10296" w:rsidRDefault="00C10296" w:rsidP="00C10296">
      <w:pPr>
        <w:spacing w:before="100" w:beforeAutospacing="1"/>
        <w:ind w:left="720"/>
        <w:rPr>
          <w:rFonts w:cs="Arial"/>
        </w:rPr>
      </w:pPr>
      <w:r w:rsidRPr="00C10296">
        <w:rPr>
          <w:rFonts w:cs="Arial"/>
        </w:rPr>
        <w:t>LOT</w:t>
      </w:r>
      <w:r>
        <w:rPr>
          <w:rFonts w:cs="Arial"/>
        </w:rPr>
        <w:t xml:space="preserve"> </w:t>
      </w:r>
      <w:r w:rsidRPr="00C10296">
        <w:rPr>
          <w:rFonts w:cs="Arial"/>
        </w:rPr>
        <w:t>1</w:t>
      </w:r>
      <w:r>
        <w:rPr>
          <w:rFonts w:cs="Arial"/>
        </w:rPr>
        <w:t xml:space="preserve"> - </w:t>
      </w:r>
      <w:r w:rsidRPr="00C10296">
        <w:rPr>
          <w:rFonts w:cs="Arial"/>
        </w:rPr>
        <w:t xml:space="preserve">York, Selby, St Helens, St </w:t>
      </w:r>
      <w:proofErr w:type="spellStart"/>
      <w:r w:rsidRPr="00C10296">
        <w:rPr>
          <w:rFonts w:cs="Arial"/>
        </w:rPr>
        <w:t>Monicas</w:t>
      </w:r>
      <w:proofErr w:type="spellEnd"/>
      <w:r w:rsidRPr="00C10296">
        <w:rPr>
          <w:rFonts w:cs="Arial"/>
        </w:rPr>
        <w:t>, White Cross</w:t>
      </w:r>
    </w:p>
    <w:p w:rsidR="00C10296" w:rsidRPr="00C10296" w:rsidRDefault="00C10296" w:rsidP="00C10296">
      <w:pPr>
        <w:spacing w:before="100" w:beforeAutospacing="1"/>
        <w:ind w:left="720"/>
        <w:rPr>
          <w:rFonts w:cs="Arial"/>
        </w:rPr>
      </w:pPr>
      <w:r w:rsidRPr="00C10296">
        <w:rPr>
          <w:rFonts w:cs="Arial"/>
        </w:rPr>
        <w:t>LOT</w:t>
      </w:r>
      <w:r>
        <w:rPr>
          <w:rFonts w:cs="Arial"/>
        </w:rPr>
        <w:t xml:space="preserve"> </w:t>
      </w:r>
      <w:r w:rsidRPr="00C10296">
        <w:rPr>
          <w:rFonts w:cs="Arial"/>
        </w:rPr>
        <w:t>2</w:t>
      </w:r>
      <w:r>
        <w:rPr>
          <w:rFonts w:cs="Arial"/>
        </w:rPr>
        <w:t xml:space="preserve"> - </w:t>
      </w:r>
      <w:r w:rsidRPr="00C10296">
        <w:rPr>
          <w:rFonts w:cs="Arial"/>
        </w:rPr>
        <w:t xml:space="preserve">Scarborough, Bridlington, </w:t>
      </w:r>
      <w:proofErr w:type="spellStart"/>
      <w:r w:rsidRPr="00C10296">
        <w:rPr>
          <w:rFonts w:cs="Arial"/>
        </w:rPr>
        <w:t>Malton</w:t>
      </w:r>
      <w:proofErr w:type="spellEnd"/>
    </w:p>
    <w:p w:rsidR="00603A0D" w:rsidRDefault="00603A0D" w:rsidP="006B54D6">
      <w:pPr>
        <w:pStyle w:val="MRNumberedHeading2"/>
      </w:pPr>
      <w:bookmarkStart w:id="17" w:name="_Toc403555087"/>
      <w:r w:rsidRPr="00533CB2">
        <w:t xml:space="preserve">Full details of the Authority's requirements are set out in the Specification in </w:t>
      </w:r>
      <w:r w:rsidR="007F5F02">
        <w:t>Annex B2</w:t>
      </w:r>
      <w:r w:rsidR="0050545F">
        <w:t xml:space="preserve"> of Section B</w:t>
      </w:r>
      <w:r w:rsidR="007F5F02">
        <w:t>.</w:t>
      </w:r>
      <w:bookmarkEnd w:id="17"/>
      <w:r w:rsidR="007F5F02">
        <w:t xml:space="preserve"> </w:t>
      </w:r>
    </w:p>
    <w:p w:rsidR="00CF3C3F" w:rsidRPr="00C10296" w:rsidRDefault="00CF3C3F" w:rsidP="00C10296">
      <w:pPr>
        <w:pStyle w:val="MRNumberedHeading2"/>
        <w:numPr>
          <w:ilvl w:val="0"/>
          <w:numId w:val="0"/>
        </w:numPr>
        <w:ind w:left="720"/>
        <w:rPr>
          <w:b/>
        </w:rPr>
      </w:pPr>
      <w:bookmarkStart w:id="18" w:name="_Toc403555088"/>
      <w:r w:rsidRPr="00C10296">
        <w:rPr>
          <w:b/>
        </w:rPr>
        <w:t>SMEs</w:t>
      </w:r>
      <w:bookmarkEnd w:id="18"/>
    </w:p>
    <w:p w:rsidR="005275E6" w:rsidRPr="00C10296" w:rsidRDefault="00184371" w:rsidP="006B54D6">
      <w:pPr>
        <w:pStyle w:val="MRNumberedHeading2"/>
        <w:rPr>
          <w:rFonts w:cs="Arial"/>
        </w:rPr>
      </w:pPr>
      <w:bookmarkStart w:id="19" w:name="_Toc403555089"/>
      <w:r w:rsidRPr="00C10296">
        <w:rPr>
          <w:rFonts w:cs="Arial"/>
        </w:rPr>
        <w:t>The Authority is committed to supporting the Government’s small and medium-sized enterprise (</w:t>
      </w:r>
      <w:r w:rsidR="00586006" w:rsidRPr="00C10296">
        <w:rPr>
          <w:rFonts w:cs="Arial"/>
        </w:rPr>
        <w:t xml:space="preserve">SME) initiative; its aspiration is </w:t>
      </w:r>
      <w:r w:rsidRPr="00C10296">
        <w:rPr>
          <w:rFonts w:cs="Arial"/>
        </w:rPr>
        <w:t xml:space="preserve">that 25% of spend, direct and through the supply </w:t>
      </w:r>
      <w:r w:rsidRPr="00C10296">
        <w:rPr>
          <w:rFonts w:cs="Arial"/>
        </w:rPr>
        <w:lastRenderedPageBreak/>
        <w:t>chain, g</w:t>
      </w:r>
      <w:r w:rsidR="003B1EDB" w:rsidRPr="00C10296">
        <w:rPr>
          <w:rFonts w:cs="Arial"/>
        </w:rPr>
        <w:t xml:space="preserve">oes to SMEs by 2015. </w:t>
      </w:r>
      <w:r w:rsidRPr="00C10296">
        <w:rPr>
          <w:rFonts w:cs="Arial"/>
        </w:rPr>
        <w:t xml:space="preserve">Suppliers are </w:t>
      </w:r>
      <w:r w:rsidR="00BA0984" w:rsidRPr="00C10296">
        <w:rPr>
          <w:rFonts w:cs="Arial"/>
        </w:rPr>
        <w:t xml:space="preserve">encouraged to work with the Authority </w:t>
      </w:r>
      <w:r w:rsidRPr="00C10296">
        <w:rPr>
          <w:rFonts w:cs="Arial"/>
        </w:rPr>
        <w:t>to support the wider SME initiative.</w:t>
      </w:r>
      <w:bookmarkEnd w:id="19"/>
    </w:p>
    <w:p w:rsidR="00603A0D" w:rsidRPr="00C10296" w:rsidRDefault="00603A0D" w:rsidP="006B54D6">
      <w:pPr>
        <w:pStyle w:val="MRNumberedHeading2"/>
        <w:rPr>
          <w:rFonts w:cs="Arial"/>
        </w:rPr>
      </w:pPr>
      <w:bookmarkStart w:id="20" w:name="_Toc403555090"/>
      <w:bookmarkStart w:id="21" w:name="_Ref405452851"/>
      <w:r w:rsidRPr="00C10296">
        <w:rPr>
          <w:rFonts w:cs="Arial"/>
        </w:rPr>
        <w:t>The link below to the Cabinet Office website provides information on the Government’s Crown Representative for SMEs</w:t>
      </w:r>
      <w:r w:rsidR="00E82493" w:rsidRPr="00C10296">
        <w:rPr>
          <w:rFonts w:cs="Arial"/>
        </w:rPr>
        <w:t>,</w:t>
      </w:r>
      <w:r w:rsidRPr="00C10296">
        <w:rPr>
          <w:rFonts w:cs="Arial"/>
        </w:rPr>
        <w:t xml:space="preserve"> a link to the definition of an SME and details on the SME initiative:  </w:t>
      </w:r>
      <w:hyperlink r:id="rId16" w:history="1">
        <w:r w:rsidR="00586006" w:rsidRPr="00C10296">
          <w:rPr>
            <w:rFonts w:cs="Arial"/>
          </w:rPr>
          <w:t>https://www.gov.uk/government/policies/buying-and-managing-government-goods-and-services-more-efficiently-and-effectively/supporting-pages/making-sure-government-gets-full-value-from-small-and-medium-sized-enterprises</w:t>
        </w:r>
      </w:hyperlink>
      <w:r w:rsidR="004F391B" w:rsidRPr="00C10296">
        <w:rPr>
          <w:rFonts w:cs="Arial"/>
        </w:rPr>
        <w:t>.</w:t>
      </w:r>
      <w:bookmarkEnd w:id="20"/>
      <w:bookmarkEnd w:id="21"/>
    </w:p>
    <w:p w:rsidR="006534CF" w:rsidRDefault="00825FC5" w:rsidP="00337295">
      <w:pPr>
        <w:pStyle w:val="Heading1"/>
        <w:spacing w:before="240" w:after="0"/>
        <w:ind w:left="709"/>
        <w:rPr>
          <w:b w:val="0"/>
        </w:rPr>
      </w:pPr>
      <w:bookmarkStart w:id="22" w:name="_Toc403555093"/>
      <w:r w:rsidRPr="00276E1B">
        <w:t>Questions</w:t>
      </w:r>
      <w:r>
        <w:rPr>
          <w:b w:val="0"/>
        </w:rPr>
        <w:t xml:space="preserve"> </w:t>
      </w:r>
      <w:r w:rsidRPr="00276E1B">
        <w:t>about this ITT</w:t>
      </w:r>
      <w:bookmarkEnd w:id="22"/>
    </w:p>
    <w:p w:rsidR="009F1E32" w:rsidRDefault="00825FC5" w:rsidP="006B54D6">
      <w:pPr>
        <w:pStyle w:val="MRNumberedHeading2"/>
      </w:pPr>
      <w:bookmarkStart w:id="23" w:name="_Toc403555094"/>
      <w:bookmarkStart w:id="24" w:name="_Ref405452872"/>
      <w:r>
        <w:t xml:space="preserve">You may submit, by no later than </w:t>
      </w:r>
      <w:r w:rsidR="00514C26">
        <w:t>10 August 201</w:t>
      </w:r>
      <w:bookmarkStart w:id="25" w:name="_GoBack"/>
      <w:bookmarkEnd w:id="25"/>
      <w:r w:rsidR="00514C26">
        <w:t>5</w:t>
      </w:r>
      <w:r>
        <w:t xml:space="preserve"> any queries that you have relating to this ITT.  Please submit such queries </w:t>
      </w:r>
      <w:r w:rsidR="00CF3C3F">
        <w:t>via the</w:t>
      </w:r>
      <w:r w:rsidR="0050545F">
        <w:t xml:space="preserve"> e-Tendering</w:t>
      </w:r>
      <w:r w:rsidR="00CF3C3F">
        <w:t xml:space="preserve"> </w:t>
      </w:r>
      <w:r w:rsidR="004230E7">
        <w:t>Portal</w:t>
      </w:r>
      <w:r w:rsidR="00CF3C3F">
        <w:t xml:space="preserve">. </w:t>
      </w:r>
      <w:bookmarkStart w:id="26" w:name="_Toc403555095"/>
      <w:bookmarkEnd w:id="23"/>
      <w:bookmarkEnd w:id="24"/>
    </w:p>
    <w:p w:rsidR="00825FC5" w:rsidRDefault="00825FC5" w:rsidP="006B54D6">
      <w:pPr>
        <w:pStyle w:val="MRNumberedHeading2"/>
      </w:pPr>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6"/>
    </w:p>
    <w:p w:rsidR="004E71FF" w:rsidRPr="005A2E47" w:rsidRDefault="00825FC5" w:rsidP="006B54D6">
      <w:pPr>
        <w:pStyle w:val="MRNumberedHeading2"/>
      </w:pPr>
      <w:bookmarkStart w:id="27" w:name="_Toc403555096"/>
      <w:r>
        <w:t xml:space="preserve">Answers to the questions received by the Authority will be circulated to all </w:t>
      </w:r>
      <w:r w:rsidR="00DC0F21">
        <w:t>Bidders</w:t>
      </w:r>
      <w:r w:rsidR="006032F2">
        <w:t xml:space="preserve"> via the </w:t>
      </w:r>
      <w:r w:rsidR="0050545F">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w:t>
      </w:r>
      <w:bookmarkEnd w:id="27"/>
      <w:r w:rsidR="004E71FF">
        <w:br w:type="page"/>
      </w:r>
    </w:p>
    <w:p w:rsidR="008D3217" w:rsidRPr="008F3D2C" w:rsidRDefault="008D3217" w:rsidP="00351CE0">
      <w:pPr>
        <w:pStyle w:val="MRNumberedHeading1"/>
        <w:numPr>
          <w:ilvl w:val="0"/>
          <w:numId w:val="19"/>
        </w:numPr>
        <w:tabs>
          <w:tab w:val="clear" w:pos="798"/>
          <w:tab w:val="num" w:pos="709"/>
        </w:tabs>
        <w:ind w:hanging="798"/>
        <w:rPr>
          <w:sz w:val="20"/>
          <w:szCs w:val="20"/>
        </w:rPr>
      </w:pPr>
      <w:bookmarkStart w:id="28" w:name="_Toc403556502"/>
      <w:bookmarkStart w:id="29" w:name="_Toc403556507"/>
      <w:r w:rsidRPr="008F3D2C">
        <w:rPr>
          <w:sz w:val="20"/>
          <w:szCs w:val="20"/>
        </w:rPr>
        <w:lastRenderedPageBreak/>
        <w:t>TENDER TIMETABLE</w:t>
      </w:r>
      <w:bookmarkEnd w:id="28"/>
      <w:bookmarkEnd w:id="29"/>
    </w:p>
    <w:p w:rsidR="008D3217" w:rsidRPr="00276E1B" w:rsidRDefault="008D3217" w:rsidP="00337295">
      <w:pPr>
        <w:pStyle w:val="Heading1"/>
        <w:spacing w:before="240" w:after="0"/>
        <w:ind w:left="709"/>
      </w:pPr>
      <w:bookmarkStart w:id="30" w:name="_Toc403555097"/>
      <w:r w:rsidRPr="00276E1B">
        <w:t>Key dates</w:t>
      </w:r>
      <w:bookmarkEnd w:id="30"/>
    </w:p>
    <w:p w:rsidR="008D3217" w:rsidRDefault="008D3217" w:rsidP="006B54D6">
      <w:pPr>
        <w:pStyle w:val="MRNumberedHeading2"/>
      </w:pPr>
      <w:bookmarkStart w:id="31"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1"/>
      <w:r w:rsidR="00B46DA5">
        <w:t xml:space="preserve"> </w:t>
      </w:r>
    </w:p>
    <w:p w:rsidR="00B46DA5" w:rsidRDefault="00FE07BA" w:rsidP="006B54D6">
      <w:pPr>
        <w:pStyle w:val="MRNumberedHeading2"/>
      </w:pPr>
      <w:bookmarkStart w:id="32" w:name="_Toc403555099"/>
      <w:bookmarkStart w:id="33" w:name="_Ref405452883"/>
      <w:bookmarkStart w:id="34" w:name="_Ref406061800"/>
      <w:bookmarkStart w:id="35" w:name="_Ref406062870"/>
      <w:r>
        <w:t>The key dates for this procurement are currently anticipated to be as follows:</w:t>
      </w:r>
      <w:bookmarkEnd w:id="32"/>
      <w:bookmarkEnd w:id="33"/>
      <w:bookmarkEnd w:id="34"/>
      <w:bookmarkEnd w:id="35"/>
      <w:r>
        <w:t xml:space="preserve"> </w:t>
      </w:r>
    </w:p>
    <w:p w:rsidR="003E3276" w:rsidRDefault="003E3276" w:rsidP="006B54D6">
      <w:pPr>
        <w:pStyle w:val="MRNumberedHeading2"/>
        <w:numPr>
          <w:ilvl w:val="0"/>
          <w:numId w:val="0"/>
        </w:numPr>
        <w:ind w:left="720"/>
      </w:pPr>
    </w:p>
    <w:tbl>
      <w:tblPr>
        <w:tblStyle w:val="TableGrid"/>
        <w:tblW w:w="0" w:type="auto"/>
        <w:tblInd w:w="817" w:type="dxa"/>
        <w:tblLook w:val="04A0" w:firstRow="1" w:lastRow="0" w:firstColumn="1" w:lastColumn="0" w:noHBand="0" w:noVBand="1"/>
      </w:tblPr>
      <w:tblGrid>
        <w:gridCol w:w="5387"/>
        <w:gridCol w:w="2693"/>
      </w:tblGrid>
      <w:tr w:rsidR="00FE07BA" w:rsidTr="008C5577">
        <w:tc>
          <w:tcPr>
            <w:tcW w:w="5387" w:type="dxa"/>
            <w:shd w:val="clear" w:color="auto" w:fill="BFBFBF" w:themeFill="background1" w:themeFillShade="BF"/>
          </w:tcPr>
          <w:p w:rsidR="00FE07BA" w:rsidRPr="00FE07BA" w:rsidRDefault="00FE07BA" w:rsidP="00FE07BA">
            <w:pPr>
              <w:pStyle w:val="Heading2"/>
              <w:numPr>
                <w:ilvl w:val="0"/>
                <w:numId w:val="0"/>
              </w:numPr>
              <w:outlineLvl w:val="1"/>
              <w:rPr>
                <w:b/>
              </w:rPr>
            </w:pPr>
            <w:r w:rsidRPr="00FE07BA">
              <w:rPr>
                <w:b/>
              </w:rPr>
              <w:t>Event</w:t>
            </w:r>
          </w:p>
        </w:tc>
        <w:tc>
          <w:tcPr>
            <w:tcW w:w="2693" w:type="dxa"/>
            <w:shd w:val="clear" w:color="auto" w:fill="BFBFBF" w:themeFill="background1" w:themeFillShade="BF"/>
          </w:tcPr>
          <w:p w:rsidR="00FE07BA" w:rsidRPr="002D2E91" w:rsidRDefault="00FE07BA" w:rsidP="00FE07BA">
            <w:pPr>
              <w:pStyle w:val="Heading2"/>
              <w:numPr>
                <w:ilvl w:val="0"/>
                <w:numId w:val="0"/>
              </w:numPr>
              <w:outlineLvl w:val="1"/>
              <w:rPr>
                <w:b/>
              </w:rPr>
            </w:pPr>
            <w:r w:rsidRPr="002D2E91">
              <w:rPr>
                <w:b/>
              </w:rPr>
              <w:t>Date</w:t>
            </w:r>
          </w:p>
        </w:tc>
      </w:tr>
      <w:tr w:rsidR="00FE07BA" w:rsidTr="008C5577">
        <w:tc>
          <w:tcPr>
            <w:tcW w:w="5387" w:type="dxa"/>
          </w:tcPr>
          <w:p w:rsidR="00FE07BA" w:rsidRDefault="00FE07BA" w:rsidP="00FE07BA">
            <w:pPr>
              <w:pStyle w:val="Heading2"/>
              <w:numPr>
                <w:ilvl w:val="0"/>
                <w:numId w:val="0"/>
              </w:numPr>
              <w:outlineLvl w:val="1"/>
            </w:pPr>
            <w:r>
              <w:t>ITT issued</w:t>
            </w:r>
          </w:p>
        </w:tc>
        <w:tc>
          <w:tcPr>
            <w:tcW w:w="2693" w:type="dxa"/>
          </w:tcPr>
          <w:p w:rsidR="00FE07BA" w:rsidRPr="002D2E91" w:rsidRDefault="00514C26" w:rsidP="00FE07BA">
            <w:pPr>
              <w:pStyle w:val="Heading2"/>
              <w:numPr>
                <w:ilvl w:val="0"/>
                <w:numId w:val="0"/>
              </w:numPr>
              <w:outlineLvl w:val="1"/>
            </w:pPr>
            <w:r>
              <w:t>27</w:t>
            </w:r>
            <w:r w:rsidRPr="00514C26">
              <w:rPr>
                <w:vertAlign w:val="superscript"/>
              </w:rPr>
              <w:t>th</w:t>
            </w:r>
            <w:r>
              <w:t xml:space="preserve"> July 2015</w:t>
            </w:r>
          </w:p>
          <w:p w:rsidR="003273D3" w:rsidRPr="002D2E91" w:rsidRDefault="003273D3" w:rsidP="00FE07BA">
            <w:pPr>
              <w:pStyle w:val="Heading2"/>
              <w:numPr>
                <w:ilvl w:val="0"/>
                <w:numId w:val="0"/>
              </w:numPr>
              <w:outlineLvl w:val="1"/>
            </w:pPr>
          </w:p>
        </w:tc>
      </w:tr>
      <w:tr w:rsidR="00FE07BA" w:rsidTr="008C5577">
        <w:tc>
          <w:tcPr>
            <w:tcW w:w="5387" w:type="dxa"/>
          </w:tcPr>
          <w:p w:rsidR="00FE07BA" w:rsidRDefault="00FE07BA" w:rsidP="00FE07BA">
            <w:pPr>
              <w:pStyle w:val="Heading2"/>
              <w:numPr>
                <w:ilvl w:val="0"/>
                <w:numId w:val="0"/>
              </w:numPr>
              <w:outlineLvl w:val="1"/>
            </w:pPr>
            <w:r>
              <w:t>Deadline for the receipt of clarification questions</w:t>
            </w:r>
          </w:p>
        </w:tc>
        <w:tc>
          <w:tcPr>
            <w:tcW w:w="2693" w:type="dxa"/>
          </w:tcPr>
          <w:p w:rsidR="00FE07BA" w:rsidRPr="002D2E91" w:rsidRDefault="00514C26" w:rsidP="00FE07BA">
            <w:pPr>
              <w:pStyle w:val="Heading2"/>
              <w:numPr>
                <w:ilvl w:val="0"/>
                <w:numId w:val="0"/>
              </w:numPr>
              <w:outlineLvl w:val="1"/>
            </w:pPr>
            <w:r>
              <w:t>10</w:t>
            </w:r>
            <w:r w:rsidRPr="00514C26">
              <w:rPr>
                <w:vertAlign w:val="superscript"/>
              </w:rPr>
              <w:t>th</w:t>
            </w:r>
            <w:r>
              <w:t xml:space="preserve"> August 2015</w:t>
            </w:r>
          </w:p>
          <w:p w:rsidR="003273D3" w:rsidRPr="002D2E91" w:rsidRDefault="003273D3" w:rsidP="00FE07BA">
            <w:pPr>
              <w:pStyle w:val="Heading2"/>
              <w:numPr>
                <w:ilvl w:val="0"/>
                <w:numId w:val="0"/>
              </w:numPr>
              <w:outlineLvl w:val="1"/>
            </w:pPr>
          </w:p>
        </w:tc>
      </w:tr>
      <w:tr w:rsidR="00FE07BA" w:rsidTr="008C5577">
        <w:tc>
          <w:tcPr>
            <w:tcW w:w="5387" w:type="dxa"/>
          </w:tcPr>
          <w:p w:rsidR="00FE07BA" w:rsidRDefault="00FE07BA" w:rsidP="00FE07BA">
            <w:pPr>
              <w:pStyle w:val="Heading2"/>
              <w:numPr>
                <w:ilvl w:val="0"/>
                <w:numId w:val="0"/>
              </w:numPr>
              <w:outlineLvl w:val="1"/>
            </w:pPr>
            <w:r>
              <w:t>Target date for responses to clarification questions</w:t>
            </w:r>
          </w:p>
        </w:tc>
        <w:tc>
          <w:tcPr>
            <w:tcW w:w="2693" w:type="dxa"/>
          </w:tcPr>
          <w:p w:rsidR="00FE07BA" w:rsidRPr="002D2E91" w:rsidRDefault="00514C26" w:rsidP="003273D3">
            <w:pPr>
              <w:pStyle w:val="Heading2"/>
              <w:numPr>
                <w:ilvl w:val="0"/>
                <w:numId w:val="0"/>
              </w:numPr>
              <w:tabs>
                <w:tab w:val="left" w:pos="1652"/>
              </w:tabs>
              <w:outlineLvl w:val="1"/>
            </w:pPr>
            <w:r>
              <w:t>13</w:t>
            </w:r>
            <w:r w:rsidRPr="00514C26">
              <w:rPr>
                <w:vertAlign w:val="superscript"/>
              </w:rPr>
              <w:t>th</w:t>
            </w:r>
            <w:r>
              <w:t xml:space="preserve"> August 2015</w:t>
            </w:r>
          </w:p>
          <w:p w:rsidR="003273D3" w:rsidRPr="002D2E91" w:rsidRDefault="003273D3" w:rsidP="003273D3">
            <w:pPr>
              <w:pStyle w:val="Heading2"/>
              <w:numPr>
                <w:ilvl w:val="0"/>
                <w:numId w:val="0"/>
              </w:numPr>
              <w:tabs>
                <w:tab w:val="left" w:pos="1652"/>
              </w:tabs>
              <w:outlineLvl w:val="1"/>
            </w:pPr>
          </w:p>
        </w:tc>
      </w:tr>
      <w:tr w:rsidR="00FE07BA" w:rsidTr="008C5577">
        <w:tc>
          <w:tcPr>
            <w:tcW w:w="5387" w:type="dxa"/>
          </w:tcPr>
          <w:p w:rsidR="00FE07BA" w:rsidRDefault="00FE07BA" w:rsidP="00FE07BA">
            <w:pPr>
              <w:pStyle w:val="Heading2"/>
              <w:numPr>
                <w:ilvl w:val="0"/>
                <w:numId w:val="0"/>
              </w:numPr>
              <w:outlineLvl w:val="1"/>
            </w:pPr>
            <w:r>
              <w:t>Deadline for receipt of Tenders</w:t>
            </w:r>
          </w:p>
        </w:tc>
        <w:tc>
          <w:tcPr>
            <w:tcW w:w="2693" w:type="dxa"/>
          </w:tcPr>
          <w:p w:rsidR="00FE07BA" w:rsidRPr="002D2E91" w:rsidRDefault="00514C26" w:rsidP="00FE07BA">
            <w:pPr>
              <w:pStyle w:val="Heading2"/>
              <w:numPr>
                <w:ilvl w:val="0"/>
                <w:numId w:val="0"/>
              </w:numPr>
              <w:outlineLvl w:val="1"/>
            </w:pPr>
            <w:r>
              <w:t>17</w:t>
            </w:r>
            <w:r w:rsidRPr="00514C26">
              <w:rPr>
                <w:vertAlign w:val="superscript"/>
              </w:rPr>
              <w:t>th</w:t>
            </w:r>
            <w:r>
              <w:t xml:space="preserve"> August 2015 at 12noon</w:t>
            </w:r>
          </w:p>
          <w:p w:rsidR="003273D3" w:rsidRPr="002D2E91" w:rsidRDefault="003273D3" w:rsidP="00FE07BA">
            <w:pPr>
              <w:pStyle w:val="Heading2"/>
              <w:numPr>
                <w:ilvl w:val="0"/>
                <w:numId w:val="0"/>
              </w:numPr>
              <w:outlineLvl w:val="1"/>
            </w:pPr>
          </w:p>
        </w:tc>
      </w:tr>
      <w:tr w:rsidR="00FE07BA" w:rsidTr="008C5577">
        <w:tc>
          <w:tcPr>
            <w:tcW w:w="5387" w:type="dxa"/>
          </w:tcPr>
          <w:p w:rsidR="00FE07BA" w:rsidRDefault="00FE07BA" w:rsidP="00FE07BA">
            <w:pPr>
              <w:pStyle w:val="Heading2"/>
              <w:numPr>
                <w:ilvl w:val="0"/>
                <w:numId w:val="0"/>
              </w:numPr>
              <w:outlineLvl w:val="1"/>
            </w:pPr>
            <w:r>
              <w:t>Evaluation of Tenders</w:t>
            </w:r>
          </w:p>
        </w:tc>
        <w:tc>
          <w:tcPr>
            <w:tcW w:w="2693" w:type="dxa"/>
          </w:tcPr>
          <w:p w:rsidR="00FE07BA" w:rsidRPr="002D2E91" w:rsidRDefault="00514C26" w:rsidP="003273D3">
            <w:pPr>
              <w:pStyle w:val="Heading2"/>
              <w:numPr>
                <w:ilvl w:val="0"/>
                <w:numId w:val="0"/>
              </w:numPr>
              <w:outlineLvl w:val="1"/>
            </w:pPr>
            <w:r>
              <w:t>18</w:t>
            </w:r>
            <w:r w:rsidRPr="00514C26">
              <w:rPr>
                <w:vertAlign w:val="superscript"/>
              </w:rPr>
              <w:t>th</w:t>
            </w:r>
            <w:r>
              <w:t xml:space="preserve"> August to 21</w:t>
            </w:r>
            <w:r w:rsidRPr="00514C26">
              <w:rPr>
                <w:vertAlign w:val="superscript"/>
              </w:rPr>
              <w:t>st</w:t>
            </w:r>
            <w:r>
              <w:t xml:space="preserve"> August 2015</w:t>
            </w:r>
          </w:p>
          <w:p w:rsidR="003273D3" w:rsidRPr="002D2E91" w:rsidRDefault="003273D3" w:rsidP="003273D3">
            <w:pPr>
              <w:pStyle w:val="Heading2"/>
              <w:numPr>
                <w:ilvl w:val="0"/>
                <w:numId w:val="0"/>
              </w:numPr>
              <w:outlineLvl w:val="1"/>
            </w:pPr>
          </w:p>
        </w:tc>
      </w:tr>
      <w:tr w:rsidR="00FE07BA" w:rsidTr="008C5577">
        <w:tc>
          <w:tcPr>
            <w:tcW w:w="5387" w:type="dxa"/>
          </w:tcPr>
          <w:p w:rsidR="00FE07BA" w:rsidRDefault="00FE07BA" w:rsidP="00FE07BA">
            <w:pPr>
              <w:pStyle w:val="Heading2"/>
              <w:numPr>
                <w:ilvl w:val="0"/>
                <w:numId w:val="0"/>
              </w:numPr>
              <w:outlineLvl w:val="1"/>
            </w:pPr>
            <w:r>
              <w:t>Notification of contract award decision</w:t>
            </w:r>
          </w:p>
        </w:tc>
        <w:tc>
          <w:tcPr>
            <w:tcW w:w="2693" w:type="dxa"/>
          </w:tcPr>
          <w:p w:rsidR="00FE07BA" w:rsidRPr="002D2E91" w:rsidRDefault="00514C26" w:rsidP="00FE07BA">
            <w:pPr>
              <w:pStyle w:val="Heading2"/>
              <w:numPr>
                <w:ilvl w:val="0"/>
                <w:numId w:val="0"/>
              </w:numPr>
              <w:outlineLvl w:val="1"/>
            </w:pPr>
            <w:r>
              <w:t>24</w:t>
            </w:r>
            <w:r w:rsidRPr="00514C26">
              <w:rPr>
                <w:vertAlign w:val="superscript"/>
              </w:rPr>
              <w:t>th</w:t>
            </w:r>
            <w:r>
              <w:t xml:space="preserve"> August 2015</w:t>
            </w:r>
          </w:p>
          <w:p w:rsidR="003273D3" w:rsidRPr="002D2E91" w:rsidRDefault="003273D3" w:rsidP="00FE07BA">
            <w:pPr>
              <w:pStyle w:val="Heading2"/>
              <w:numPr>
                <w:ilvl w:val="0"/>
                <w:numId w:val="0"/>
              </w:numPr>
              <w:outlineLvl w:val="1"/>
            </w:pPr>
          </w:p>
        </w:tc>
      </w:tr>
      <w:tr w:rsidR="00FE07BA" w:rsidTr="008C5577">
        <w:tc>
          <w:tcPr>
            <w:tcW w:w="5387" w:type="dxa"/>
          </w:tcPr>
          <w:p w:rsidR="00FE07BA" w:rsidRDefault="00AD1F28" w:rsidP="00AD1F28">
            <w:pPr>
              <w:pStyle w:val="Heading2"/>
              <w:numPr>
                <w:ilvl w:val="0"/>
                <w:numId w:val="0"/>
              </w:numPr>
              <w:outlineLvl w:val="1"/>
            </w:pPr>
            <w:r>
              <w:t xml:space="preserve">Voluntary </w:t>
            </w:r>
            <w:r w:rsidR="006C5838">
              <w:t>s</w:t>
            </w:r>
            <w:r w:rsidR="00FE07BA">
              <w:t>tandstill period</w:t>
            </w:r>
          </w:p>
        </w:tc>
        <w:tc>
          <w:tcPr>
            <w:tcW w:w="2693" w:type="dxa"/>
          </w:tcPr>
          <w:p w:rsidR="00FE07BA" w:rsidRPr="002D2E91" w:rsidRDefault="00514C26" w:rsidP="00935EC9">
            <w:pPr>
              <w:pStyle w:val="Heading2"/>
              <w:numPr>
                <w:ilvl w:val="0"/>
                <w:numId w:val="0"/>
              </w:numPr>
              <w:outlineLvl w:val="1"/>
            </w:pPr>
            <w:r>
              <w:t>From 25</w:t>
            </w:r>
            <w:r w:rsidRPr="00514C26">
              <w:rPr>
                <w:vertAlign w:val="superscript"/>
              </w:rPr>
              <w:t>th</w:t>
            </w:r>
            <w:r>
              <w:t xml:space="preserve"> August 2015</w:t>
            </w:r>
            <w:r w:rsidR="00FE07BA" w:rsidRPr="002D2E91">
              <w:t xml:space="preserve"> to </w:t>
            </w:r>
            <w:r w:rsidR="00935EC9">
              <w:t>midnight on Tuesday 1</w:t>
            </w:r>
            <w:r w:rsidR="00935EC9" w:rsidRPr="00935EC9">
              <w:rPr>
                <w:vertAlign w:val="superscript"/>
              </w:rPr>
              <w:t>st</w:t>
            </w:r>
            <w:r w:rsidR="00935EC9">
              <w:t xml:space="preserve"> September</w:t>
            </w:r>
            <w:r>
              <w:t xml:space="preserve"> 2015</w:t>
            </w:r>
          </w:p>
        </w:tc>
      </w:tr>
      <w:tr w:rsidR="00FE07BA" w:rsidTr="008C5577">
        <w:tc>
          <w:tcPr>
            <w:tcW w:w="5387" w:type="dxa"/>
          </w:tcPr>
          <w:p w:rsidR="00FE07BA" w:rsidRDefault="00623252" w:rsidP="00FE07BA">
            <w:pPr>
              <w:pStyle w:val="Heading2"/>
              <w:numPr>
                <w:ilvl w:val="0"/>
                <w:numId w:val="0"/>
              </w:numPr>
              <w:outlineLvl w:val="1"/>
            </w:pPr>
            <w:r>
              <w:t>C</w:t>
            </w:r>
            <w:r w:rsidR="00FE07BA">
              <w:t>ontract award</w:t>
            </w:r>
          </w:p>
        </w:tc>
        <w:tc>
          <w:tcPr>
            <w:tcW w:w="2693" w:type="dxa"/>
          </w:tcPr>
          <w:p w:rsidR="00FE07BA" w:rsidRPr="002D2E91" w:rsidRDefault="00935EC9" w:rsidP="00FE07BA">
            <w:pPr>
              <w:pStyle w:val="Heading2"/>
              <w:numPr>
                <w:ilvl w:val="0"/>
                <w:numId w:val="0"/>
              </w:numPr>
              <w:outlineLvl w:val="1"/>
            </w:pPr>
            <w:r>
              <w:t>2</w:t>
            </w:r>
            <w:r w:rsidRPr="00935EC9">
              <w:rPr>
                <w:vertAlign w:val="superscript"/>
              </w:rPr>
              <w:t>nd</w:t>
            </w:r>
            <w:r>
              <w:t xml:space="preserve"> </w:t>
            </w:r>
            <w:r w:rsidR="00514C26">
              <w:t>September 2015</w:t>
            </w:r>
          </w:p>
          <w:p w:rsidR="003273D3" w:rsidRPr="002D2E91" w:rsidRDefault="003273D3" w:rsidP="00FE07BA">
            <w:pPr>
              <w:pStyle w:val="Heading2"/>
              <w:numPr>
                <w:ilvl w:val="0"/>
                <w:numId w:val="0"/>
              </w:numPr>
              <w:outlineLvl w:val="1"/>
            </w:pPr>
          </w:p>
        </w:tc>
      </w:tr>
      <w:tr w:rsidR="00FE07BA" w:rsidTr="008C5577">
        <w:tc>
          <w:tcPr>
            <w:tcW w:w="5387" w:type="dxa"/>
          </w:tcPr>
          <w:p w:rsidR="00FE07BA" w:rsidRDefault="00FE07BA" w:rsidP="00FE07BA">
            <w:pPr>
              <w:pStyle w:val="Heading2"/>
              <w:numPr>
                <w:ilvl w:val="0"/>
                <w:numId w:val="0"/>
              </w:numPr>
              <w:outlineLvl w:val="1"/>
            </w:pPr>
            <w:r>
              <w:t xml:space="preserve">Contract work starts </w:t>
            </w:r>
          </w:p>
        </w:tc>
        <w:tc>
          <w:tcPr>
            <w:tcW w:w="2693" w:type="dxa"/>
          </w:tcPr>
          <w:p w:rsidR="00FE07BA" w:rsidRPr="002D2E91" w:rsidRDefault="00514C26" w:rsidP="00FE07BA">
            <w:pPr>
              <w:pStyle w:val="Heading2"/>
              <w:numPr>
                <w:ilvl w:val="0"/>
                <w:numId w:val="0"/>
              </w:numPr>
              <w:outlineLvl w:val="1"/>
            </w:pPr>
            <w:r>
              <w:t>7</w:t>
            </w:r>
            <w:r w:rsidRPr="00514C26">
              <w:rPr>
                <w:vertAlign w:val="superscript"/>
              </w:rPr>
              <w:t>th</w:t>
            </w:r>
            <w:r>
              <w:t xml:space="preserve"> September 2015</w:t>
            </w:r>
          </w:p>
          <w:p w:rsidR="003273D3" w:rsidRPr="002D2E91" w:rsidRDefault="003273D3" w:rsidP="00FE07BA">
            <w:pPr>
              <w:pStyle w:val="Heading2"/>
              <w:numPr>
                <w:ilvl w:val="0"/>
                <w:numId w:val="0"/>
              </w:numPr>
              <w:outlineLvl w:val="1"/>
            </w:pPr>
          </w:p>
        </w:tc>
      </w:tr>
    </w:tbl>
    <w:p w:rsidR="009A3E29" w:rsidRPr="009A3E29" w:rsidRDefault="009A3E29" w:rsidP="009A3E29">
      <w:pPr>
        <w:pStyle w:val="Heading2"/>
        <w:numPr>
          <w:ilvl w:val="0"/>
          <w:numId w:val="0"/>
        </w:numPr>
        <w:ind w:left="851"/>
      </w:pPr>
    </w:p>
    <w:p w:rsidR="00C10296" w:rsidRDefault="00FE07BA" w:rsidP="006B54D6">
      <w:pPr>
        <w:pStyle w:val="MRNumberedHeading2"/>
      </w:pPr>
      <w:bookmarkStart w:id="36" w:name="_Toc403555100"/>
      <w:bookmarkStart w:id="37" w:name="_Ref405452899"/>
      <w:r>
        <w:t>Whilst the Authority does not intend to depart from the timetable, it reserves the right to do so at any stage.</w:t>
      </w:r>
      <w:bookmarkEnd w:id="36"/>
      <w:bookmarkEnd w:id="37"/>
      <w:r>
        <w:t xml:space="preserve"> </w:t>
      </w:r>
    </w:p>
    <w:p w:rsidR="00C10296" w:rsidRPr="00C10296" w:rsidRDefault="00C10296" w:rsidP="00C10296">
      <w:pPr>
        <w:pStyle w:val="MRNumberedHeading2"/>
      </w:pPr>
      <w:r w:rsidRPr="00C10296">
        <w:t xml:space="preserve">Site visits </w:t>
      </w:r>
      <w:r>
        <w:t xml:space="preserve">can be made </w:t>
      </w:r>
      <w:r w:rsidRPr="00C10296">
        <w:t xml:space="preserve">upon request. Scarborough, </w:t>
      </w:r>
      <w:proofErr w:type="spellStart"/>
      <w:r>
        <w:t>Malton</w:t>
      </w:r>
      <w:proofErr w:type="spellEnd"/>
      <w:r>
        <w:t xml:space="preserve">, Bridlington will be with Dave Collins </w:t>
      </w:r>
      <w:r w:rsidRPr="00C10296">
        <w:t>or Ph</w:t>
      </w:r>
      <w:r>
        <w:t xml:space="preserve">il </w:t>
      </w:r>
      <w:proofErr w:type="spellStart"/>
      <w:r>
        <w:t>Michulitis</w:t>
      </w:r>
      <w:proofErr w:type="spellEnd"/>
      <w:r>
        <w:t xml:space="preserve"> and for </w:t>
      </w:r>
      <w:r w:rsidRPr="00C10296">
        <w:t xml:space="preserve">York, Selby, St Helens, St </w:t>
      </w:r>
      <w:proofErr w:type="spellStart"/>
      <w:r w:rsidRPr="00C10296">
        <w:t>Monicas</w:t>
      </w:r>
      <w:proofErr w:type="spellEnd"/>
      <w:r w:rsidRPr="00C10296">
        <w:t xml:space="preserve"> and </w:t>
      </w:r>
      <w:proofErr w:type="spellStart"/>
      <w:r w:rsidRPr="00C10296">
        <w:t>White</w:t>
      </w:r>
      <w:r>
        <w:t>cross</w:t>
      </w:r>
      <w:proofErr w:type="spellEnd"/>
      <w:r>
        <w:t xml:space="preserve"> with Paul Bowen or Dave Collins. Please request site visits through the portal.</w:t>
      </w:r>
    </w:p>
    <w:p w:rsidR="00FE07BA" w:rsidRDefault="00C10296" w:rsidP="00C10296">
      <w:pPr>
        <w:pStyle w:val="MRNumberedHeading2"/>
        <w:numPr>
          <w:ilvl w:val="0"/>
          <w:numId w:val="0"/>
        </w:numPr>
        <w:ind w:left="720"/>
      </w:pPr>
      <w:r w:rsidRPr="00C10296">
        <w:t>Installation location Maps to be supplied upon site visits</w:t>
      </w:r>
    </w:p>
    <w:p w:rsidR="000831C0" w:rsidRPr="00276E1B" w:rsidRDefault="000E189B" w:rsidP="00337295">
      <w:pPr>
        <w:pStyle w:val="Heading1"/>
        <w:spacing w:before="240" w:after="0"/>
        <w:ind w:left="709"/>
      </w:pPr>
      <w:bookmarkStart w:id="38" w:name="_Toc403555104"/>
      <w:r w:rsidRPr="00276E1B">
        <w:t>Deadline for receipt of Tenders</w:t>
      </w:r>
      <w:bookmarkEnd w:id="38"/>
      <w:r w:rsidRPr="00276E1B">
        <w:t xml:space="preserve"> </w:t>
      </w:r>
    </w:p>
    <w:p w:rsidR="000831C0" w:rsidRDefault="0083677A" w:rsidP="006B54D6">
      <w:pPr>
        <w:pStyle w:val="MRNumberedHeading2"/>
      </w:pPr>
      <w:bookmarkStart w:id="39"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39"/>
    </w:p>
    <w:p w:rsidR="00E37725" w:rsidRDefault="00807CF7" w:rsidP="006B54D6">
      <w:pPr>
        <w:pStyle w:val="MRNumberedHeading2"/>
      </w:pPr>
      <w:bookmarkStart w:id="40" w:name="_Toc403555106"/>
      <w:bookmarkStart w:id="41" w:name="_Ref405452913"/>
      <w:r>
        <w:t>Any Tender received after the d</w:t>
      </w:r>
      <w:r w:rsidR="00E37725">
        <w:t>eadline</w:t>
      </w:r>
      <w:r w:rsidR="0083677A">
        <w:t xml:space="preserve"> or by any method other than via the </w:t>
      </w:r>
      <w:r w:rsidR="0050545F">
        <w:t xml:space="preserve">e-Tendering </w:t>
      </w:r>
      <w:r w:rsidR="004230E7">
        <w:t>Portal</w:t>
      </w:r>
      <w:r w:rsidR="00E37725">
        <w:t xml:space="preserve"> </w:t>
      </w:r>
      <w:r w:rsidR="002E1DD8">
        <w:t>may</w:t>
      </w:r>
      <w:r w:rsidR="00E37725">
        <w:t xml:space="preserve"> not be considered. The Authority may</w:t>
      </w:r>
      <w:r w:rsidR="00E9460D">
        <w:t xml:space="preserve"> </w:t>
      </w:r>
      <w:r w:rsidR="008D4F8F">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0"/>
      <w:bookmarkEnd w:id="41"/>
    </w:p>
    <w:p w:rsidR="008824CC" w:rsidRPr="00276E1B" w:rsidRDefault="008824CC" w:rsidP="00337295">
      <w:pPr>
        <w:pStyle w:val="Heading1"/>
        <w:spacing w:before="240" w:after="0"/>
        <w:ind w:left="709"/>
        <w:rPr>
          <w:i/>
          <w:color w:val="808080" w:themeColor="background1" w:themeShade="80"/>
        </w:rPr>
      </w:pPr>
      <w:bookmarkStart w:id="42" w:name="_Toc403555119"/>
      <w:r w:rsidRPr="00276E1B">
        <w:t>Contract award</w:t>
      </w:r>
      <w:bookmarkEnd w:id="42"/>
    </w:p>
    <w:p w:rsidR="00E56F27" w:rsidRDefault="008824CC" w:rsidP="006B54D6">
      <w:pPr>
        <w:pStyle w:val="MRNumberedHeading2"/>
      </w:pPr>
      <w:bookmarkStart w:id="43" w:name="_Toc403555120"/>
      <w:r>
        <w:t>Contract award is subject to the formal approval process of the Authority. Until all necessary approvals are obtained and the</w:t>
      </w:r>
      <w:r w:rsidR="00AD1F28">
        <w:t xml:space="preserve"> voluntary</w:t>
      </w:r>
      <w:r>
        <w:t xml:space="preserve"> s</w:t>
      </w:r>
      <w:r w:rsidR="00E56F27">
        <w:t>tandstill period completed, no c</w:t>
      </w:r>
      <w:r>
        <w:t>ontract(s) will be entered into.</w:t>
      </w:r>
      <w:bookmarkEnd w:id="43"/>
    </w:p>
    <w:p w:rsidR="004E71FF" w:rsidRPr="005A2E47" w:rsidRDefault="008824CC" w:rsidP="006B54D6">
      <w:pPr>
        <w:pStyle w:val="MRNumberedHeading2"/>
      </w:pPr>
      <w:bookmarkStart w:id="44" w:name="_Toc403555121"/>
      <w:bookmarkStart w:id="45" w:name="_Ref405452945"/>
      <w:r>
        <w:lastRenderedPageBreak/>
        <w:t>Once the Authority has reached a decision in respect of a cont</w:t>
      </w:r>
      <w:r w:rsidR="001065C5">
        <w:t>ract award, it will notify all B</w:t>
      </w:r>
      <w:r>
        <w:t xml:space="preserve">idders of that decision and provide for a </w:t>
      </w:r>
      <w:r w:rsidR="0079187F">
        <w:t xml:space="preserve">voluntary </w:t>
      </w:r>
      <w:r>
        <w:t>stands</w:t>
      </w:r>
      <w:r w:rsidR="00E56F27">
        <w:t>till period before entering into any c</w:t>
      </w:r>
      <w:r>
        <w:t>ontract(s).</w:t>
      </w:r>
      <w:bookmarkEnd w:id="44"/>
      <w:bookmarkEnd w:id="45"/>
      <w:r w:rsidR="004E71FF">
        <w:br w:type="page"/>
      </w:r>
    </w:p>
    <w:p w:rsidR="008824CC" w:rsidRPr="008F3D2C" w:rsidRDefault="00A57D02" w:rsidP="00351CE0">
      <w:pPr>
        <w:pStyle w:val="MRNumberedHeading1"/>
        <w:numPr>
          <w:ilvl w:val="0"/>
          <w:numId w:val="19"/>
        </w:numPr>
        <w:ind w:hanging="798"/>
        <w:rPr>
          <w:sz w:val="20"/>
          <w:szCs w:val="20"/>
        </w:rPr>
      </w:pPr>
      <w:bookmarkStart w:id="46" w:name="_Toc403556503"/>
      <w:bookmarkStart w:id="47" w:name="_Toc403556508"/>
      <w:r w:rsidRPr="008F3D2C">
        <w:rPr>
          <w:sz w:val="20"/>
          <w:szCs w:val="20"/>
        </w:rPr>
        <w:lastRenderedPageBreak/>
        <w:t xml:space="preserve">INSTRUCTIONS TO </w:t>
      </w:r>
      <w:r w:rsidR="00E7163F" w:rsidRPr="008F3D2C">
        <w:rPr>
          <w:sz w:val="20"/>
          <w:szCs w:val="20"/>
        </w:rPr>
        <w:t>BIDDERS</w:t>
      </w:r>
      <w:bookmarkEnd w:id="46"/>
      <w:bookmarkEnd w:id="47"/>
      <w:r w:rsidRPr="008F3D2C">
        <w:rPr>
          <w:sz w:val="20"/>
          <w:szCs w:val="20"/>
        </w:rPr>
        <w:t xml:space="preserve"> </w:t>
      </w:r>
    </w:p>
    <w:p w:rsidR="006534CF" w:rsidRPr="00276E1B" w:rsidRDefault="00E41C42" w:rsidP="00337295">
      <w:pPr>
        <w:pStyle w:val="Heading1"/>
        <w:spacing w:before="240" w:after="0"/>
        <w:ind w:left="709"/>
      </w:pPr>
      <w:bookmarkStart w:id="48" w:name="_Toc403555122"/>
      <w:r w:rsidRPr="00276E1B">
        <w:t>Formalities for s</w:t>
      </w:r>
      <w:r w:rsidR="003E3EE7" w:rsidRPr="00276E1B">
        <w:t>ubmission of Tender</w:t>
      </w:r>
      <w:bookmarkEnd w:id="48"/>
      <w:r w:rsidR="00226AE3">
        <w:t>s</w:t>
      </w:r>
      <w:r w:rsidR="003E3EE7" w:rsidRPr="00276E1B">
        <w:t xml:space="preserve"> </w:t>
      </w:r>
    </w:p>
    <w:p w:rsidR="009F1E32" w:rsidRDefault="00E7163F" w:rsidP="00351CE0">
      <w:pPr>
        <w:pStyle w:val="MRNumberedHeading2"/>
        <w:numPr>
          <w:ilvl w:val="1"/>
          <w:numId w:val="19"/>
        </w:numPr>
      </w:pPr>
      <w:bookmarkStart w:id="49" w:name="_Toc403555123"/>
      <w:bookmarkStart w:id="50" w:name="_Ref405452954"/>
      <w:r w:rsidRPr="009F1E32">
        <w:t>Bidders</w:t>
      </w:r>
      <w:r w:rsidR="00CC6A3C" w:rsidRPr="009F1E32">
        <w:t xml:space="preserve"> must submit </w:t>
      </w:r>
      <w:r w:rsidR="002705A5" w:rsidRPr="009F1E32">
        <w:t xml:space="preserve">their Tenders by completing the Annexes to Section B of the ITT.   Completed Tenders must be submitted </w:t>
      </w:r>
      <w:r w:rsidR="006B54D6" w:rsidRPr="009F1E32">
        <w:t xml:space="preserve">using the </w:t>
      </w:r>
      <w:r w:rsidR="0050545F" w:rsidRPr="009F1E32">
        <w:t xml:space="preserve">e-Tendering </w:t>
      </w:r>
      <w:r w:rsidR="006B54D6" w:rsidRPr="009F1E32">
        <w:t>Portal.</w:t>
      </w:r>
      <w:r w:rsidR="00CC6A3C" w:rsidRPr="009F1E32">
        <w:t xml:space="preserve"> </w:t>
      </w:r>
      <w:r w:rsidRPr="009F1E32">
        <w:t>Bidders</w:t>
      </w:r>
      <w:r w:rsidR="00CC6A3C" w:rsidRPr="009F1E32">
        <w:t xml:space="preserve"> </w:t>
      </w:r>
      <w:r w:rsidR="00FC24F6" w:rsidRPr="009F1E32">
        <w:t>should</w:t>
      </w:r>
      <w:r w:rsidR="00CC6A3C" w:rsidRPr="009F1E32">
        <w:t xml:space="preserve"> ensure that they </w:t>
      </w:r>
      <w:r w:rsidR="00162244" w:rsidRPr="009F1E32">
        <w:t>allow</w:t>
      </w:r>
      <w:r w:rsidR="00336D0E" w:rsidRPr="009F1E32">
        <w:t xml:space="preserve"> plenty of time to upload the T</w:t>
      </w:r>
      <w:r w:rsidR="00CC6A3C" w:rsidRPr="009F1E32">
        <w:t xml:space="preserve">ender response, particularly where there are large documents.  If </w:t>
      </w:r>
      <w:r w:rsidRPr="009F1E32">
        <w:t>Bidders</w:t>
      </w:r>
      <w:r w:rsidR="00CC6A3C" w:rsidRPr="009F1E32">
        <w:t xml:space="preserve"> have any problems with </w:t>
      </w:r>
      <w:r w:rsidR="006B54D6" w:rsidRPr="009F1E32">
        <w:t>the</w:t>
      </w:r>
      <w:r w:rsidR="00CC6A3C" w:rsidRPr="009F1E32">
        <w:t xml:space="preserve"> </w:t>
      </w:r>
      <w:r w:rsidR="0050545F" w:rsidRPr="009F1E32">
        <w:t xml:space="preserve">e-Tendering </w:t>
      </w:r>
      <w:r w:rsidR="004230E7" w:rsidRPr="009F1E32">
        <w:t>Portal</w:t>
      </w:r>
      <w:r w:rsidR="00CC6A3C" w:rsidRPr="009F1E32">
        <w:t xml:space="preserve">, they </w:t>
      </w:r>
      <w:r w:rsidR="00162244" w:rsidRPr="009F1E32">
        <w:t>should</w:t>
      </w:r>
      <w:r w:rsidR="00CC6A3C" w:rsidRPr="009F1E32">
        <w:t xml:space="preserve"> contact the helpdesk on </w:t>
      </w:r>
      <w:r w:rsidR="009F1E32">
        <w:t>01642 713608</w:t>
      </w:r>
      <w:r w:rsidR="00CC6A3C" w:rsidRPr="009F1E32">
        <w:t xml:space="preserve">.  The helpline is open </w:t>
      </w:r>
      <w:bookmarkStart w:id="51" w:name="_Toc403555124"/>
      <w:bookmarkEnd w:id="49"/>
      <w:bookmarkEnd w:id="50"/>
      <w:r w:rsidR="009F1E32">
        <w:t>The Helpdesk is open from 10am to 4pm Monday to Friday.  Please note any tender received after the closing date may be excluded.</w:t>
      </w:r>
    </w:p>
    <w:p w:rsidR="00E62354" w:rsidRPr="009F1E32" w:rsidRDefault="009F1E32" w:rsidP="00351CE0">
      <w:pPr>
        <w:pStyle w:val="MRNumberedHeading2"/>
        <w:numPr>
          <w:ilvl w:val="1"/>
          <w:numId w:val="19"/>
        </w:numPr>
      </w:pPr>
      <w:bookmarkStart w:id="52" w:name="_Toc403555125"/>
      <w:bookmarkStart w:id="53" w:name="_Ref405453188"/>
      <w:bookmarkEnd w:id="51"/>
      <w:r>
        <w:t xml:space="preserve"> </w:t>
      </w:r>
      <w:r w:rsidR="00FC24F6" w:rsidRPr="009F1E32">
        <w:t>Bidders must adhere to the</w:t>
      </w:r>
      <w:r w:rsidR="00C27CC2" w:rsidRPr="009F1E32">
        <w:t xml:space="preserve"> following</w:t>
      </w:r>
      <w:r w:rsidR="002869D0" w:rsidRPr="009F1E32">
        <w:t xml:space="preserve"> standard</w:t>
      </w:r>
      <w:r w:rsidR="00C27CC2" w:rsidRPr="009F1E32">
        <w:t xml:space="preserve"> requirements </w:t>
      </w:r>
      <w:r w:rsidR="00E62354" w:rsidRPr="009F1E32">
        <w:t xml:space="preserve">when submitting </w:t>
      </w:r>
      <w:r w:rsidR="00FC24F6" w:rsidRPr="009F1E32">
        <w:t>their</w:t>
      </w:r>
      <w:r w:rsidR="00E62354" w:rsidRPr="009F1E32">
        <w:t xml:space="preserve"> </w:t>
      </w:r>
      <w:r w:rsidR="00C27CC2" w:rsidRPr="009F1E32">
        <w:t>Tenders:</w:t>
      </w:r>
      <w:bookmarkEnd w:id="52"/>
      <w:bookmarkEnd w:id="53"/>
    </w:p>
    <w:p w:rsidR="00E62354" w:rsidRPr="005F5952" w:rsidRDefault="00FC24F6" w:rsidP="00351CE0">
      <w:pPr>
        <w:pStyle w:val="MRNumberedHeading3"/>
        <w:numPr>
          <w:ilvl w:val="2"/>
          <w:numId w:val="18"/>
        </w:numPr>
        <w:tabs>
          <w:tab w:val="clear" w:pos="2214"/>
          <w:tab w:val="num" w:pos="1794"/>
        </w:tabs>
        <w:spacing w:line="240" w:lineRule="auto"/>
        <w:ind w:left="1702" w:hanging="851"/>
        <w:jc w:val="both"/>
      </w:pPr>
      <w:r w:rsidRPr="005F5952">
        <w:t>Do not embed documents</w:t>
      </w:r>
      <w:r w:rsidR="00C27CC2" w:rsidRPr="005F5952">
        <w:t xml:space="preserve"> within other documents</w:t>
      </w:r>
      <w:r w:rsidRPr="005F5952">
        <w:t>.</w:t>
      </w:r>
      <w:r w:rsidR="00C27CC2" w:rsidRPr="005F5952">
        <w:t xml:space="preserve"> </w:t>
      </w:r>
      <w:r w:rsidRPr="005F5952">
        <w:t>Instead</w:t>
      </w:r>
      <w:r w:rsidR="00C27CC2" w:rsidRPr="005F5952">
        <w:t xml:space="preserve"> provide separate electronic copies of the </w:t>
      </w:r>
      <w:r w:rsidRPr="005F5952">
        <w:t>documents, clearly labelled and referenced if necessary.</w:t>
      </w:r>
    </w:p>
    <w:p w:rsidR="00E62354" w:rsidRPr="005F5952" w:rsidRDefault="00C27CC2" w:rsidP="00351CE0">
      <w:pPr>
        <w:pStyle w:val="MRNumberedHeading3"/>
        <w:numPr>
          <w:ilvl w:val="2"/>
          <w:numId w:val="18"/>
        </w:numPr>
        <w:tabs>
          <w:tab w:val="clear" w:pos="2214"/>
          <w:tab w:val="num" w:pos="1794"/>
        </w:tabs>
        <w:spacing w:line="240" w:lineRule="auto"/>
        <w:ind w:left="1702" w:hanging="851"/>
        <w:jc w:val="both"/>
      </w:pPr>
      <w:r w:rsidRPr="005F5952">
        <w:t>The Tender must be in English and drafted in accordance with the drafting guidance set out in this ITT.</w:t>
      </w:r>
    </w:p>
    <w:p w:rsidR="007B6206" w:rsidRDefault="007B6206" w:rsidP="006B54D6">
      <w:pPr>
        <w:pStyle w:val="MRNumberedHeading2"/>
      </w:pPr>
      <w:r>
        <w:t xml:space="preserve">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  </w:t>
      </w:r>
    </w:p>
    <w:p w:rsidR="00601937" w:rsidRDefault="00C27CC2" w:rsidP="006B54D6">
      <w:pPr>
        <w:pStyle w:val="MRNumberedHeading2"/>
      </w:pPr>
      <w:bookmarkStart w:id="54" w:name="_Toc403555127"/>
      <w:bookmarkStart w:id="55" w:name="_Ref405453197"/>
      <w:r>
        <w:t>The Tender must be clear, concise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54"/>
      <w:bookmarkEnd w:id="55"/>
      <w:r w:rsidR="000E5C37">
        <w:t xml:space="preserve"> </w:t>
      </w:r>
    </w:p>
    <w:p w:rsidR="002471B4" w:rsidRDefault="00C27CC2" w:rsidP="006B54D6">
      <w:pPr>
        <w:pStyle w:val="MRNumberedHeading2"/>
      </w:pPr>
      <w:bookmarkStart w:id="56" w:name="_Toc403555128"/>
      <w:bookmarkStart w:id="57" w:name="_Ref413143046"/>
      <w:r>
        <w:t>Tenders will be evaluated on the basis o</w:t>
      </w:r>
      <w:r w:rsidR="00A7044C">
        <w:t>f information submitted by the d</w:t>
      </w:r>
      <w:r>
        <w:t>eadline.</w:t>
      </w:r>
      <w:bookmarkEnd w:id="56"/>
      <w:r w:rsidR="008C5577">
        <w:t xml:space="preserve"> Where information or documentation submitted appears to be incomplete or erroneous or specific documents are missing, the Authority reserves the right to request the Bidder to submit, supplement, clarify or complete the information or documentation.</w:t>
      </w:r>
      <w:bookmarkEnd w:id="57"/>
      <w:r w:rsidR="008C5577">
        <w:t xml:space="preserve"> </w:t>
      </w:r>
    </w:p>
    <w:p w:rsidR="00C45A8E" w:rsidRDefault="0017043F" w:rsidP="006B54D6">
      <w:pPr>
        <w:pStyle w:val="MRNumberedHeading2"/>
      </w:pPr>
      <w:bookmarkStart w:id="58" w:name="_Toc403555129"/>
      <w:r>
        <w:t>The</w:t>
      </w:r>
      <w:r w:rsidR="00C27CC2">
        <w:t xml:space="preserve"> Tender must be signed by a duly authorised</w:t>
      </w:r>
      <w:r>
        <w:t xml:space="preserve"> representative of the </w:t>
      </w:r>
      <w:r w:rsidR="00637C62">
        <w:t>Bidder.</w:t>
      </w:r>
      <w:bookmarkEnd w:id="58"/>
      <w:r w:rsidR="00637C62">
        <w:t xml:space="preserve">  </w:t>
      </w:r>
    </w:p>
    <w:p w:rsidR="006534CF" w:rsidRPr="00276E1B" w:rsidRDefault="001375C3" w:rsidP="00337295">
      <w:pPr>
        <w:pStyle w:val="Heading1"/>
        <w:spacing w:before="240" w:after="0"/>
        <w:ind w:left="709"/>
      </w:pPr>
      <w:bookmarkStart w:id="59" w:name="_Toc403555130"/>
      <w:r w:rsidRPr="00276E1B">
        <w:t>Modification and withdrawal of Tenders</w:t>
      </w:r>
      <w:bookmarkEnd w:id="59"/>
    </w:p>
    <w:p w:rsidR="004251F8" w:rsidRDefault="00AE400B" w:rsidP="006B54D6">
      <w:pPr>
        <w:pStyle w:val="MRNumberedHeading2"/>
      </w:pPr>
      <w:bookmarkStart w:id="60" w:name="_Toc403555131"/>
      <w:r>
        <w:t xml:space="preserve">Except as set out in paragraph </w:t>
      </w:r>
      <w:r>
        <w:fldChar w:fldCharType="begin"/>
      </w:r>
      <w:r>
        <w:instrText xml:space="preserve"> REF _Ref413143046 \r \h </w:instrText>
      </w:r>
      <w:r>
        <w:fldChar w:fldCharType="separate"/>
      </w:r>
      <w:r w:rsidR="00A96B6F">
        <w:t>3.5</w:t>
      </w:r>
      <w:r>
        <w:fldChar w:fldCharType="end"/>
      </w:r>
      <w:r>
        <w:t>, n</w:t>
      </w:r>
      <w:r w:rsidR="001375C3" w:rsidRPr="00A24900">
        <w:t xml:space="preserve">o </w:t>
      </w:r>
      <w:r w:rsidR="002651E8">
        <w:t>T</w:t>
      </w:r>
      <w:r w:rsidR="001375C3" w:rsidRPr="00A24900">
        <w:t>ender may be modified aft</w:t>
      </w:r>
      <w:r w:rsidR="00336D0E">
        <w:t>er the deadline for receipt of T</w:t>
      </w:r>
      <w:r w:rsidR="001375C3" w:rsidRPr="00A24900">
        <w:t>enders.</w:t>
      </w:r>
      <w:bookmarkEnd w:id="60"/>
    </w:p>
    <w:p w:rsidR="004251F8" w:rsidRDefault="001375C3" w:rsidP="006B54D6">
      <w:pPr>
        <w:pStyle w:val="MRNumberedHeading2"/>
      </w:pPr>
      <w:bookmarkStart w:id="61" w:name="_Toc403555132"/>
      <w:bookmarkStart w:id="62" w:name="_Ref405453207"/>
      <w:r w:rsidRPr="00A24900">
        <w:t>Tenders may be withdrawn at any time before the deadlin</w:t>
      </w:r>
      <w:r w:rsidR="00336D0E">
        <w:t>e for receipt of T</w:t>
      </w:r>
      <w:r w:rsidR="002651E8">
        <w:t>enders.  Revised T</w:t>
      </w:r>
      <w:r w:rsidRPr="00A24900">
        <w:t>enders may be submitted up unt</w:t>
      </w:r>
      <w:r w:rsidR="00336D0E">
        <w:t>il the deadline for receipt of T</w:t>
      </w:r>
      <w:r w:rsidRPr="00A24900">
        <w:t>enders</w:t>
      </w:r>
      <w:bookmarkEnd w:id="61"/>
      <w:bookmarkEnd w:id="62"/>
      <w:r w:rsidR="005F5952">
        <w:t>.</w:t>
      </w:r>
    </w:p>
    <w:p w:rsidR="00BA173E" w:rsidRPr="00276E1B" w:rsidRDefault="00430158" w:rsidP="00337295">
      <w:pPr>
        <w:pStyle w:val="Heading1"/>
        <w:spacing w:before="240" w:after="0"/>
        <w:ind w:left="709"/>
      </w:pPr>
      <w:bookmarkStart w:id="63" w:name="_Toc403555134"/>
      <w:r w:rsidRPr="00276E1B">
        <w:rPr>
          <w:bCs/>
        </w:rPr>
        <w:t>Terms and conditions</w:t>
      </w:r>
      <w:bookmarkEnd w:id="63"/>
    </w:p>
    <w:p w:rsidR="00B00C70" w:rsidRPr="00BA173E" w:rsidRDefault="00746CCF" w:rsidP="006B54D6">
      <w:pPr>
        <w:pStyle w:val="MRNumberedHeading2"/>
        <w:rPr>
          <w:rFonts w:cs="Arial"/>
        </w:rPr>
      </w:pPr>
      <w:bookmarkStart w:id="64" w:name="_Toc403555135"/>
      <w:r>
        <w:t xml:space="preserve">The </w:t>
      </w:r>
      <w:r w:rsidR="008D4F8F">
        <w:t>c</w:t>
      </w:r>
      <w:r>
        <w:t xml:space="preserve">ontract will include the NHS </w:t>
      </w:r>
      <w:r w:rsidR="0079187F">
        <w:t>T</w:t>
      </w:r>
      <w:r>
        <w:t xml:space="preserve">erms </w:t>
      </w:r>
      <w:r w:rsidR="0079187F">
        <w:t>a</w:t>
      </w:r>
      <w:r>
        <w:t xml:space="preserve">nd </w:t>
      </w:r>
      <w:r w:rsidR="0079187F">
        <w:t>C</w:t>
      </w:r>
      <w:r>
        <w:t>onditions set out in Annex A1.  It is vital that the Bidder review</w:t>
      </w:r>
      <w:r w:rsidR="0030746C">
        <w:t>s</w:t>
      </w:r>
      <w:r>
        <w:t xml:space="preserve"> these carefully, and take</w:t>
      </w:r>
      <w:r w:rsidR="0030746C">
        <w:t>s</w:t>
      </w:r>
      <w:r>
        <w:t xml:space="preserve"> account of all information such as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79187F">
        <w:t>NHS T</w:t>
      </w:r>
      <w:r w:rsidR="00193011">
        <w:t xml:space="preserve">erms and </w:t>
      </w:r>
      <w:r w:rsidR="0079187F">
        <w:t>C</w:t>
      </w:r>
      <w:r w:rsidR="00193011">
        <w:t>onditions</w:t>
      </w:r>
      <w:r w:rsidR="00B00C70">
        <w:t xml:space="preserve"> without further negotiation or amendment.</w:t>
      </w:r>
      <w:bookmarkEnd w:id="64"/>
    </w:p>
    <w:p w:rsidR="002F23DC" w:rsidRPr="00276E1B" w:rsidRDefault="002F23DC" w:rsidP="00337295">
      <w:pPr>
        <w:pStyle w:val="Heading1"/>
        <w:spacing w:before="240" w:after="0"/>
        <w:ind w:left="709"/>
      </w:pPr>
      <w:bookmarkStart w:id="65" w:name="_Toc403555136"/>
      <w:r w:rsidRPr="00276E1B">
        <w:t>Consortia and subcontractors</w:t>
      </w:r>
      <w:bookmarkEnd w:id="65"/>
      <w:r w:rsidRPr="00276E1B">
        <w:t xml:space="preserve"> </w:t>
      </w:r>
    </w:p>
    <w:p w:rsidR="00BA173E" w:rsidRDefault="00746CCF" w:rsidP="006B54D6">
      <w:pPr>
        <w:pStyle w:val="MRNumberedHeading2"/>
      </w:pPr>
      <w:bookmarkStart w:id="66" w:name="_Toc403555137"/>
      <w:bookmarkStart w:id="67" w:name="_Ref405453227"/>
      <w:r w:rsidRPr="003E3276">
        <w:t>If</w:t>
      </w:r>
      <w:r>
        <w:t xml:space="preserve"> the Bidder is a consortium or will rely on sub-contractors to deliver the contract, it must explain in its Tender precisely which entities will be the supplier.</w:t>
      </w:r>
      <w:bookmarkEnd w:id="66"/>
      <w:bookmarkEnd w:id="67"/>
    </w:p>
    <w:p w:rsidR="00746CCF" w:rsidRPr="008E6BB3" w:rsidRDefault="00746CCF" w:rsidP="006B54D6">
      <w:pPr>
        <w:pStyle w:val="MRNumberedHeading2"/>
      </w:pPr>
      <w:bookmarkStart w:id="68" w:name="_Toc403555139"/>
      <w:r>
        <w:lastRenderedPageBreak/>
        <w:t>If the Bidder intends to sub-contract any material parts of the contract, it must explain which parts will be sub-con</w:t>
      </w:r>
      <w:r w:rsidR="00A60BD1">
        <w:t>tracted, who the sub-contractor</w:t>
      </w:r>
      <w:r w:rsidR="00586006">
        <w:t xml:space="preserve"> is, confirm</w:t>
      </w:r>
      <w:r>
        <w:t xml:space="preserve"> the sub-contractor has agreed terms of supply and what contractual commitment it has from the sub-contractor to deliver.</w:t>
      </w:r>
      <w:bookmarkEnd w:id="68"/>
    </w:p>
    <w:p w:rsidR="002F23DC" w:rsidRPr="00276E1B" w:rsidRDefault="002F23DC" w:rsidP="00337295">
      <w:pPr>
        <w:pStyle w:val="Heading1"/>
        <w:spacing w:before="240" w:after="0"/>
        <w:ind w:left="709"/>
      </w:pPr>
      <w:bookmarkStart w:id="69" w:name="_Toc403555140"/>
      <w:r w:rsidRPr="00276E1B">
        <w:t>Warnings and disclaimers</w:t>
      </w:r>
      <w:bookmarkEnd w:id="69"/>
    </w:p>
    <w:p w:rsidR="001B5F4F" w:rsidRDefault="001B5F4F" w:rsidP="006B54D6">
      <w:pPr>
        <w:pStyle w:val="MRNumberedHeading2"/>
      </w:pPr>
      <w:bookmarkStart w:id="70" w:name="_Toc403555141"/>
      <w:r>
        <w:t>While the information contained in this ITT is believed to be correct at the time of issue, neither the Authority</w:t>
      </w:r>
      <w:r w:rsidR="0079187F">
        <w:t xml:space="preserve"> nor</w:t>
      </w:r>
      <w:r>
        <w:t xml:space="preserve"> its advisors </w:t>
      </w:r>
      <w:proofErr w:type="gramStart"/>
      <w:r>
        <w:t>will accept</w:t>
      </w:r>
      <w:proofErr w:type="gramEnd"/>
      <w:r>
        <w:t xml:space="preserve"> any liability for its accuracy, adequacy or completeness, nor will any express or implied warranty be given. This exclusion extends to liability in relation to any </w:t>
      </w:r>
      <w:r w:rsidR="001E1DE2">
        <w:t>statement</w:t>
      </w:r>
      <w:r>
        <w:t xml:space="preserve">,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70"/>
    </w:p>
    <w:p w:rsidR="001B5F4F" w:rsidRDefault="001B5F4F" w:rsidP="006B54D6">
      <w:pPr>
        <w:pStyle w:val="MRNumberedHeading2"/>
      </w:pPr>
      <w:bookmarkStart w:id="71" w:name="_Toc403555142"/>
      <w:r>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71"/>
    </w:p>
    <w:p w:rsidR="001B5F4F" w:rsidRDefault="001B5F4F" w:rsidP="006B54D6">
      <w:pPr>
        <w:pStyle w:val="MRNumberedHeading2"/>
      </w:pPr>
      <w:bookmarkStart w:id="72" w:name="_Toc403555143"/>
      <w:r>
        <w:t>Neither the issue of this ITT, nor any of the information presented in it, should be regarded as a commitment or representation on the part of the Authority (or any other person) to enter into a contractual arrangement.</w:t>
      </w:r>
      <w:bookmarkEnd w:id="72"/>
    </w:p>
    <w:p w:rsidR="002F23DC" w:rsidRPr="00276E1B" w:rsidRDefault="001B5F4F" w:rsidP="00337295">
      <w:pPr>
        <w:pStyle w:val="Heading1"/>
        <w:spacing w:before="240" w:after="0"/>
        <w:ind w:left="709"/>
      </w:pPr>
      <w:bookmarkStart w:id="73" w:name="_Toc403555144"/>
      <w:r w:rsidRPr="00276E1B">
        <w:t>Freedom of Information Act 2000</w:t>
      </w:r>
      <w:r w:rsidR="008A56A2" w:rsidRPr="00276E1B">
        <w:t xml:space="preserve"> and Environmental Information Regulations 2004</w:t>
      </w:r>
      <w:bookmarkEnd w:id="73"/>
    </w:p>
    <w:p w:rsidR="001664D9" w:rsidRPr="001375C3" w:rsidRDefault="001664D9" w:rsidP="006B54D6">
      <w:pPr>
        <w:pStyle w:val="MRNumberedHeading2"/>
      </w:pPr>
      <w:bookmarkStart w:id="74"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75"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74"/>
      <w:r w:rsidRPr="001375C3">
        <w:t xml:space="preserve"> </w:t>
      </w:r>
      <w:bookmarkEnd w:id="75"/>
    </w:p>
    <w:p w:rsidR="001664D9" w:rsidRPr="001375C3" w:rsidRDefault="0079187F" w:rsidP="006B54D6">
      <w:pPr>
        <w:pStyle w:val="MRNumberedHeading2"/>
      </w:pPr>
      <w:bookmarkStart w:id="76" w:name="_Toc403555147"/>
      <w:r>
        <w:t xml:space="preserve">If a Bidder considers any part of its Tender to be confidential or commercially sensitive, it must complete </w:t>
      </w:r>
      <w:r w:rsidR="007A3602">
        <w:t>Annex B5</w:t>
      </w:r>
      <w:r w:rsidR="008852C8" w:rsidRPr="001375C3">
        <w:t xml:space="preserve"> to </w:t>
      </w:r>
      <w:r w:rsidR="00DE48E3">
        <w:t>Section B</w:t>
      </w:r>
      <w:r w:rsidR="008852C8" w:rsidRPr="001375C3">
        <w:t xml:space="preserve"> of this ITT</w:t>
      </w:r>
      <w:r w:rsidR="001664D9" w:rsidRPr="001375C3">
        <w:t xml:space="preserve">, </w:t>
      </w:r>
      <w:r w:rsidR="00912243">
        <w:t xml:space="preserve">with a statement of which exemptions are relevant under FOIA and/or </w:t>
      </w:r>
      <w:r>
        <w:t xml:space="preserve">the </w:t>
      </w:r>
      <w:r w:rsidR="00586006">
        <w:t>EIR</w:t>
      </w:r>
      <w:r w:rsidR="004834F5" w:rsidRPr="001375C3">
        <w:t>.</w:t>
      </w:r>
      <w:bookmarkEnd w:id="76"/>
    </w:p>
    <w:p w:rsidR="001664D9" w:rsidRPr="001375C3" w:rsidRDefault="001664D9" w:rsidP="006B54D6">
      <w:pPr>
        <w:pStyle w:val="MRNumberedHeading2"/>
      </w:pPr>
      <w:bookmarkStart w:id="77" w:name="_Ref149547621"/>
      <w:bookmarkStart w:id="78"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77"/>
      <w:r w:rsidR="001C747B">
        <w:t>or otherwise exempt.</w:t>
      </w:r>
      <w:bookmarkEnd w:id="78"/>
    </w:p>
    <w:p w:rsidR="00491808" w:rsidRPr="00276E1B" w:rsidRDefault="00491808" w:rsidP="00337295">
      <w:pPr>
        <w:pStyle w:val="Heading1"/>
        <w:spacing w:before="240" w:after="0"/>
        <w:ind w:left="709"/>
      </w:pPr>
      <w:bookmarkStart w:id="79" w:name="_Toc403555149"/>
      <w:r w:rsidRPr="00276E1B">
        <w:t>Publicity</w:t>
      </w:r>
      <w:bookmarkEnd w:id="79"/>
    </w:p>
    <w:p w:rsidR="00491808" w:rsidRPr="00541CDA" w:rsidRDefault="00645517" w:rsidP="006B54D6">
      <w:pPr>
        <w:pStyle w:val="MRNumberedHeading2"/>
      </w:pPr>
      <w:bookmarkStart w:id="80" w:name="_Toc403555150"/>
      <w:r>
        <w:t xml:space="preserve">No publicity regarding the </w:t>
      </w:r>
      <w:r w:rsidR="0079187F">
        <w:t>procurement</w:t>
      </w:r>
      <w:r>
        <w:t xml:space="preserve"> or the award of any c</w:t>
      </w:r>
      <w:r w:rsidR="00491808" w:rsidRPr="00541CDA">
        <w:t xml:space="preserve">ontract will be permitted unless and until the Authority has given express written consent to the relevant communication. </w:t>
      </w:r>
      <w:bookmarkEnd w:id="80"/>
    </w:p>
    <w:p w:rsidR="00491808" w:rsidRPr="00276E1B" w:rsidRDefault="00785DDF" w:rsidP="00337295">
      <w:pPr>
        <w:pStyle w:val="Heading1"/>
        <w:spacing w:before="240" w:after="0"/>
        <w:ind w:left="709"/>
      </w:pPr>
      <w:bookmarkStart w:id="81" w:name="a699927"/>
      <w:bookmarkStart w:id="82" w:name="_Toc403555151"/>
      <w:bookmarkEnd w:id="81"/>
      <w:r w:rsidRPr="00276E1B">
        <w:t>Bidder</w:t>
      </w:r>
      <w:r w:rsidR="00491808" w:rsidRPr="00276E1B">
        <w:t xml:space="preserve"> conduct and conflicts of interest</w:t>
      </w:r>
      <w:bookmarkEnd w:id="82"/>
    </w:p>
    <w:p w:rsidR="00491808" w:rsidRPr="00491808" w:rsidRDefault="00491808" w:rsidP="006B54D6">
      <w:pPr>
        <w:pStyle w:val="MRNumberedHeading2"/>
      </w:pPr>
      <w:bookmarkStart w:id="83"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83"/>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finance; </w:t>
      </w:r>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336D0E">
        <w:rPr>
          <w:bCs/>
        </w:rPr>
        <w:t>e form or content of any other T</w:t>
      </w:r>
      <w:r w:rsidR="00491808" w:rsidRPr="007301E9">
        <w:rPr>
          <w:bCs/>
        </w:rPr>
        <w:t>ender, or offer to pay any sum of money or valuable consideration to any person to effect changes to the form</w:t>
      </w:r>
      <w:r w:rsidR="00CE2FEF" w:rsidRPr="007301E9">
        <w:rPr>
          <w:bCs/>
        </w:rPr>
        <w:t xml:space="preserve"> or content of any o</w:t>
      </w:r>
      <w:r w:rsidR="00336D0E">
        <w:rPr>
          <w:bCs/>
        </w:rPr>
        <w:t>ther T</w:t>
      </w:r>
      <w:r w:rsidRPr="007301E9">
        <w:rPr>
          <w:bCs/>
        </w:rPr>
        <w:t xml:space="preserve">ender; </w:t>
      </w:r>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336D0E">
        <w:rPr>
          <w:bCs/>
        </w:rPr>
        <w:t>person from submitting a T</w:t>
      </w:r>
      <w:r w:rsidRPr="007301E9">
        <w:rPr>
          <w:bCs/>
        </w:rPr>
        <w:t>ender;</w:t>
      </w:r>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lastRenderedPageBreak/>
        <w:t>c</w:t>
      </w:r>
      <w:r w:rsidR="00491808" w:rsidRPr="007301E9">
        <w:rPr>
          <w:bCs/>
        </w:rPr>
        <w:t xml:space="preserve">anvass the Authority or any employees or agents of the Authority </w:t>
      </w:r>
      <w:r w:rsidRPr="007301E9">
        <w:rPr>
          <w:bCs/>
        </w:rPr>
        <w:t>in relation to this procurement; and/or</w:t>
      </w:r>
    </w:p>
    <w:p w:rsidR="00645517"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proofErr w:type="gramStart"/>
      <w:r w:rsidRPr="007301E9">
        <w:rPr>
          <w:bCs/>
        </w:rPr>
        <w:t>a</w:t>
      </w:r>
      <w:r w:rsidR="00491808" w:rsidRPr="007301E9">
        <w:rPr>
          <w:bCs/>
        </w:rPr>
        <w:t>ttempt</w:t>
      </w:r>
      <w:proofErr w:type="gramEnd"/>
      <w:r w:rsidR="00491808" w:rsidRPr="007301E9">
        <w:rPr>
          <w:bCs/>
        </w:rPr>
        <w:t xml:space="preserve"> to obtain information from any of the employees or agents of the Authority or their advisors concerning another </w:t>
      </w:r>
      <w:r w:rsidR="00CE2FEF" w:rsidRPr="007301E9">
        <w:rPr>
          <w:bCs/>
        </w:rPr>
        <w:t>b</w:t>
      </w:r>
      <w:r w:rsidR="00785DDF" w:rsidRPr="007301E9">
        <w:rPr>
          <w:bCs/>
        </w:rPr>
        <w:t>idder</w:t>
      </w:r>
      <w:r w:rsidR="00336D0E">
        <w:rPr>
          <w:bCs/>
        </w:rPr>
        <w:t xml:space="preserve"> or T</w:t>
      </w:r>
      <w:r w:rsidR="00491808" w:rsidRPr="007301E9">
        <w:rPr>
          <w:bCs/>
        </w:rPr>
        <w:t>ender</w:t>
      </w:r>
      <w:r w:rsidR="00F10ACE" w:rsidRPr="007301E9">
        <w:rPr>
          <w:bCs/>
        </w:rPr>
        <w:t xml:space="preserve"> (except for debrief information requests made through the </w:t>
      </w:r>
      <w:r w:rsidR="0050545F">
        <w:rPr>
          <w:bCs/>
        </w:rPr>
        <w:t xml:space="preserve">e-Tendering </w:t>
      </w:r>
      <w:r w:rsidR="004230E7">
        <w:rPr>
          <w:bCs/>
        </w:rPr>
        <w:t>Portal</w:t>
      </w:r>
      <w:r w:rsidR="00F10ACE" w:rsidRPr="007301E9">
        <w:rPr>
          <w:bCs/>
        </w:rPr>
        <w:t>)</w:t>
      </w:r>
      <w:r w:rsidR="00491808" w:rsidRPr="007301E9">
        <w:rPr>
          <w:bCs/>
        </w:rPr>
        <w:t>.</w:t>
      </w:r>
    </w:p>
    <w:p w:rsidR="00491808" w:rsidRPr="00645517" w:rsidRDefault="00E7163F" w:rsidP="006B54D6">
      <w:pPr>
        <w:pStyle w:val="MRNumberedHeading2"/>
      </w:pPr>
      <w:bookmarkStart w:id="84"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84"/>
      <w:r w:rsidR="007B6206">
        <w:t xml:space="preserve">  </w:t>
      </w:r>
      <w:r w:rsidR="00BD4D8C">
        <w:t xml:space="preserve"> </w:t>
      </w:r>
      <w:r w:rsidR="00E2328D">
        <w:t xml:space="preserve"> </w:t>
      </w:r>
    </w:p>
    <w:p w:rsidR="00491808" w:rsidRPr="00491808" w:rsidRDefault="00491808" w:rsidP="00337295">
      <w:pPr>
        <w:pStyle w:val="Heading1"/>
        <w:spacing w:before="240" w:after="0"/>
        <w:ind w:left="709"/>
      </w:pPr>
      <w:bookmarkStart w:id="85" w:name="a582432"/>
      <w:bookmarkStart w:id="86" w:name="_Toc403555154"/>
      <w:bookmarkEnd w:id="85"/>
      <w:r w:rsidRPr="00491808">
        <w:t>Authority's rights</w:t>
      </w:r>
      <w:bookmarkEnd w:id="86"/>
    </w:p>
    <w:p w:rsidR="00491808" w:rsidRPr="00491808" w:rsidRDefault="008D2128" w:rsidP="006B54D6">
      <w:pPr>
        <w:pStyle w:val="MRNumberedHeading2"/>
      </w:pPr>
      <w:bookmarkStart w:id="87" w:name="_Toc403555155"/>
      <w:r>
        <w:t>Subject to its obligations to act in a transparent, proportionate and non-discriminatory manner, t</w:t>
      </w:r>
      <w:r w:rsidR="00491808" w:rsidRPr="00491808">
        <w:t>he Authority reserves the right to:</w:t>
      </w:r>
      <w:bookmarkEnd w:id="87"/>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t>w</w:t>
      </w:r>
      <w:r w:rsidR="00491808" w:rsidRPr="007301E9">
        <w:rPr>
          <w:bCs/>
        </w:rPr>
        <w:t>aive or change the requirements of this ITT from time to time</w:t>
      </w:r>
      <w:r w:rsidRPr="007301E9">
        <w:rPr>
          <w:bCs/>
        </w:rPr>
        <w:t>;</w:t>
      </w:r>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's submission;</w:t>
      </w:r>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th the instructions in this ITT;</w:t>
      </w:r>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336D0E">
        <w:rPr>
          <w:bCs/>
        </w:rPr>
        <w:t>or the T</w:t>
      </w:r>
      <w:r w:rsidRPr="007301E9">
        <w:rPr>
          <w:bCs/>
        </w:rPr>
        <w:t>ender process;</w:t>
      </w:r>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t>w</w:t>
      </w:r>
      <w:r w:rsidR="00491808" w:rsidRPr="007301E9">
        <w:rPr>
          <w:bCs/>
        </w:rPr>
        <w:t>it</w:t>
      </w:r>
      <w:r w:rsidR="00586006">
        <w:rPr>
          <w:bCs/>
        </w:rPr>
        <w:t xml:space="preserve">hdraw this ITT at any time, or </w:t>
      </w:r>
      <w:r w:rsidR="00491808" w:rsidRPr="007301E9">
        <w:rPr>
          <w:bCs/>
        </w:rPr>
        <w:t>re-invite Tenders on th</w:t>
      </w:r>
      <w:r w:rsidRPr="007301E9">
        <w:rPr>
          <w:bCs/>
        </w:rPr>
        <w:t xml:space="preserve">e same or any alternative basis; </w:t>
      </w:r>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rsidR="00491808" w:rsidRPr="007301E9" w:rsidRDefault="00645517" w:rsidP="00351CE0">
      <w:pPr>
        <w:pStyle w:val="MRNumberedHeading3"/>
        <w:numPr>
          <w:ilvl w:val="2"/>
          <w:numId w:val="18"/>
        </w:numPr>
        <w:tabs>
          <w:tab w:val="clear" w:pos="2214"/>
          <w:tab w:val="num" w:pos="1794"/>
        </w:tabs>
        <w:spacing w:line="240" w:lineRule="auto"/>
        <w:ind w:left="1702" w:hanging="851"/>
        <w:jc w:val="both"/>
        <w:rPr>
          <w:bCs/>
        </w:rPr>
      </w:pPr>
      <w:proofErr w:type="gramStart"/>
      <w:r w:rsidRPr="007301E9">
        <w:rPr>
          <w:bCs/>
        </w:rPr>
        <w:t>m</w:t>
      </w:r>
      <w:r w:rsidR="00491808" w:rsidRPr="007301E9">
        <w:rPr>
          <w:bCs/>
        </w:rPr>
        <w:t>ake</w:t>
      </w:r>
      <w:proofErr w:type="gramEnd"/>
      <w:r w:rsidR="00491808" w:rsidRPr="007301E9">
        <w:rPr>
          <w:bCs/>
        </w:rPr>
        <w:t xml:space="preserv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rsidR="00491808" w:rsidRPr="00491808" w:rsidRDefault="00491808" w:rsidP="00337295">
      <w:pPr>
        <w:pStyle w:val="Heading1"/>
        <w:spacing w:before="240" w:after="0"/>
        <w:ind w:left="709"/>
      </w:pPr>
      <w:bookmarkStart w:id="88" w:name="a934916"/>
      <w:bookmarkStart w:id="89" w:name="_Toc403555156"/>
      <w:bookmarkEnd w:id="88"/>
      <w:r w:rsidRPr="00491808">
        <w:t>Bid costs</w:t>
      </w:r>
      <w:bookmarkEnd w:id="89"/>
    </w:p>
    <w:p w:rsidR="0022652F" w:rsidRDefault="00491808" w:rsidP="006B54D6">
      <w:pPr>
        <w:pStyle w:val="MRNumberedHeading2"/>
      </w:pPr>
      <w:bookmarkStart w:id="90"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90"/>
    </w:p>
    <w:p w:rsidR="00491808" w:rsidRPr="00276E1B" w:rsidRDefault="00491808" w:rsidP="00337295">
      <w:pPr>
        <w:pStyle w:val="Heading1"/>
        <w:spacing w:before="240" w:after="0"/>
        <w:ind w:left="709"/>
      </w:pPr>
      <w:bookmarkStart w:id="91" w:name="_Toc403555158"/>
      <w:r w:rsidRPr="00276E1B">
        <w:t>Language</w:t>
      </w:r>
      <w:bookmarkEnd w:id="91"/>
    </w:p>
    <w:p w:rsidR="006534CF" w:rsidRDefault="00491808" w:rsidP="006B54D6">
      <w:pPr>
        <w:pStyle w:val="MRNumberedHeading2"/>
      </w:pPr>
      <w:bookmarkStart w:id="92" w:name="_Toc403555159"/>
      <w:r w:rsidRPr="00A24900">
        <w:t xml:space="preserve">Tenders, all documents and all </w:t>
      </w:r>
      <w:r w:rsidR="003219DA">
        <w:t>correspondence relating to the T</w:t>
      </w:r>
      <w:r w:rsidRPr="00A24900">
        <w:t>ender must be written in English.</w:t>
      </w:r>
      <w:bookmarkEnd w:id="92"/>
    </w:p>
    <w:p w:rsidR="00F35E09" w:rsidRPr="00276E1B" w:rsidRDefault="00F35E09" w:rsidP="00337295">
      <w:pPr>
        <w:pStyle w:val="Heading1"/>
        <w:spacing w:before="240" w:after="0"/>
        <w:ind w:left="709"/>
      </w:pPr>
      <w:bookmarkStart w:id="93" w:name="_Toc403555160"/>
      <w:r w:rsidRPr="00276E1B">
        <w:t>Transparency</w:t>
      </w:r>
      <w:bookmarkEnd w:id="93"/>
      <w:r w:rsidRPr="00276E1B">
        <w:t xml:space="preserve">  </w:t>
      </w:r>
    </w:p>
    <w:p w:rsidR="00F35E09" w:rsidRDefault="00F35E09" w:rsidP="006B54D6">
      <w:pPr>
        <w:pStyle w:val="MRNumberedHeading2"/>
      </w:pPr>
      <w:bookmarkStart w:id="94" w:name="_Toc403555161"/>
      <w:bookmarkStart w:id="95" w:name="_Ref405453244"/>
      <w:r>
        <w:t xml:space="preserve">In accordance with the </w:t>
      </w:r>
      <w:r w:rsidR="002D378C">
        <w:t xml:space="preserve">Public Contracts Regulations 2015 and the </w:t>
      </w:r>
      <w:r>
        <w:t xml:space="preserve">Government’s policy on transparency, Bidders should be aware that the Authority intends to make the ITT and </w:t>
      </w:r>
      <w:r w:rsidR="0079187F">
        <w:t xml:space="preserve">details of </w:t>
      </w:r>
      <w:r>
        <w:t xml:space="preserve">any subsequent contract publicly available, </w:t>
      </w:r>
      <w:r w:rsidR="0079187F">
        <w:t xml:space="preserve">by publication </w:t>
      </w:r>
      <w:r>
        <w:t>on the Government</w:t>
      </w:r>
      <w:bookmarkEnd w:id="94"/>
      <w:bookmarkEnd w:id="95"/>
      <w:r w:rsidR="0050545F">
        <w:t xml:space="preserve">'s Contracts Finder portal. </w:t>
      </w:r>
    </w:p>
    <w:p w:rsidR="00236A55" w:rsidRPr="00276E1B" w:rsidRDefault="00236A55" w:rsidP="00337295">
      <w:pPr>
        <w:pStyle w:val="Heading1"/>
        <w:spacing w:before="240" w:after="0"/>
        <w:ind w:left="709"/>
      </w:pPr>
      <w:bookmarkStart w:id="96" w:name="_Toc403555162"/>
      <w:r w:rsidRPr="00276E1B">
        <w:t>Governing Law and Jurisdiction</w:t>
      </w:r>
      <w:bookmarkEnd w:id="96"/>
      <w:r w:rsidRPr="00276E1B">
        <w:t xml:space="preserve"> </w:t>
      </w:r>
    </w:p>
    <w:p w:rsidR="004E71FF" w:rsidRPr="005A2E47" w:rsidRDefault="00236A55" w:rsidP="006B54D6">
      <w:pPr>
        <w:pStyle w:val="MRNumberedHeading2"/>
      </w:pPr>
      <w:bookmarkStart w:id="97" w:name="_Toc403555163"/>
      <w:r>
        <w:t>This ITT and any dispute concerning it (including non-contractual disputes or claims) shall be governed by English law and subject to the jurisdiction of the English Courts</w:t>
      </w:r>
      <w:bookmarkEnd w:id="97"/>
      <w:r w:rsidR="007A3602">
        <w:t>.</w:t>
      </w:r>
    </w:p>
    <w:p w:rsidR="0079187F" w:rsidRDefault="0079187F">
      <w:pPr>
        <w:spacing w:after="240"/>
        <w:jc w:val="left"/>
        <w:rPr>
          <w:rFonts w:eastAsia="Calibri" w:cs="Arial"/>
          <w:b/>
          <w:lang w:eastAsia="en-GB"/>
        </w:rPr>
      </w:pPr>
      <w:bookmarkStart w:id="98" w:name="_Toc403556504"/>
      <w:bookmarkStart w:id="99" w:name="_Toc403556509"/>
      <w:r>
        <w:br w:type="page"/>
      </w:r>
    </w:p>
    <w:p w:rsidR="008824CC" w:rsidRPr="008F3D2C" w:rsidRDefault="008731E8" w:rsidP="00351CE0">
      <w:pPr>
        <w:pStyle w:val="MRNumberedHeading1"/>
        <w:numPr>
          <w:ilvl w:val="0"/>
          <w:numId w:val="19"/>
        </w:numPr>
        <w:tabs>
          <w:tab w:val="clear" w:pos="798"/>
          <w:tab w:val="num" w:pos="709"/>
        </w:tabs>
        <w:ind w:hanging="798"/>
        <w:rPr>
          <w:sz w:val="20"/>
          <w:szCs w:val="20"/>
        </w:rPr>
      </w:pPr>
      <w:r w:rsidRPr="008F3D2C">
        <w:rPr>
          <w:sz w:val="20"/>
          <w:szCs w:val="20"/>
        </w:rPr>
        <w:lastRenderedPageBreak/>
        <w:t>TENDER EVALUATION METHODOLOGY AND CRITERIA</w:t>
      </w:r>
      <w:bookmarkEnd w:id="98"/>
      <w:bookmarkEnd w:id="99"/>
      <w:r w:rsidRPr="008F3D2C">
        <w:rPr>
          <w:sz w:val="20"/>
          <w:szCs w:val="20"/>
        </w:rPr>
        <w:t xml:space="preserve"> </w:t>
      </w:r>
    </w:p>
    <w:p w:rsidR="008824CC" w:rsidRDefault="00277BB6" w:rsidP="00337295">
      <w:pPr>
        <w:pStyle w:val="Heading1"/>
        <w:spacing w:before="240" w:after="0"/>
        <w:ind w:left="709"/>
      </w:pPr>
      <w:bookmarkStart w:id="100" w:name="_Toc403555164"/>
      <w:r>
        <w:t>Overview</w:t>
      </w:r>
      <w:bookmarkEnd w:id="100"/>
    </w:p>
    <w:p w:rsidR="00BF48A1" w:rsidRDefault="00BF48A1" w:rsidP="006B54D6">
      <w:pPr>
        <w:pStyle w:val="MRNumberedHeading2"/>
      </w:pPr>
      <w:bookmarkStart w:id="101" w:name="_Toc403555165"/>
      <w:r>
        <w:t>T</w:t>
      </w:r>
      <w:r w:rsidRPr="003E3276">
        <w:t>h</w:t>
      </w:r>
      <w:r>
        <w:t>is section of the ITT sets out the criteria that the Authority will use to ev</w:t>
      </w:r>
      <w:r w:rsidR="006A3BFB">
        <w:t>aluate Tenders</w:t>
      </w:r>
      <w:r w:rsidR="00FB21E9">
        <w:t>.</w:t>
      </w:r>
      <w:bookmarkEnd w:id="101"/>
    </w:p>
    <w:p w:rsidR="00FB21E9" w:rsidRDefault="00FB21E9" w:rsidP="006B54D6">
      <w:pPr>
        <w:pStyle w:val="MRNumberedHeading2"/>
      </w:pPr>
      <w:bookmarkStart w:id="102"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 xml:space="preserve">ender is equivocal or unclear, the Authority may deduct marks when scoring </w:t>
      </w:r>
      <w:proofErr w:type="gramStart"/>
      <w:r w:rsidR="00F10ACE">
        <w:t>it,</w:t>
      </w:r>
      <w:proofErr w:type="gramEnd"/>
      <w:r w:rsidR="00F10ACE">
        <w:t xml:space="preserve"> or it may</w:t>
      </w:r>
      <w:r w:rsidR="00B853EE">
        <w:t xml:space="preserve"> treat the Tender as non-complia</w:t>
      </w:r>
      <w:r w:rsidR="00F10ACE">
        <w:t>nt and reject it.</w:t>
      </w:r>
      <w:bookmarkEnd w:id="102"/>
    </w:p>
    <w:p w:rsidR="00C14AA9" w:rsidRDefault="00C14AA9" w:rsidP="006B54D6">
      <w:pPr>
        <w:pStyle w:val="MRNumberedHeading2"/>
      </w:pPr>
      <w:bookmarkStart w:id="103" w:name="_Toc403555167"/>
      <w:r>
        <w:t>The Authority will award the contract to the Tender that scores the highest marks, applying the methodology below. Scoring will be carried out as follows:</w:t>
      </w:r>
      <w:bookmarkEnd w:id="103"/>
      <w:r>
        <w:t xml:space="preserve"> </w:t>
      </w:r>
    </w:p>
    <w:p w:rsidR="00C14AA9" w:rsidRDefault="00C14AA9" w:rsidP="00351CE0">
      <w:pPr>
        <w:pStyle w:val="MRNumberedHeading3"/>
        <w:numPr>
          <w:ilvl w:val="2"/>
          <w:numId w:val="18"/>
        </w:numPr>
        <w:tabs>
          <w:tab w:val="clear" w:pos="2214"/>
          <w:tab w:val="num" w:pos="1794"/>
        </w:tabs>
        <w:spacing w:line="240" w:lineRule="auto"/>
        <w:ind w:left="1702" w:hanging="851"/>
        <w:jc w:val="both"/>
      </w:pPr>
      <w:r>
        <w:t>The Bidder must pass all eligibility questions in Annex B1</w:t>
      </w:r>
      <w:r w:rsidR="0050545F">
        <w:t xml:space="preserve"> of Section B</w:t>
      </w:r>
      <w:r>
        <w:t xml:space="preserve"> (Annex of eligibility questions and responses) ("</w:t>
      </w:r>
      <w:r w:rsidR="001E1DE2" w:rsidRPr="004B6544">
        <w:rPr>
          <w:b/>
        </w:rPr>
        <w:t>Eligibility</w:t>
      </w:r>
      <w:r w:rsidRPr="004B6544">
        <w:rPr>
          <w:b/>
        </w:rPr>
        <w:t xml:space="preserve"> Questions</w:t>
      </w:r>
      <w:r>
        <w:t>").</w:t>
      </w:r>
    </w:p>
    <w:p w:rsidR="00C14AA9" w:rsidRDefault="00C14AA9" w:rsidP="00351CE0">
      <w:pPr>
        <w:pStyle w:val="MRNumberedHeading3"/>
        <w:numPr>
          <w:ilvl w:val="2"/>
          <w:numId w:val="18"/>
        </w:numPr>
        <w:tabs>
          <w:tab w:val="clear" w:pos="2214"/>
          <w:tab w:val="num" w:pos="1794"/>
        </w:tabs>
        <w:spacing w:line="240" w:lineRule="auto"/>
        <w:ind w:left="1702" w:hanging="851"/>
        <w:jc w:val="both"/>
      </w:pPr>
      <w:r>
        <w:t>The Authority will then mark An</w:t>
      </w:r>
      <w:r w:rsidR="00D63140">
        <w:t xml:space="preserve">nex B2 </w:t>
      </w:r>
      <w:r w:rsidR="0050545F">
        <w:t xml:space="preserve">of Section B </w:t>
      </w:r>
      <w:r w:rsidR="00D63140">
        <w:t>(Specification) an</w:t>
      </w:r>
      <w:r w:rsidR="009E6FB5">
        <w:t>d</w:t>
      </w:r>
      <w:r>
        <w:t xml:space="preserve"> Annex B3 </w:t>
      </w:r>
      <w:r w:rsidR="0050545F">
        <w:t xml:space="preserve">of Section B </w:t>
      </w:r>
      <w:r>
        <w:t>(</w:t>
      </w:r>
      <w:r w:rsidR="0079187F">
        <w:t>Tender Response Document</w:t>
      </w:r>
      <w:r>
        <w:t>) ("</w:t>
      </w:r>
      <w:r w:rsidRPr="004B6544">
        <w:rPr>
          <w:b/>
        </w:rPr>
        <w:t>Scored Questions</w:t>
      </w:r>
      <w:r>
        <w:t>") for all Bidders that pass all the Eligibil</w:t>
      </w:r>
      <w:r w:rsidR="0079187F">
        <w:t>i</w:t>
      </w:r>
      <w:r>
        <w:t xml:space="preserve">ty Questions. </w:t>
      </w:r>
    </w:p>
    <w:p w:rsidR="00C14AA9" w:rsidRDefault="00C14AA9" w:rsidP="006B54D6">
      <w:pPr>
        <w:pStyle w:val="MRNumberedHeading2"/>
      </w:pPr>
      <w:bookmarkStart w:id="104" w:name="_Toc403555168"/>
      <w:r>
        <w:t xml:space="preserve">The Authority will mark Eligibility Questions as described in paragraphs </w:t>
      </w:r>
      <w:r w:rsidR="00A77338">
        <w:fldChar w:fldCharType="begin"/>
      </w:r>
      <w:r w:rsidR="00A77338">
        <w:instrText xml:space="preserve"> REF _Ref403484377 \r \h </w:instrText>
      </w:r>
      <w:r w:rsidR="00A77338">
        <w:fldChar w:fldCharType="separate"/>
      </w:r>
      <w:r w:rsidR="00A96B6F">
        <w:t>4.5</w:t>
      </w:r>
      <w:r w:rsidR="00A77338">
        <w:fldChar w:fldCharType="end"/>
      </w:r>
      <w:r w:rsidR="00A77338">
        <w:t xml:space="preserve"> to </w:t>
      </w:r>
      <w:r w:rsidR="00A77338">
        <w:fldChar w:fldCharType="begin"/>
      </w:r>
      <w:r w:rsidR="00A77338">
        <w:instrText xml:space="preserve"> REF _Ref403484379 \r \h </w:instrText>
      </w:r>
      <w:r w:rsidR="00A77338">
        <w:fldChar w:fldCharType="separate"/>
      </w:r>
      <w:r w:rsidR="00A96B6F">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A77338">
        <w:fldChar w:fldCharType="separate"/>
      </w:r>
      <w:r w:rsidR="00A96B6F">
        <w:t>4.8</w:t>
      </w:r>
      <w:r w:rsidR="00A77338">
        <w:fldChar w:fldCharType="end"/>
      </w:r>
      <w:r w:rsidR="00A77338">
        <w:t xml:space="preserve"> to </w:t>
      </w:r>
      <w:bookmarkEnd w:id="104"/>
      <w:r w:rsidR="009E1581">
        <w:fldChar w:fldCharType="begin"/>
      </w:r>
      <w:r w:rsidR="009E1581">
        <w:instrText xml:space="preserve"> REF _Ref408579700 \r \h </w:instrText>
      </w:r>
      <w:r w:rsidR="009E1581">
        <w:fldChar w:fldCharType="separate"/>
      </w:r>
      <w:r w:rsidR="00A96B6F">
        <w:t>4.12</w:t>
      </w:r>
      <w:r w:rsidR="009E1581">
        <w:fldChar w:fldCharType="end"/>
      </w:r>
    </w:p>
    <w:p w:rsidR="00C14AA9" w:rsidRDefault="00C14AA9" w:rsidP="00337295">
      <w:pPr>
        <w:pStyle w:val="Heading1"/>
        <w:spacing w:before="240" w:after="0"/>
        <w:ind w:left="709"/>
      </w:pPr>
      <w:bookmarkStart w:id="105" w:name="_Toc403555169"/>
      <w:r>
        <w:t>Criteria – Eligibility Questions</w:t>
      </w:r>
      <w:bookmarkEnd w:id="105"/>
    </w:p>
    <w:p w:rsidR="00B44E25" w:rsidRDefault="00C14AA9" w:rsidP="006B54D6">
      <w:pPr>
        <w:pStyle w:val="MRNumberedHeading2"/>
      </w:pPr>
      <w:bookmarkStart w:id="106" w:name="_Ref403484377"/>
      <w:bookmarkStart w:id="107" w:name="_Toc403555170"/>
      <w:r>
        <w:t>The Authority will score Eligibility Questions on the following basis:</w:t>
      </w:r>
      <w:bookmarkEnd w:id="106"/>
      <w:bookmarkEnd w:id="107"/>
    </w:p>
    <w:p w:rsidR="00AE400B" w:rsidRPr="00AE400B" w:rsidRDefault="00AE400B" w:rsidP="00AE400B">
      <w:pPr>
        <w:spacing w:before="240"/>
        <w:jc w:val="left"/>
        <w:outlineLvl w:val="1"/>
        <w:rPr>
          <w:rFonts w:eastAsia="Times New Roman" w:cs="Times New Roman"/>
          <w:szCs w:val="24"/>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70"/>
      </w:tblGrid>
      <w:tr w:rsidR="00AE400B" w:rsidRPr="00AE400B" w:rsidTr="00DD4504">
        <w:tc>
          <w:tcPr>
            <w:tcW w:w="2693" w:type="dxa"/>
            <w:shd w:val="clear" w:color="auto" w:fill="A6A6A6"/>
          </w:tcPr>
          <w:p w:rsidR="00AE400B" w:rsidRPr="00AE400B" w:rsidRDefault="00AE400B" w:rsidP="00AE400B">
            <w:pPr>
              <w:spacing w:after="240"/>
              <w:outlineLvl w:val="2"/>
              <w:rPr>
                <w:color w:val="000000"/>
              </w:rPr>
            </w:pPr>
            <w:r w:rsidRPr="00AE400B">
              <w:rPr>
                <w:color w:val="000000"/>
              </w:rPr>
              <w:t xml:space="preserve">Eligibility Questions </w:t>
            </w:r>
          </w:p>
        </w:tc>
        <w:tc>
          <w:tcPr>
            <w:tcW w:w="5670" w:type="dxa"/>
            <w:shd w:val="clear" w:color="auto" w:fill="A6A6A6"/>
          </w:tcPr>
          <w:p w:rsidR="00AE400B" w:rsidRPr="00AE400B" w:rsidRDefault="00AE400B" w:rsidP="00AE400B">
            <w:pPr>
              <w:spacing w:after="240"/>
              <w:outlineLvl w:val="2"/>
              <w:rPr>
                <w:color w:val="000000"/>
              </w:rPr>
            </w:pPr>
            <w:r w:rsidRPr="00AE400B">
              <w:rPr>
                <w:color w:val="000000"/>
              </w:rPr>
              <w:t>Selection criteria</w:t>
            </w:r>
          </w:p>
        </w:tc>
      </w:tr>
      <w:tr w:rsidR="00AE400B" w:rsidRPr="00AE400B" w:rsidTr="00DD4504">
        <w:tc>
          <w:tcPr>
            <w:tcW w:w="2693" w:type="dxa"/>
            <w:shd w:val="clear" w:color="auto" w:fill="auto"/>
          </w:tcPr>
          <w:p w:rsidR="00AE400B" w:rsidRPr="00AE400B" w:rsidRDefault="00AE400B" w:rsidP="00351CE0">
            <w:pPr>
              <w:numPr>
                <w:ilvl w:val="0"/>
                <w:numId w:val="21"/>
              </w:numPr>
              <w:spacing w:after="240"/>
              <w:contextualSpacing/>
              <w:outlineLvl w:val="2"/>
              <w:rPr>
                <w:color w:val="000000"/>
              </w:rPr>
            </w:pPr>
            <w:r w:rsidRPr="00AE400B">
              <w:rPr>
                <w:color w:val="000000"/>
              </w:rPr>
              <w:t xml:space="preserve"> Supplier information</w:t>
            </w:r>
          </w:p>
        </w:tc>
        <w:tc>
          <w:tcPr>
            <w:tcW w:w="5670" w:type="dxa"/>
            <w:shd w:val="clear" w:color="auto" w:fill="auto"/>
          </w:tcPr>
          <w:p w:rsidR="00AE400B" w:rsidRPr="00AE400B" w:rsidRDefault="00AE400B" w:rsidP="00AE400B">
            <w:pPr>
              <w:spacing w:after="240"/>
              <w:outlineLvl w:val="2"/>
              <w:rPr>
                <w:color w:val="000000"/>
              </w:rPr>
            </w:pPr>
            <w:r w:rsidRPr="00AE400B">
              <w:rPr>
                <w:color w:val="000000"/>
              </w:rPr>
              <w:t>For information only</w:t>
            </w:r>
          </w:p>
        </w:tc>
      </w:tr>
      <w:tr w:rsidR="00AE400B" w:rsidRPr="00AE400B" w:rsidTr="00DD4504">
        <w:tc>
          <w:tcPr>
            <w:tcW w:w="2693" w:type="dxa"/>
            <w:shd w:val="clear" w:color="auto" w:fill="auto"/>
          </w:tcPr>
          <w:p w:rsidR="00AE400B" w:rsidRPr="00AE400B" w:rsidRDefault="00AE400B" w:rsidP="00351CE0">
            <w:pPr>
              <w:numPr>
                <w:ilvl w:val="0"/>
                <w:numId w:val="21"/>
              </w:numPr>
              <w:tabs>
                <w:tab w:val="left" w:pos="459"/>
              </w:tabs>
              <w:spacing w:after="240"/>
              <w:contextualSpacing/>
              <w:outlineLvl w:val="2"/>
              <w:rPr>
                <w:color w:val="000000"/>
              </w:rPr>
            </w:pPr>
            <w:r w:rsidRPr="00AE400B">
              <w:rPr>
                <w:color w:val="000000"/>
              </w:rPr>
              <w:t>Grounds for mandatory exclusion</w:t>
            </w:r>
          </w:p>
        </w:tc>
        <w:tc>
          <w:tcPr>
            <w:tcW w:w="5670" w:type="dxa"/>
            <w:shd w:val="clear" w:color="auto" w:fill="auto"/>
          </w:tcPr>
          <w:p w:rsidR="00AE400B" w:rsidRPr="00AE400B" w:rsidRDefault="00AE400B" w:rsidP="00AE400B">
            <w:pPr>
              <w:spacing w:after="240"/>
              <w:outlineLvl w:val="2"/>
              <w:rPr>
                <w:color w:val="000000"/>
              </w:rPr>
            </w:pPr>
            <w:r w:rsidRPr="00AE400B">
              <w:rPr>
                <w:color w:val="000000"/>
              </w:rPr>
              <w:t>Pass or Fail</w:t>
            </w:r>
          </w:p>
        </w:tc>
      </w:tr>
      <w:tr w:rsidR="00AE400B" w:rsidRPr="00AE400B" w:rsidTr="00DD4504">
        <w:tc>
          <w:tcPr>
            <w:tcW w:w="2693" w:type="dxa"/>
            <w:shd w:val="clear" w:color="auto" w:fill="auto"/>
          </w:tcPr>
          <w:p w:rsidR="00AE400B" w:rsidRPr="00AE400B" w:rsidRDefault="00AE400B" w:rsidP="00351CE0">
            <w:pPr>
              <w:numPr>
                <w:ilvl w:val="0"/>
                <w:numId w:val="21"/>
              </w:numPr>
              <w:spacing w:after="240"/>
              <w:contextualSpacing/>
              <w:outlineLvl w:val="2"/>
              <w:rPr>
                <w:color w:val="000000"/>
              </w:rPr>
            </w:pPr>
            <w:r w:rsidRPr="00AE400B">
              <w:rPr>
                <w:color w:val="000000"/>
              </w:rPr>
              <w:t xml:space="preserve">Grounds for discretionary exclusion </w:t>
            </w:r>
          </w:p>
        </w:tc>
        <w:tc>
          <w:tcPr>
            <w:tcW w:w="5670" w:type="dxa"/>
            <w:shd w:val="clear" w:color="auto" w:fill="auto"/>
          </w:tcPr>
          <w:p w:rsidR="00AE400B" w:rsidRPr="00AE400B" w:rsidRDefault="00AE400B" w:rsidP="00AE400B">
            <w:pPr>
              <w:spacing w:after="240"/>
              <w:outlineLvl w:val="2"/>
              <w:rPr>
                <w:color w:val="000000"/>
              </w:rPr>
            </w:pPr>
            <w:r w:rsidRPr="00AE400B">
              <w:rPr>
                <w:color w:val="000000"/>
              </w:rPr>
              <w:t>Pass or Fail</w:t>
            </w:r>
          </w:p>
        </w:tc>
      </w:tr>
    </w:tbl>
    <w:p w:rsidR="00B44E25" w:rsidRDefault="00B44E25" w:rsidP="00AE400B">
      <w:pPr>
        <w:rPr>
          <w:rFonts w:cs="Arial"/>
          <w:b/>
          <w:szCs w:val="22"/>
        </w:rPr>
      </w:pPr>
    </w:p>
    <w:p w:rsidR="007C2F2F" w:rsidRPr="007C2F2F" w:rsidRDefault="007C2F2F" w:rsidP="006B54D6">
      <w:pPr>
        <w:pStyle w:val="MRNumberedHeading2"/>
        <w:rPr>
          <w:i/>
        </w:rPr>
      </w:pPr>
      <w:bookmarkStart w:id="108" w:name="_Toc403555171"/>
      <w:r w:rsidRPr="003E3276">
        <w:t>To</w:t>
      </w:r>
      <w:r>
        <w:t xml:space="preserve"> score a "pass"</w:t>
      </w:r>
      <w:r w:rsidR="00A4718B">
        <w:t xml:space="preserve"> for the Eligibility Questions</w:t>
      </w:r>
      <w:r>
        <w:t>, the Tender must adequately address all key points and include</w:t>
      </w:r>
      <w:r w:rsidRPr="007C2F2F">
        <w:t xml:space="preserve"> adequate supporting evidence / examples / information.</w:t>
      </w:r>
      <w:r>
        <w:t xml:space="preserve">  It must give </w:t>
      </w:r>
      <w:r w:rsidRPr="007C2F2F">
        <w:t>a reasonable degree of confidence that the Bidder has the capability,</w:t>
      </w:r>
      <w:r>
        <w:rPr>
          <w:rFonts w:cs="Arial"/>
        </w:rPr>
        <w:t xml:space="preserve"> resource and experience to properly perform the contract.</w:t>
      </w:r>
      <w:bookmarkEnd w:id="108"/>
    </w:p>
    <w:p w:rsidR="00B44E25" w:rsidRPr="00B44E25" w:rsidRDefault="00B44E25" w:rsidP="006B54D6">
      <w:pPr>
        <w:pStyle w:val="MRNumberedHeading2"/>
        <w:rPr>
          <w:i/>
        </w:rPr>
      </w:pPr>
      <w:bookmarkStart w:id="109" w:name="_Ref403484379"/>
      <w:bookmarkStart w:id="110" w:name="_Toc403555172"/>
      <w:r w:rsidRPr="00B44E25">
        <w:t xml:space="preserve">Where a Bidder scores a "fail" for any question, </w:t>
      </w:r>
      <w:r w:rsidR="00C14AA9">
        <w:t>the Authority will treat the Tender as non-compliant and it will not award a mark for the Scored Questions.</w:t>
      </w:r>
      <w:bookmarkEnd w:id="109"/>
      <w:bookmarkEnd w:id="110"/>
      <w:r w:rsidR="00C14AA9">
        <w:t xml:space="preserve"> </w:t>
      </w:r>
    </w:p>
    <w:p w:rsidR="00BF48A1" w:rsidRPr="007C2F2F" w:rsidRDefault="007C2F2F" w:rsidP="00337295">
      <w:pPr>
        <w:pStyle w:val="Heading1"/>
        <w:spacing w:before="240" w:after="0"/>
        <w:ind w:left="709"/>
      </w:pPr>
      <w:bookmarkStart w:id="111" w:name="_Toc403555173"/>
      <w:r w:rsidRPr="007C2F2F">
        <w:t>C</w:t>
      </w:r>
      <w:r w:rsidR="000B1075" w:rsidRPr="007C2F2F">
        <w:t xml:space="preserve">riteria </w:t>
      </w:r>
      <w:r w:rsidRPr="007C2F2F">
        <w:t>– Scored Questions</w:t>
      </w:r>
      <w:bookmarkEnd w:id="111"/>
    </w:p>
    <w:p w:rsidR="00EF71DD" w:rsidRPr="00C10296" w:rsidRDefault="00EF71DD" w:rsidP="006B54D6">
      <w:pPr>
        <w:pStyle w:val="MRNumberedHeading2"/>
      </w:pPr>
      <w:bookmarkStart w:id="112" w:name="_Ref403401459"/>
      <w:bookmarkStart w:id="113" w:name="_Toc403555174"/>
      <w:r w:rsidRPr="00C10296">
        <w:t xml:space="preserve">Where specified, a minimum pass </w:t>
      </w:r>
      <w:r w:rsidR="0028393A" w:rsidRPr="00C10296">
        <w:t>th</w:t>
      </w:r>
      <w:r w:rsidR="004C3B98" w:rsidRPr="00C10296">
        <w:t>r</w:t>
      </w:r>
      <w:r w:rsidR="0028393A" w:rsidRPr="00C10296">
        <w:t>eshold</w:t>
      </w:r>
      <w:r w:rsidR="00BC2A7C" w:rsidRPr="00C10296">
        <w:t xml:space="preserve"> applies to the evaluation c</w:t>
      </w:r>
      <w:r w:rsidRPr="00C10296">
        <w:t>riteria. The Authority shall reject any Tender which does not meet the relevant Threshold in respect of one or more criteria.</w:t>
      </w:r>
      <w:bookmarkEnd w:id="112"/>
      <w:bookmarkEnd w:id="113"/>
    </w:p>
    <w:p w:rsidR="003E3276" w:rsidRDefault="003E3276" w:rsidP="006B54D6">
      <w:pPr>
        <w:pStyle w:val="MRNumberedHeading2"/>
        <w:numPr>
          <w:ilvl w:val="0"/>
          <w:numId w:val="0"/>
        </w:numPr>
        <w:ind w:left="720"/>
      </w:pPr>
    </w:p>
    <w:p w:rsidR="00B726E3" w:rsidRDefault="00B726E3" w:rsidP="006B54D6">
      <w:pPr>
        <w:pStyle w:val="MRNumberedHeading2"/>
        <w:numPr>
          <w:ilvl w:val="0"/>
          <w:numId w:val="0"/>
        </w:numPr>
        <w:ind w:left="720"/>
      </w:pPr>
    </w:p>
    <w:p w:rsidR="00B726E3" w:rsidRDefault="00B726E3" w:rsidP="006B54D6">
      <w:pPr>
        <w:pStyle w:val="MRNumberedHeading2"/>
        <w:numPr>
          <w:ilvl w:val="0"/>
          <w:numId w:val="0"/>
        </w:numPr>
        <w:ind w:left="720"/>
      </w:pPr>
    </w:p>
    <w:tbl>
      <w:tblPr>
        <w:tblStyle w:val="TableGrid"/>
        <w:tblW w:w="0" w:type="auto"/>
        <w:tblInd w:w="817" w:type="dxa"/>
        <w:tblLayout w:type="fixed"/>
        <w:tblLook w:val="04A0" w:firstRow="1" w:lastRow="0" w:firstColumn="1" w:lastColumn="0" w:noHBand="0" w:noVBand="1"/>
      </w:tblPr>
      <w:tblGrid>
        <w:gridCol w:w="4961"/>
        <w:gridCol w:w="1701"/>
      </w:tblGrid>
      <w:tr w:rsidR="00351CE0" w:rsidTr="00DD4504">
        <w:tc>
          <w:tcPr>
            <w:tcW w:w="4961" w:type="dxa"/>
            <w:shd w:val="clear" w:color="auto" w:fill="BFBFBF" w:themeFill="background1" w:themeFillShade="BF"/>
          </w:tcPr>
          <w:p w:rsidR="00351CE0" w:rsidRPr="00EF71DD" w:rsidRDefault="00351CE0" w:rsidP="003318CA">
            <w:pPr>
              <w:pStyle w:val="Heading2"/>
              <w:numPr>
                <w:ilvl w:val="0"/>
                <w:numId w:val="0"/>
              </w:numPr>
              <w:outlineLvl w:val="1"/>
              <w:rPr>
                <w:b/>
              </w:rPr>
            </w:pPr>
            <w:r w:rsidRPr="00EF71DD">
              <w:rPr>
                <w:b/>
              </w:rPr>
              <w:lastRenderedPageBreak/>
              <w:t>Evaluation criteria</w:t>
            </w:r>
          </w:p>
        </w:tc>
        <w:tc>
          <w:tcPr>
            <w:tcW w:w="1701" w:type="dxa"/>
            <w:shd w:val="clear" w:color="auto" w:fill="BFBFBF" w:themeFill="background1" w:themeFillShade="BF"/>
          </w:tcPr>
          <w:p w:rsidR="00351CE0" w:rsidRPr="00EF71DD" w:rsidRDefault="00351CE0" w:rsidP="00C9108B">
            <w:pPr>
              <w:pStyle w:val="Heading2"/>
              <w:numPr>
                <w:ilvl w:val="0"/>
                <w:numId w:val="0"/>
              </w:numPr>
              <w:outlineLvl w:val="1"/>
              <w:rPr>
                <w:b/>
              </w:rPr>
            </w:pPr>
            <w:r w:rsidRPr="00EF71DD">
              <w:rPr>
                <w:b/>
              </w:rPr>
              <w:t>Weighting</w:t>
            </w:r>
          </w:p>
        </w:tc>
      </w:tr>
      <w:tr w:rsidR="00351CE0" w:rsidTr="00DD4504">
        <w:tc>
          <w:tcPr>
            <w:tcW w:w="4961" w:type="dxa"/>
          </w:tcPr>
          <w:p w:rsidR="00351CE0" w:rsidRDefault="00351CE0" w:rsidP="00BF48A1">
            <w:pPr>
              <w:pStyle w:val="Heading2"/>
              <w:numPr>
                <w:ilvl w:val="0"/>
                <w:numId w:val="0"/>
              </w:numPr>
              <w:outlineLvl w:val="1"/>
            </w:pPr>
            <w:r>
              <w:t>Price</w:t>
            </w:r>
          </w:p>
          <w:p w:rsidR="00351CE0" w:rsidRDefault="00351CE0" w:rsidP="0079187F">
            <w:pPr>
              <w:pStyle w:val="Heading2"/>
              <w:numPr>
                <w:ilvl w:val="0"/>
                <w:numId w:val="0"/>
              </w:numPr>
              <w:outlineLvl w:val="1"/>
            </w:pPr>
          </w:p>
        </w:tc>
        <w:tc>
          <w:tcPr>
            <w:tcW w:w="1701" w:type="dxa"/>
          </w:tcPr>
          <w:p w:rsidR="00351CE0" w:rsidRDefault="00514C26" w:rsidP="00BA6392">
            <w:pPr>
              <w:pStyle w:val="Heading2"/>
              <w:numPr>
                <w:ilvl w:val="0"/>
                <w:numId w:val="0"/>
              </w:numPr>
              <w:jc w:val="center"/>
              <w:outlineLvl w:val="1"/>
            </w:pPr>
            <w:r>
              <w:t>6</w:t>
            </w:r>
            <w:r w:rsidR="00351CE0">
              <w:t>0%</w:t>
            </w:r>
          </w:p>
        </w:tc>
      </w:tr>
      <w:tr w:rsidR="00351CE0" w:rsidTr="00DD4504">
        <w:tc>
          <w:tcPr>
            <w:tcW w:w="4961" w:type="dxa"/>
          </w:tcPr>
          <w:p w:rsidR="00351CE0" w:rsidRPr="00BA6392" w:rsidRDefault="00351CE0" w:rsidP="0079187F">
            <w:pPr>
              <w:pStyle w:val="Heading2"/>
              <w:numPr>
                <w:ilvl w:val="0"/>
                <w:numId w:val="0"/>
              </w:numPr>
              <w:outlineLvl w:val="1"/>
              <w:rPr>
                <w:b/>
              </w:rPr>
            </w:pPr>
            <w:r w:rsidRPr="00BA6392">
              <w:rPr>
                <w:b/>
              </w:rPr>
              <w:t>Quality</w:t>
            </w:r>
            <w:r w:rsidR="00BA6392">
              <w:rPr>
                <w:b/>
              </w:rPr>
              <w:t xml:space="preserve"> (overall)</w:t>
            </w:r>
          </w:p>
          <w:p w:rsidR="00351CE0" w:rsidRPr="00BA6392" w:rsidRDefault="00351CE0" w:rsidP="00BF48A1">
            <w:pPr>
              <w:pStyle w:val="Heading2"/>
              <w:numPr>
                <w:ilvl w:val="0"/>
                <w:numId w:val="0"/>
              </w:numPr>
              <w:outlineLvl w:val="1"/>
              <w:rPr>
                <w:b/>
              </w:rPr>
            </w:pPr>
          </w:p>
        </w:tc>
        <w:tc>
          <w:tcPr>
            <w:tcW w:w="1701" w:type="dxa"/>
          </w:tcPr>
          <w:p w:rsidR="00351CE0" w:rsidRPr="00BA6392" w:rsidRDefault="00514C26" w:rsidP="00BA6392">
            <w:pPr>
              <w:pStyle w:val="Heading2"/>
              <w:numPr>
                <w:ilvl w:val="0"/>
                <w:numId w:val="0"/>
              </w:numPr>
              <w:jc w:val="center"/>
              <w:outlineLvl w:val="1"/>
              <w:rPr>
                <w:b/>
              </w:rPr>
            </w:pPr>
            <w:r>
              <w:rPr>
                <w:b/>
              </w:rPr>
              <w:t>4</w:t>
            </w:r>
            <w:r w:rsidR="00351CE0" w:rsidRPr="00BA6392">
              <w:rPr>
                <w:b/>
              </w:rPr>
              <w:t>0%</w:t>
            </w:r>
          </w:p>
        </w:tc>
      </w:tr>
      <w:tr w:rsidR="00BA6392" w:rsidTr="00DD4504">
        <w:tc>
          <w:tcPr>
            <w:tcW w:w="4961" w:type="dxa"/>
          </w:tcPr>
          <w:p w:rsidR="00BA6392" w:rsidRPr="00BA6392" w:rsidRDefault="00BA6392" w:rsidP="00BA6392">
            <w:pPr>
              <w:pStyle w:val="MRNumberedHeading2"/>
              <w:numPr>
                <w:ilvl w:val="0"/>
                <w:numId w:val="0"/>
              </w:numPr>
              <w:spacing w:before="0"/>
              <w:rPr>
                <w:color w:val="000000" w:themeColor="text1"/>
                <w:sz w:val="18"/>
                <w:szCs w:val="18"/>
              </w:rPr>
            </w:pPr>
            <w:r w:rsidRPr="00BA6392">
              <w:rPr>
                <w:color w:val="000000" w:themeColor="text1"/>
                <w:sz w:val="18"/>
                <w:szCs w:val="18"/>
              </w:rPr>
              <w:t>Experience</w:t>
            </w:r>
          </w:p>
          <w:p w:rsidR="00BA6392" w:rsidRPr="00BA6392" w:rsidRDefault="00BA6392" w:rsidP="00BF48A1">
            <w:pPr>
              <w:pStyle w:val="Heading2"/>
              <w:numPr>
                <w:ilvl w:val="0"/>
                <w:numId w:val="0"/>
              </w:numPr>
              <w:outlineLvl w:val="1"/>
              <w:rPr>
                <w:sz w:val="18"/>
                <w:szCs w:val="18"/>
              </w:rPr>
            </w:pPr>
          </w:p>
        </w:tc>
        <w:tc>
          <w:tcPr>
            <w:tcW w:w="1701" w:type="dxa"/>
          </w:tcPr>
          <w:p w:rsidR="00BA6392" w:rsidRPr="00BA6392" w:rsidRDefault="00514C26" w:rsidP="00BA6392">
            <w:pPr>
              <w:pStyle w:val="Heading2"/>
              <w:numPr>
                <w:ilvl w:val="0"/>
                <w:numId w:val="0"/>
              </w:numPr>
              <w:jc w:val="center"/>
              <w:outlineLvl w:val="1"/>
              <w:rPr>
                <w:sz w:val="18"/>
                <w:szCs w:val="18"/>
              </w:rPr>
            </w:pPr>
            <w:r>
              <w:rPr>
                <w:sz w:val="18"/>
                <w:szCs w:val="18"/>
              </w:rPr>
              <w:t>12</w:t>
            </w:r>
            <w:r w:rsidR="00BA6392" w:rsidRPr="00BA6392">
              <w:rPr>
                <w:sz w:val="18"/>
                <w:szCs w:val="18"/>
              </w:rPr>
              <w:t>%</w:t>
            </w:r>
          </w:p>
        </w:tc>
      </w:tr>
      <w:tr w:rsidR="00BA6392" w:rsidTr="00DD4504">
        <w:tc>
          <w:tcPr>
            <w:tcW w:w="4961" w:type="dxa"/>
          </w:tcPr>
          <w:p w:rsidR="00BA6392" w:rsidRPr="00BA6392" w:rsidRDefault="00BA6392" w:rsidP="00BA6392">
            <w:pPr>
              <w:pStyle w:val="MRNumberedHeading2"/>
              <w:numPr>
                <w:ilvl w:val="0"/>
                <w:numId w:val="0"/>
              </w:numPr>
              <w:spacing w:before="0"/>
              <w:ind w:left="720" w:hanging="720"/>
              <w:rPr>
                <w:color w:val="000000" w:themeColor="text1"/>
                <w:sz w:val="18"/>
                <w:szCs w:val="18"/>
              </w:rPr>
            </w:pPr>
            <w:r w:rsidRPr="00BA6392">
              <w:rPr>
                <w:color w:val="000000" w:themeColor="text1"/>
                <w:sz w:val="18"/>
                <w:szCs w:val="18"/>
              </w:rPr>
              <w:t>H &amp; S</w:t>
            </w:r>
          </w:p>
          <w:p w:rsidR="00BA6392" w:rsidRPr="00BA6392" w:rsidRDefault="00BA6392" w:rsidP="00BF48A1">
            <w:pPr>
              <w:pStyle w:val="Heading2"/>
              <w:numPr>
                <w:ilvl w:val="0"/>
                <w:numId w:val="0"/>
              </w:numPr>
              <w:outlineLvl w:val="1"/>
              <w:rPr>
                <w:sz w:val="18"/>
                <w:szCs w:val="18"/>
              </w:rPr>
            </w:pPr>
          </w:p>
        </w:tc>
        <w:tc>
          <w:tcPr>
            <w:tcW w:w="1701" w:type="dxa"/>
          </w:tcPr>
          <w:p w:rsidR="00BA6392" w:rsidRPr="00BA6392" w:rsidRDefault="00514C26" w:rsidP="00BA6392">
            <w:pPr>
              <w:pStyle w:val="Heading2"/>
              <w:numPr>
                <w:ilvl w:val="0"/>
                <w:numId w:val="0"/>
              </w:numPr>
              <w:jc w:val="center"/>
              <w:outlineLvl w:val="1"/>
              <w:rPr>
                <w:sz w:val="18"/>
                <w:szCs w:val="18"/>
              </w:rPr>
            </w:pPr>
            <w:r>
              <w:rPr>
                <w:sz w:val="18"/>
                <w:szCs w:val="18"/>
              </w:rPr>
              <w:t>7</w:t>
            </w:r>
            <w:r w:rsidR="00BA6392" w:rsidRPr="00BA6392">
              <w:rPr>
                <w:sz w:val="18"/>
                <w:szCs w:val="18"/>
              </w:rPr>
              <w:t>%</w:t>
            </w:r>
          </w:p>
        </w:tc>
      </w:tr>
      <w:tr w:rsidR="008117D1" w:rsidTr="00DD4504">
        <w:tc>
          <w:tcPr>
            <w:tcW w:w="4961" w:type="dxa"/>
          </w:tcPr>
          <w:p w:rsidR="008117D1" w:rsidRDefault="008117D1" w:rsidP="00BF48A1">
            <w:pPr>
              <w:pStyle w:val="Heading2"/>
              <w:numPr>
                <w:ilvl w:val="0"/>
                <w:numId w:val="0"/>
              </w:numPr>
              <w:outlineLvl w:val="1"/>
              <w:rPr>
                <w:sz w:val="18"/>
                <w:szCs w:val="18"/>
              </w:rPr>
            </w:pPr>
            <w:r>
              <w:rPr>
                <w:sz w:val="18"/>
                <w:szCs w:val="18"/>
              </w:rPr>
              <w:t>Company information</w:t>
            </w:r>
          </w:p>
        </w:tc>
        <w:tc>
          <w:tcPr>
            <w:tcW w:w="1701" w:type="dxa"/>
          </w:tcPr>
          <w:p w:rsidR="008117D1" w:rsidRDefault="008117D1" w:rsidP="008117D1">
            <w:pPr>
              <w:pStyle w:val="Heading2"/>
              <w:numPr>
                <w:ilvl w:val="0"/>
                <w:numId w:val="0"/>
              </w:numPr>
              <w:jc w:val="center"/>
              <w:outlineLvl w:val="1"/>
              <w:rPr>
                <w:sz w:val="18"/>
                <w:szCs w:val="18"/>
              </w:rPr>
            </w:pPr>
            <w:r>
              <w:rPr>
                <w:sz w:val="18"/>
                <w:szCs w:val="18"/>
              </w:rPr>
              <w:t>Pass</w:t>
            </w:r>
            <w:r w:rsidR="0034770B">
              <w:rPr>
                <w:sz w:val="18"/>
                <w:szCs w:val="18"/>
              </w:rPr>
              <w:t xml:space="preserve"> or </w:t>
            </w:r>
            <w:r>
              <w:rPr>
                <w:sz w:val="18"/>
                <w:szCs w:val="18"/>
              </w:rPr>
              <w:t>fail</w:t>
            </w:r>
          </w:p>
        </w:tc>
      </w:tr>
      <w:tr w:rsidR="00BA6392" w:rsidTr="00DD4504">
        <w:tc>
          <w:tcPr>
            <w:tcW w:w="4961" w:type="dxa"/>
          </w:tcPr>
          <w:p w:rsidR="00BA6392" w:rsidRPr="00BA6392" w:rsidRDefault="00BA6392" w:rsidP="00BF48A1">
            <w:pPr>
              <w:pStyle w:val="Heading2"/>
              <w:numPr>
                <w:ilvl w:val="0"/>
                <w:numId w:val="0"/>
              </w:numPr>
              <w:outlineLvl w:val="1"/>
              <w:rPr>
                <w:sz w:val="18"/>
                <w:szCs w:val="18"/>
              </w:rPr>
            </w:pPr>
            <w:r>
              <w:rPr>
                <w:sz w:val="18"/>
                <w:szCs w:val="18"/>
              </w:rPr>
              <w:t>Hours of Work</w:t>
            </w:r>
          </w:p>
        </w:tc>
        <w:tc>
          <w:tcPr>
            <w:tcW w:w="1701" w:type="dxa"/>
          </w:tcPr>
          <w:p w:rsidR="00BA6392" w:rsidRPr="00BA6392" w:rsidRDefault="00514C26" w:rsidP="00514C26">
            <w:pPr>
              <w:pStyle w:val="Heading2"/>
              <w:numPr>
                <w:ilvl w:val="0"/>
                <w:numId w:val="0"/>
              </w:numPr>
              <w:jc w:val="center"/>
              <w:outlineLvl w:val="1"/>
              <w:rPr>
                <w:sz w:val="18"/>
                <w:szCs w:val="18"/>
              </w:rPr>
            </w:pPr>
            <w:r>
              <w:rPr>
                <w:sz w:val="18"/>
                <w:szCs w:val="18"/>
              </w:rPr>
              <w:t>9</w:t>
            </w:r>
            <w:r w:rsidR="00BA6392">
              <w:rPr>
                <w:sz w:val="18"/>
                <w:szCs w:val="18"/>
              </w:rPr>
              <w:t>%</w:t>
            </w:r>
          </w:p>
        </w:tc>
      </w:tr>
      <w:tr w:rsidR="00BA6392" w:rsidTr="00DD4504">
        <w:tc>
          <w:tcPr>
            <w:tcW w:w="4961" w:type="dxa"/>
          </w:tcPr>
          <w:p w:rsidR="00BA6392" w:rsidRPr="00BA6392" w:rsidRDefault="00BA6392" w:rsidP="00BF48A1">
            <w:pPr>
              <w:pStyle w:val="Heading2"/>
              <w:numPr>
                <w:ilvl w:val="0"/>
                <w:numId w:val="0"/>
              </w:numPr>
              <w:outlineLvl w:val="1"/>
              <w:rPr>
                <w:sz w:val="18"/>
                <w:szCs w:val="18"/>
              </w:rPr>
            </w:pPr>
            <w:r>
              <w:rPr>
                <w:sz w:val="18"/>
                <w:szCs w:val="18"/>
              </w:rPr>
              <w:t xml:space="preserve">Timescales </w:t>
            </w:r>
          </w:p>
        </w:tc>
        <w:tc>
          <w:tcPr>
            <w:tcW w:w="1701" w:type="dxa"/>
          </w:tcPr>
          <w:p w:rsidR="00BA6392" w:rsidRPr="00BA6392" w:rsidRDefault="00514C26" w:rsidP="00BA6392">
            <w:pPr>
              <w:pStyle w:val="Heading2"/>
              <w:numPr>
                <w:ilvl w:val="0"/>
                <w:numId w:val="0"/>
              </w:numPr>
              <w:jc w:val="center"/>
              <w:outlineLvl w:val="1"/>
              <w:rPr>
                <w:sz w:val="18"/>
                <w:szCs w:val="18"/>
              </w:rPr>
            </w:pPr>
            <w:r>
              <w:rPr>
                <w:sz w:val="18"/>
                <w:szCs w:val="18"/>
              </w:rPr>
              <w:t>7</w:t>
            </w:r>
            <w:r w:rsidR="00BA6392">
              <w:rPr>
                <w:sz w:val="18"/>
                <w:szCs w:val="18"/>
              </w:rPr>
              <w:t>%</w:t>
            </w:r>
          </w:p>
        </w:tc>
      </w:tr>
      <w:tr w:rsidR="00BA6392" w:rsidTr="00DD4504">
        <w:tc>
          <w:tcPr>
            <w:tcW w:w="4961" w:type="dxa"/>
          </w:tcPr>
          <w:p w:rsidR="00BA6392" w:rsidRPr="00BA6392" w:rsidRDefault="00BA6392" w:rsidP="00BF48A1">
            <w:pPr>
              <w:pStyle w:val="Heading2"/>
              <w:numPr>
                <w:ilvl w:val="0"/>
                <w:numId w:val="0"/>
              </w:numPr>
              <w:outlineLvl w:val="1"/>
              <w:rPr>
                <w:sz w:val="18"/>
                <w:szCs w:val="18"/>
              </w:rPr>
            </w:pPr>
            <w:r>
              <w:rPr>
                <w:sz w:val="18"/>
                <w:szCs w:val="18"/>
              </w:rPr>
              <w:t xml:space="preserve">Unexpected issues </w:t>
            </w:r>
          </w:p>
        </w:tc>
        <w:tc>
          <w:tcPr>
            <w:tcW w:w="1701" w:type="dxa"/>
          </w:tcPr>
          <w:p w:rsidR="00BA6392" w:rsidRPr="00BA6392" w:rsidRDefault="00514C26" w:rsidP="00BA6392">
            <w:pPr>
              <w:pStyle w:val="Heading2"/>
              <w:numPr>
                <w:ilvl w:val="0"/>
                <w:numId w:val="0"/>
              </w:numPr>
              <w:jc w:val="center"/>
              <w:outlineLvl w:val="1"/>
              <w:rPr>
                <w:sz w:val="18"/>
                <w:szCs w:val="18"/>
              </w:rPr>
            </w:pPr>
            <w:r>
              <w:rPr>
                <w:sz w:val="18"/>
                <w:szCs w:val="18"/>
              </w:rPr>
              <w:t>5</w:t>
            </w:r>
            <w:r w:rsidR="00BA6392">
              <w:rPr>
                <w:sz w:val="18"/>
                <w:szCs w:val="18"/>
              </w:rPr>
              <w:t>%</w:t>
            </w:r>
          </w:p>
        </w:tc>
      </w:tr>
      <w:tr w:rsidR="00351CE0" w:rsidTr="00DD4504">
        <w:tc>
          <w:tcPr>
            <w:tcW w:w="4961" w:type="dxa"/>
          </w:tcPr>
          <w:p w:rsidR="00351CE0" w:rsidRPr="003318CA" w:rsidRDefault="00351CE0" w:rsidP="00BF48A1">
            <w:pPr>
              <w:pStyle w:val="Heading2"/>
              <w:numPr>
                <w:ilvl w:val="0"/>
                <w:numId w:val="0"/>
              </w:numPr>
              <w:outlineLvl w:val="1"/>
              <w:rPr>
                <w:b/>
              </w:rPr>
            </w:pPr>
            <w:r w:rsidRPr="003318CA">
              <w:rPr>
                <w:b/>
              </w:rPr>
              <w:t>Total</w:t>
            </w:r>
          </w:p>
        </w:tc>
        <w:tc>
          <w:tcPr>
            <w:tcW w:w="1701" w:type="dxa"/>
          </w:tcPr>
          <w:p w:rsidR="00351CE0" w:rsidRPr="00BA6392" w:rsidRDefault="00351CE0" w:rsidP="00BA6392">
            <w:pPr>
              <w:pStyle w:val="Heading2"/>
              <w:numPr>
                <w:ilvl w:val="0"/>
                <w:numId w:val="0"/>
              </w:numPr>
              <w:jc w:val="center"/>
              <w:outlineLvl w:val="1"/>
              <w:rPr>
                <w:b/>
              </w:rPr>
            </w:pPr>
            <w:r w:rsidRPr="00BA6392">
              <w:rPr>
                <w:b/>
              </w:rPr>
              <w:t>100%</w:t>
            </w:r>
          </w:p>
        </w:tc>
      </w:tr>
    </w:tbl>
    <w:p w:rsidR="00362AE0" w:rsidRDefault="00362AE0" w:rsidP="0025200C">
      <w:pPr>
        <w:pStyle w:val="Heading2"/>
        <w:numPr>
          <w:ilvl w:val="0"/>
          <w:numId w:val="0"/>
        </w:numPr>
        <w:ind w:firstLine="850"/>
        <w:rPr>
          <w:b/>
        </w:rPr>
      </w:pPr>
    </w:p>
    <w:p w:rsidR="007C2F2F" w:rsidRPr="007C2F2F" w:rsidRDefault="007C2F2F" w:rsidP="00DD4504">
      <w:pPr>
        <w:pStyle w:val="Heading1"/>
        <w:spacing w:before="240" w:after="0"/>
        <w:ind w:left="709"/>
      </w:pPr>
      <w:bookmarkStart w:id="114" w:name="_Toc403555175"/>
      <w:r w:rsidRPr="007C2F2F">
        <w:t>Criteria – Scored Questions</w:t>
      </w:r>
      <w:r>
        <w:t>:  pricing evaluation</w:t>
      </w:r>
      <w:bookmarkEnd w:id="114"/>
    </w:p>
    <w:p w:rsidR="00202FD5" w:rsidRPr="00351CE0" w:rsidRDefault="008E7F55" w:rsidP="00351CE0">
      <w:pPr>
        <w:pStyle w:val="MRNumberedHeading2"/>
      </w:pPr>
      <w:bookmarkStart w:id="115" w:name="_Toc403555176"/>
      <w:bookmarkStart w:id="116" w:name="_Ref405453282"/>
      <w:r w:rsidRPr="00351CE0">
        <w:t>Tender</w:t>
      </w:r>
      <w:r w:rsidR="00B30006" w:rsidRPr="00351CE0">
        <w:t xml:space="preserve"> prices will be scored on a comparative basis, with the lowest</w:t>
      </w:r>
      <w:r w:rsidR="00982C42" w:rsidRPr="00351CE0">
        <w:t xml:space="preserve"> compliant</w:t>
      </w:r>
      <w:r w:rsidR="00B30006" w:rsidRPr="00351CE0">
        <w:t xml:space="preserve"> </w:t>
      </w:r>
      <w:r w:rsidRPr="00351CE0">
        <w:t>Tender</w:t>
      </w:r>
      <w:r w:rsidR="006C1E7E" w:rsidRPr="00351CE0">
        <w:t xml:space="preserve"> </w:t>
      </w:r>
      <w:r w:rsidR="00982C42" w:rsidRPr="00351CE0">
        <w:t>(excluding any Tenders that the Authority rejects as being abnormally low</w:t>
      </w:r>
      <w:r w:rsidRPr="00351CE0">
        <w:t xml:space="preserve"> or non-compliant</w:t>
      </w:r>
      <w:r w:rsidR="00982C42" w:rsidRPr="00351CE0">
        <w:t xml:space="preserve">) </w:t>
      </w:r>
      <w:r w:rsidR="003D35B8">
        <w:t>receiving 6</w:t>
      </w:r>
      <w:r w:rsidR="006C1E7E" w:rsidRPr="00351CE0">
        <w:t xml:space="preserve">0% of the available marks.  All other </w:t>
      </w:r>
      <w:r w:rsidR="00336D0E" w:rsidRPr="00351CE0">
        <w:t>T</w:t>
      </w:r>
      <w:r w:rsidRPr="00351CE0">
        <w:t>enders</w:t>
      </w:r>
      <w:r w:rsidR="006C1E7E" w:rsidRPr="00351CE0">
        <w:t xml:space="preserve"> will be co</w:t>
      </w:r>
      <w:r w:rsidR="00D27579" w:rsidRPr="00351CE0">
        <w:t xml:space="preserve">mpared against that lowest </w:t>
      </w:r>
      <w:r w:rsidR="00336D0E" w:rsidRPr="00351CE0">
        <w:t>T</w:t>
      </w:r>
      <w:r w:rsidRPr="00351CE0">
        <w:t>ender</w:t>
      </w:r>
      <w:r w:rsidR="007C364A" w:rsidRPr="00351CE0">
        <w:t xml:space="preserve"> using the formula:</w:t>
      </w:r>
      <w:bookmarkEnd w:id="115"/>
      <w:bookmarkEnd w:id="116"/>
      <w:r w:rsidR="00351CE0">
        <w:t xml:space="preserve"> </w:t>
      </w:r>
    </w:p>
    <w:p w:rsidR="007C364A" w:rsidRPr="00351CE0" w:rsidRDefault="00AD7A3A" w:rsidP="00351CE0">
      <w:pPr>
        <w:pStyle w:val="MRNumberedHeading2"/>
        <w:numPr>
          <w:ilvl w:val="0"/>
          <w:numId w:val="0"/>
        </w:numPr>
        <w:ind w:left="720"/>
      </w:pPr>
      <w:r>
        <w:t>(A / B) x6</w:t>
      </w:r>
      <w:r w:rsidR="00351CE0" w:rsidRPr="00351CE0">
        <w:t>0</w:t>
      </w:r>
    </w:p>
    <w:p w:rsidR="007C364A" w:rsidRPr="00351CE0" w:rsidRDefault="007C364A" w:rsidP="00351CE0">
      <w:pPr>
        <w:pStyle w:val="MRNumberedHeading2"/>
        <w:numPr>
          <w:ilvl w:val="0"/>
          <w:numId w:val="0"/>
        </w:numPr>
        <w:ind w:left="720"/>
      </w:pPr>
      <w:r w:rsidRPr="00351CE0">
        <w:t xml:space="preserve">A = </w:t>
      </w:r>
      <w:r w:rsidR="008E7F55" w:rsidRPr="00351CE0">
        <w:t xml:space="preserve">price of </w:t>
      </w:r>
      <w:r w:rsidRPr="00351CE0">
        <w:t xml:space="preserve">lowest compliant </w:t>
      </w:r>
      <w:r w:rsidR="00336D0E" w:rsidRPr="00351CE0">
        <w:t>T</w:t>
      </w:r>
      <w:r w:rsidR="008E7F55" w:rsidRPr="00351CE0">
        <w:t>ender</w:t>
      </w:r>
    </w:p>
    <w:p w:rsidR="007C364A" w:rsidRDefault="007B6206" w:rsidP="00351CE0">
      <w:pPr>
        <w:pStyle w:val="MRNumberedHeading2"/>
        <w:numPr>
          <w:ilvl w:val="0"/>
          <w:numId w:val="0"/>
        </w:numPr>
        <w:ind w:left="720"/>
      </w:pPr>
      <w:r w:rsidRPr="00351CE0">
        <w:t xml:space="preserve">B = </w:t>
      </w:r>
      <w:r w:rsidR="007C364A" w:rsidRPr="00351CE0">
        <w:t xml:space="preserve">price of the </w:t>
      </w:r>
      <w:r w:rsidR="008E7F55" w:rsidRPr="00351CE0">
        <w:t>Tender</w:t>
      </w:r>
      <w:r w:rsidR="007C364A" w:rsidRPr="00351CE0">
        <w:t xml:space="preserve"> being scored</w:t>
      </w:r>
      <w:r w:rsidR="007C364A">
        <w:t xml:space="preserve">  </w:t>
      </w:r>
      <w:r w:rsidR="00D27579">
        <w:t xml:space="preserve"> </w:t>
      </w:r>
    </w:p>
    <w:p w:rsidR="007C2F2F" w:rsidRPr="0025200C" w:rsidRDefault="007C2F2F" w:rsidP="006B54D6">
      <w:pPr>
        <w:pStyle w:val="MRNumberedHeading2"/>
      </w:pPr>
      <w:bookmarkStart w:id="117" w:name="_Toc403555178"/>
      <w:r>
        <w:t>If it appears to the Authority that any Tender may be abnormally low then the Authority may ask the Bidder to explain its price or costs.  If following the Bidder's explanations the Authority is n</w:t>
      </w:r>
      <w:r w:rsidR="00A77338">
        <w:t>ot satisfied with the Bidder's account for the low level of price or cost in the Tender, the Authority may treat the Tender as non-compliant and reject it.</w:t>
      </w:r>
      <w:bookmarkEnd w:id="117"/>
    </w:p>
    <w:p w:rsidR="00A77338" w:rsidRPr="00351CE0" w:rsidRDefault="00A77338" w:rsidP="00351CE0">
      <w:pPr>
        <w:pStyle w:val="MRNumberedHeading2"/>
      </w:pPr>
      <w:bookmarkStart w:id="118" w:name="_Toc403555179"/>
      <w:r w:rsidRPr="00351CE0">
        <w:t>Criteria – S</w:t>
      </w:r>
      <w:r w:rsidR="00351CE0" w:rsidRPr="00351CE0">
        <w:t xml:space="preserve">cored Questions:  </w:t>
      </w:r>
      <w:r w:rsidRPr="00351CE0">
        <w:t>quality evaluation</w:t>
      </w:r>
      <w:bookmarkEnd w:id="118"/>
    </w:p>
    <w:p w:rsidR="006C1E7E" w:rsidRPr="00351CE0" w:rsidRDefault="006C1E7E" w:rsidP="00351CE0">
      <w:pPr>
        <w:pStyle w:val="MRNumberedHeading2"/>
        <w:numPr>
          <w:ilvl w:val="0"/>
          <w:numId w:val="0"/>
        </w:numPr>
        <w:ind w:left="720"/>
      </w:pPr>
      <w:bookmarkStart w:id="119" w:name="_Toc403555180"/>
      <w:bookmarkStart w:id="120" w:name="_Ref405453301"/>
      <w:bookmarkStart w:id="121" w:name="_Ref408579700"/>
      <w:r w:rsidRPr="00351CE0">
        <w:t xml:space="preserve">The </w:t>
      </w:r>
      <w:r w:rsidR="00351CE0" w:rsidRPr="00351CE0">
        <w:t>quality</w:t>
      </w:r>
      <w:r w:rsidR="006A7F8F" w:rsidRPr="00351CE0">
        <w:t xml:space="preserve"> evaluation will be scored in accordance with the table below:</w:t>
      </w:r>
      <w:bookmarkEnd w:id="119"/>
      <w:bookmarkEnd w:id="120"/>
      <w:bookmarkEnd w:id="121"/>
      <w:r w:rsidR="006A7F8F" w:rsidRPr="00351CE0">
        <w:t xml:space="preserve"> </w:t>
      </w:r>
    </w:p>
    <w:p w:rsidR="003E3276" w:rsidRDefault="003E3276" w:rsidP="00351CE0">
      <w:pPr>
        <w:pStyle w:val="MRNumberedHeading2"/>
        <w:numPr>
          <w:ilvl w:val="0"/>
          <w:numId w:val="0"/>
        </w:numPr>
        <w:ind w:left="72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92"/>
        <w:gridCol w:w="5387"/>
      </w:tblGrid>
      <w:tr w:rsidR="006A7F8F" w:rsidRPr="00A24900" w:rsidTr="00DD4504">
        <w:trPr>
          <w:cantSplit/>
          <w:trHeight w:val="538"/>
        </w:trPr>
        <w:tc>
          <w:tcPr>
            <w:tcW w:w="1843" w:type="dxa"/>
            <w:shd w:val="clear" w:color="auto" w:fill="BFBFBF" w:themeFill="background1" w:themeFillShade="BF"/>
            <w:vAlign w:val="center"/>
          </w:tcPr>
          <w:p w:rsidR="006A7F8F" w:rsidRPr="0005222A" w:rsidRDefault="0005222A" w:rsidP="001D5911">
            <w:pPr>
              <w:pStyle w:val="Table"/>
              <w:keepNext/>
              <w:rPr>
                <w:b/>
              </w:rPr>
            </w:pPr>
            <w:r w:rsidRPr="0005222A">
              <w:rPr>
                <w:b/>
              </w:rPr>
              <w:lastRenderedPageBreak/>
              <w:t>Grade label</w:t>
            </w:r>
          </w:p>
        </w:tc>
        <w:tc>
          <w:tcPr>
            <w:tcW w:w="992" w:type="dxa"/>
            <w:shd w:val="clear" w:color="auto" w:fill="BFBFBF" w:themeFill="background1" w:themeFillShade="BF"/>
            <w:vAlign w:val="center"/>
          </w:tcPr>
          <w:p w:rsidR="006A7F8F" w:rsidRPr="0005222A" w:rsidRDefault="0005222A" w:rsidP="001D5911">
            <w:pPr>
              <w:pStyle w:val="Table"/>
              <w:keepNext/>
              <w:jc w:val="center"/>
              <w:rPr>
                <w:b/>
              </w:rPr>
            </w:pPr>
            <w:r w:rsidRPr="0005222A">
              <w:rPr>
                <w:b/>
              </w:rPr>
              <w:t>Grade</w:t>
            </w:r>
          </w:p>
        </w:tc>
        <w:tc>
          <w:tcPr>
            <w:tcW w:w="5387" w:type="dxa"/>
            <w:shd w:val="clear" w:color="auto" w:fill="BFBFBF" w:themeFill="background1" w:themeFillShade="BF"/>
            <w:vAlign w:val="center"/>
          </w:tcPr>
          <w:p w:rsidR="006A7F8F" w:rsidRPr="0005222A" w:rsidRDefault="0005222A" w:rsidP="001D5911">
            <w:pPr>
              <w:pStyle w:val="Table"/>
              <w:keepNext/>
              <w:rPr>
                <w:b/>
              </w:rPr>
            </w:pPr>
            <w:r w:rsidRPr="0005222A">
              <w:rPr>
                <w:b/>
              </w:rPr>
              <w:t>Definition of Grade</w:t>
            </w:r>
          </w:p>
        </w:tc>
      </w:tr>
      <w:tr w:rsidR="0005222A" w:rsidRPr="00A24900" w:rsidTr="00DD4504">
        <w:trPr>
          <w:cantSplit/>
          <w:trHeight w:val="860"/>
        </w:trPr>
        <w:tc>
          <w:tcPr>
            <w:tcW w:w="1843" w:type="dxa"/>
            <w:shd w:val="clear" w:color="auto" w:fill="auto"/>
            <w:vAlign w:val="center"/>
          </w:tcPr>
          <w:p w:rsidR="0005222A" w:rsidRPr="00A24900" w:rsidRDefault="0005222A" w:rsidP="008E2B30">
            <w:pPr>
              <w:pStyle w:val="Table"/>
              <w:keepNext/>
            </w:pPr>
            <w:r w:rsidRPr="00A24900">
              <w:t>Unacceptable</w:t>
            </w:r>
          </w:p>
        </w:tc>
        <w:tc>
          <w:tcPr>
            <w:tcW w:w="992" w:type="dxa"/>
            <w:shd w:val="clear" w:color="auto" w:fill="auto"/>
            <w:vAlign w:val="center"/>
          </w:tcPr>
          <w:p w:rsidR="0005222A" w:rsidRPr="00A24900" w:rsidRDefault="0005222A" w:rsidP="008E2B30">
            <w:pPr>
              <w:pStyle w:val="Table"/>
              <w:keepNext/>
              <w:jc w:val="center"/>
            </w:pPr>
            <w:r w:rsidRPr="00A24900">
              <w:t>0</w:t>
            </w:r>
          </w:p>
        </w:tc>
        <w:tc>
          <w:tcPr>
            <w:tcW w:w="5387" w:type="dxa"/>
            <w:shd w:val="clear" w:color="auto" w:fill="auto"/>
            <w:vAlign w:val="center"/>
          </w:tcPr>
          <w:p w:rsidR="0005222A" w:rsidRPr="00A24900" w:rsidRDefault="000226A1" w:rsidP="00287834">
            <w:pPr>
              <w:pStyle w:val="Table"/>
              <w:keepNext/>
              <w:jc w:val="both"/>
            </w:pPr>
            <w:r>
              <w:t>The proposal c</w:t>
            </w:r>
            <w:r w:rsidR="00287834">
              <w:t xml:space="preserve">ompletely fails to meet </w:t>
            </w:r>
            <w:r w:rsidR="00202FD5">
              <w:t xml:space="preserve">the </w:t>
            </w:r>
            <w:r w:rsidR="00287834">
              <w:t>required standard or does not provide an answer</w:t>
            </w:r>
          </w:p>
        </w:tc>
      </w:tr>
      <w:tr w:rsidR="0005222A" w:rsidRPr="00A24900" w:rsidTr="00DD4504">
        <w:trPr>
          <w:cantSplit/>
          <w:trHeight w:val="861"/>
        </w:trPr>
        <w:tc>
          <w:tcPr>
            <w:tcW w:w="1843" w:type="dxa"/>
            <w:shd w:val="clear" w:color="auto" w:fill="auto"/>
            <w:vAlign w:val="center"/>
          </w:tcPr>
          <w:p w:rsidR="0005222A" w:rsidRPr="00A24900" w:rsidRDefault="0005222A" w:rsidP="001D5911">
            <w:pPr>
              <w:pStyle w:val="Table"/>
              <w:keepNext/>
            </w:pPr>
            <w:r w:rsidRPr="00A24900">
              <w:t>Weak</w:t>
            </w:r>
          </w:p>
        </w:tc>
        <w:tc>
          <w:tcPr>
            <w:tcW w:w="992" w:type="dxa"/>
            <w:shd w:val="clear" w:color="auto" w:fill="auto"/>
            <w:vAlign w:val="center"/>
          </w:tcPr>
          <w:p w:rsidR="0005222A" w:rsidRPr="00A24900" w:rsidRDefault="0005222A" w:rsidP="001D5911">
            <w:pPr>
              <w:pStyle w:val="Table"/>
              <w:keepNext/>
              <w:jc w:val="center"/>
            </w:pPr>
            <w:r w:rsidRPr="00A24900">
              <w:t>1</w:t>
            </w:r>
          </w:p>
        </w:tc>
        <w:tc>
          <w:tcPr>
            <w:tcW w:w="5387" w:type="dxa"/>
            <w:shd w:val="clear" w:color="auto" w:fill="auto"/>
            <w:vAlign w:val="center"/>
          </w:tcPr>
          <w:p w:rsidR="0005222A" w:rsidRPr="00A24900" w:rsidRDefault="000226A1" w:rsidP="00202FD5">
            <w:pPr>
              <w:pStyle w:val="Table"/>
              <w:keepNext/>
              <w:jc w:val="both"/>
            </w:pPr>
            <w:r>
              <w:t>The proposal s</w:t>
            </w:r>
            <w:r w:rsidR="00287834">
              <w:t>ignificantly fails to meet the standards required, contains significant shortcomings or is inconsistent with other aspects of the Tender</w:t>
            </w:r>
          </w:p>
        </w:tc>
      </w:tr>
      <w:tr w:rsidR="0005222A" w:rsidRPr="00A24900" w:rsidTr="00DD4504">
        <w:trPr>
          <w:cantSplit/>
          <w:trHeight w:val="860"/>
        </w:trPr>
        <w:tc>
          <w:tcPr>
            <w:tcW w:w="1843" w:type="dxa"/>
            <w:shd w:val="clear" w:color="auto" w:fill="auto"/>
            <w:vAlign w:val="center"/>
          </w:tcPr>
          <w:p w:rsidR="0005222A" w:rsidRPr="00A24900" w:rsidRDefault="0005222A" w:rsidP="001D5911">
            <w:pPr>
              <w:pStyle w:val="Table"/>
              <w:keepNext/>
            </w:pPr>
            <w:r w:rsidRPr="00A24900">
              <w:t>Satisfactory</w:t>
            </w:r>
          </w:p>
        </w:tc>
        <w:tc>
          <w:tcPr>
            <w:tcW w:w="992" w:type="dxa"/>
            <w:shd w:val="clear" w:color="auto" w:fill="auto"/>
            <w:vAlign w:val="center"/>
          </w:tcPr>
          <w:p w:rsidR="0005222A" w:rsidRPr="00A24900" w:rsidRDefault="0005222A" w:rsidP="001D5911">
            <w:pPr>
              <w:pStyle w:val="Table"/>
              <w:keepNext/>
              <w:jc w:val="center"/>
            </w:pPr>
            <w:r w:rsidRPr="00A24900">
              <w:t>2</w:t>
            </w:r>
          </w:p>
        </w:tc>
        <w:tc>
          <w:tcPr>
            <w:tcW w:w="5387" w:type="dxa"/>
            <w:shd w:val="clear" w:color="auto" w:fill="auto"/>
            <w:vAlign w:val="center"/>
          </w:tcPr>
          <w:p w:rsidR="0005222A" w:rsidRPr="00A24900" w:rsidRDefault="000226A1" w:rsidP="0005222A">
            <w:pPr>
              <w:pStyle w:val="Table"/>
              <w:keepNext/>
              <w:jc w:val="both"/>
            </w:pPr>
            <w:r>
              <w:t>The proposal m</w:t>
            </w:r>
            <w:r w:rsidR="00287834">
              <w:t xml:space="preserve">eets the required standard in most material respects, but is lacking or inconsistent in others </w:t>
            </w:r>
          </w:p>
        </w:tc>
      </w:tr>
      <w:tr w:rsidR="0005222A" w:rsidRPr="00A24900" w:rsidTr="00DD4504">
        <w:trPr>
          <w:cantSplit/>
          <w:trHeight w:val="861"/>
        </w:trPr>
        <w:tc>
          <w:tcPr>
            <w:tcW w:w="1843" w:type="dxa"/>
            <w:shd w:val="clear" w:color="auto" w:fill="auto"/>
            <w:vAlign w:val="center"/>
          </w:tcPr>
          <w:p w:rsidR="0005222A" w:rsidRPr="00A24900" w:rsidRDefault="0005222A" w:rsidP="001D5911">
            <w:pPr>
              <w:pStyle w:val="Table"/>
              <w:keepNext/>
            </w:pPr>
            <w:r w:rsidRPr="00A24900">
              <w:t>Good</w:t>
            </w:r>
          </w:p>
        </w:tc>
        <w:tc>
          <w:tcPr>
            <w:tcW w:w="992" w:type="dxa"/>
            <w:shd w:val="clear" w:color="auto" w:fill="auto"/>
            <w:vAlign w:val="center"/>
          </w:tcPr>
          <w:p w:rsidR="0005222A" w:rsidRPr="00A24900" w:rsidRDefault="0005222A" w:rsidP="001D5911">
            <w:pPr>
              <w:pStyle w:val="Table"/>
              <w:keepNext/>
              <w:jc w:val="center"/>
            </w:pPr>
            <w:r w:rsidRPr="00A24900">
              <w:t>3</w:t>
            </w:r>
          </w:p>
        </w:tc>
        <w:tc>
          <w:tcPr>
            <w:tcW w:w="5387" w:type="dxa"/>
            <w:shd w:val="clear" w:color="auto" w:fill="auto"/>
            <w:vAlign w:val="center"/>
          </w:tcPr>
          <w:p w:rsidR="0005222A" w:rsidRPr="00A24900" w:rsidRDefault="000226A1" w:rsidP="0005222A">
            <w:pPr>
              <w:pStyle w:val="Table"/>
              <w:keepNext/>
              <w:jc w:val="both"/>
            </w:pPr>
            <w:r>
              <w:t>The proposal m</w:t>
            </w:r>
            <w:r w:rsidR="00287834">
              <w:t>eets the required standard in all material respects</w:t>
            </w:r>
          </w:p>
        </w:tc>
      </w:tr>
      <w:tr w:rsidR="0005222A" w:rsidRPr="00A24900" w:rsidTr="00DD4504">
        <w:trPr>
          <w:cantSplit/>
          <w:trHeight w:val="861"/>
        </w:trPr>
        <w:tc>
          <w:tcPr>
            <w:tcW w:w="1843" w:type="dxa"/>
            <w:shd w:val="clear" w:color="auto" w:fill="auto"/>
            <w:vAlign w:val="center"/>
          </w:tcPr>
          <w:p w:rsidR="0005222A" w:rsidRPr="00A24900" w:rsidRDefault="0005222A" w:rsidP="001D5911">
            <w:pPr>
              <w:pStyle w:val="Table"/>
              <w:keepNext/>
            </w:pPr>
            <w:r w:rsidRPr="00A24900">
              <w:t>Excellent</w:t>
            </w:r>
          </w:p>
        </w:tc>
        <w:tc>
          <w:tcPr>
            <w:tcW w:w="992" w:type="dxa"/>
            <w:shd w:val="clear" w:color="auto" w:fill="auto"/>
            <w:vAlign w:val="center"/>
          </w:tcPr>
          <w:p w:rsidR="0005222A" w:rsidRPr="00A24900" w:rsidRDefault="0005222A" w:rsidP="001D5911">
            <w:pPr>
              <w:pStyle w:val="Table"/>
              <w:keepNext/>
              <w:jc w:val="center"/>
            </w:pPr>
            <w:r w:rsidRPr="00A24900">
              <w:t>4</w:t>
            </w:r>
          </w:p>
        </w:tc>
        <w:tc>
          <w:tcPr>
            <w:tcW w:w="5387" w:type="dxa"/>
            <w:shd w:val="clear" w:color="auto" w:fill="auto"/>
            <w:vAlign w:val="center"/>
          </w:tcPr>
          <w:p w:rsidR="0005222A" w:rsidRPr="00A24900" w:rsidRDefault="00547486" w:rsidP="00287834">
            <w:pPr>
              <w:pStyle w:val="Table"/>
              <w:keepNext/>
              <w:jc w:val="both"/>
            </w:pPr>
            <w:r>
              <w:t>The proposal m</w:t>
            </w:r>
            <w:r w:rsidR="00287834">
              <w:t xml:space="preserve">eets the required standard in all material respects and exceeds some or all of the major requirements </w:t>
            </w:r>
          </w:p>
        </w:tc>
      </w:tr>
    </w:tbl>
    <w:p w:rsidR="00901017" w:rsidRDefault="00901017">
      <w:pPr>
        <w:spacing w:after="240"/>
        <w:jc w:val="left"/>
        <w:rPr>
          <w:rFonts w:eastAsia="Calibri" w:cs="Arial"/>
          <w:b/>
          <w:sz w:val="22"/>
          <w:szCs w:val="22"/>
          <w:lang w:eastAsia="en-GB"/>
        </w:rPr>
      </w:pPr>
      <w:bookmarkStart w:id="122" w:name="_Ref403489615"/>
      <w:r>
        <w:br w:type="page"/>
      </w:r>
    </w:p>
    <w:p w:rsidR="005E4E9D" w:rsidRPr="005B59B7" w:rsidRDefault="005E4E9D" w:rsidP="00401FF0">
      <w:pPr>
        <w:pStyle w:val="MainHeading"/>
        <w:spacing w:line="480" w:lineRule="auto"/>
        <w:ind w:left="0"/>
        <w:jc w:val="center"/>
        <w:rPr>
          <w:b/>
        </w:rPr>
      </w:pPr>
      <w:bookmarkStart w:id="123" w:name="_Toc403556511"/>
      <w:bookmarkEnd w:id="122"/>
      <w:r w:rsidRPr="005B59B7">
        <w:rPr>
          <w:b/>
        </w:rPr>
        <w:lastRenderedPageBreak/>
        <w:t>ANNEX A1</w:t>
      </w:r>
      <w:r w:rsidR="00E84532" w:rsidRPr="005B59B7">
        <w:rPr>
          <w:b/>
        </w:rPr>
        <w:br/>
      </w:r>
      <w:r w:rsidRPr="005B59B7">
        <w:rPr>
          <w:b/>
        </w:rPr>
        <w:t>NHS TERMS AND CONDITIONS</w:t>
      </w:r>
      <w:bookmarkEnd w:id="123"/>
    </w:p>
    <w:p w:rsidR="005E4E9D" w:rsidRPr="00EE57C8" w:rsidRDefault="005E4E9D" w:rsidP="005E4E9D">
      <w:pPr>
        <w:pStyle w:val="Body1"/>
        <w:ind w:left="0"/>
      </w:pPr>
      <w:r w:rsidRPr="00EE57C8">
        <w:t xml:space="preserve">The Authority intends to enter into a contract with the successful Bidder on the NHS </w:t>
      </w:r>
      <w:r w:rsidR="00586006">
        <w:t>T</w:t>
      </w:r>
      <w:r w:rsidRPr="00EE57C8">
        <w:t xml:space="preserve">erms and </w:t>
      </w:r>
      <w:r w:rsidR="00586006">
        <w:t>C</w:t>
      </w:r>
      <w:r w:rsidR="006A3895">
        <w:t>onditions.</w:t>
      </w:r>
    </w:p>
    <w:p w:rsidR="005E4E9D" w:rsidRDefault="005E4E9D" w:rsidP="005E4E9D">
      <w:pPr>
        <w:pStyle w:val="Body1"/>
        <w:ind w:left="0"/>
      </w:pPr>
      <w:r>
        <w:t xml:space="preserve">This Annex A1 contains the NHS </w:t>
      </w:r>
      <w:r w:rsidR="00586006">
        <w:t>T</w:t>
      </w:r>
      <w:r>
        <w:t xml:space="preserve">erms and </w:t>
      </w:r>
      <w:r w:rsidR="00586006">
        <w:t>C</w:t>
      </w:r>
      <w:r>
        <w:t>onditions</w:t>
      </w:r>
      <w:r w:rsidR="006829A2">
        <w:t xml:space="preserve">.  </w:t>
      </w:r>
      <w:r>
        <w:t xml:space="preserve"> </w:t>
      </w:r>
    </w:p>
    <w:p w:rsidR="006829A2" w:rsidRDefault="005E4E9D" w:rsidP="005E4E9D">
      <w:pPr>
        <w:pStyle w:val="Body1"/>
        <w:ind w:left="0"/>
      </w:pPr>
      <w:r>
        <w:t xml:space="preserve">The Specification </w:t>
      </w:r>
      <w:r w:rsidR="006829A2">
        <w:t xml:space="preserve">and Tender Response Document are set out in Annex B2 and B3 section </w:t>
      </w:r>
      <w:r>
        <w:t xml:space="preserve">of this ITT. </w:t>
      </w:r>
    </w:p>
    <w:p w:rsidR="00CF6718" w:rsidRDefault="006A3895">
      <w:pPr>
        <w:spacing w:after="240"/>
        <w:jc w:val="left"/>
        <w:rPr>
          <w:rFonts w:eastAsia="Times New Roman" w:cs="Times New Roman"/>
          <w:b/>
          <w:color w:val="000000" w:themeColor="text1"/>
          <w:lang w:eastAsia="en-GB"/>
        </w:rPr>
      </w:pPr>
      <w:hyperlink r:id="rId17" w:history="1">
        <w:r w:rsidRPr="009B6781">
          <w:rPr>
            <w:rStyle w:val="Hyperlink"/>
            <w:rFonts w:eastAsia="Times New Roman" w:cs="Times New Roman"/>
            <w:b/>
            <w:lang w:eastAsia="en-GB"/>
          </w:rPr>
          <w:t>https://www.gov.uk/government/publications/nhs-standard-terms-and-conditions-of-contract-for-the-purchase-of-goods-and-supply-of-services</w:t>
        </w:r>
      </w:hyperlink>
    </w:p>
    <w:p w:rsidR="006A3895" w:rsidRDefault="006A3895">
      <w:pPr>
        <w:spacing w:after="240"/>
        <w:jc w:val="left"/>
        <w:rPr>
          <w:rFonts w:eastAsia="Times New Roman" w:cs="Times New Roman"/>
          <w:b/>
          <w:color w:val="000000" w:themeColor="text1"/>
          <w:lang w:eastAsia="en-GB"/>
        </w:rPr>
      </w:pPr>
    </w:p>
    <w:sectPr w:rsidR="006A3895" w:rsidSect="00B02442">
      <w:footerReference w:type="default" r:id="rId18"/>
      <w:footerReference w:type="first" r:id="rId19"/>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B8" w:rsidRDefault="003D35B8" w:rsidP="00C82318">
      <w:r>
        <w:separator/>
      </w:r>
    </w:p>
  </w:endnote>
  <w:endnote w:type="continuationSeparator" w:id="0">
    <w:p w:rsidR="003D35B8" w:rsidRDefault="003D35B8"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B8" w:rsidRPr="00100953" w:rsidRDefault="003D35B8"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3D35B8" w:rsidRDefault="003D35B8">
    <w:pPr>
      <w:pStyle w:val="Footer"/>
      <w:jc w:val="center"/>
    </w:pPr>
  </w:p>
  <w:p w:rsidR="003D35B8" w:rsidRDefault="003D35B8"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B8" w:rsidRDefault="003D35B8">
    <w:pPr>
      <w:pStyle w:val="Footer"/>
      <w:jc w:val="center"/>
    </w:pPr>
  </w:p>
  <w:p w:rsidR="003D35B8" w:rsidRDefault="003D35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49746"/>
      <w:docPartObj>
        <w:docPartGallery w:val="Page Numbers (Bottom of Page)"/>
        <w:docPartUnique/>
      </w:docPartObj>
    </w:sdtPr>
    <w:sdtEndPr>
      <w:rPr>
        <w:noProof/>
      </w:rPr>
    </w:sdtEndPr>
    <w:sdtContent>
      <w:p w:rsidR="003D35B8" w:rsidRPr="00100953" w:rsidRDefault="003D35B8" w:rsidP="00D635F5">
        <w:pPr>
          <w:pStyle w:val="Footer"/>
          <w:rPr>
            <w:color w:val="808080" w:themeColor="background1" w:themeShade="80"/>
          </w:rPr>
        </w:pPr>
        <w:r>
          <w:rPr>
            <w:color w:val="808080" w:themeColor="background1" w:themeShade="80"/>
          </w:rPr>
          <w:t>ITT section A – below-threshold (February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3D35B8" w:rsidRDefault="003D35B8">
        <w:pPr>
          <w:pStyle w:val="Footer"/>
          <w:jc w:val="center"/>
        </w:pPr>
        <w:r>
          <w:fldChar w:fldCharType="begin"/>
        </w:r>
        <w:r>
          <w:instrText xml:space="preserve"> PAGE   \* MERGEFORMAT </w:instrText>
        </w:r>
        <w:r>
          <w:fldChar w:fldCharType="separate"/>
        </w:r>
        <w:r w:rsidR="00570AFA">
          <w:rPr>
            <w:noProof/>
          </w:rPr>
          <w:t>12</w:t>
        </w:r>
        <w:r>
          <w:rPr>
            <w:noProof/>
          </w:rPr>
          <w:fldChar w:fldCharType="end"/>
        </w:r>
      </w:p>
    </w:sdtContent>
  </w:sdt>
  <w:p w:rsidR="003D35B8" w:rsidRDefault="003D35B8"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238"/>
      <w:docPartObj>
        <w:docPartGallery w:val="Page Numbers (Bottom of Page)"/>
        <w:docPartUnique/>
      </w:docPartObj>
    </w:sdtPr>
    <w:sdtEndPr>
      <w:rPr>
        <w:noProof/>
      </w:rPr>
    </w:sdtEndPr>
    <w:sdtContent>
      <w:p w:rsidR="003D35B8" w:rsidRPr="00100953" w:rsidRDefault="003D35B8"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3D35B8" w:rsidRDefault="003D35B8">
        <w:pPr>
          <w:pStyle w:val="Footer"/>
          <w:jc w:val="center"/>
        </w:pPr>
        <w:r>
          <w:fldChar w:fldCharType="begin"/>
        </w:r>
        <w:r>
          <w:instrText xml:space="preserve"> PAGE   \* MERGEFORMAT </w:instrText>
        </w:r>
        <w:r>
          <w:fldChar w:fldCharType="separate"/>
        </w:r>
        <w:r w:rsidR="00570AFA">
          <w:rPr>
            <w:noProof/>
          </w:rPr>
          <w:t>1</w:t>
        </w:r>
        <w:r>
          <w:rPr>
            <w:noProof/>
          </w:rPr>
          <w:fldChar w:fldCharType="end"/>
        </w:r>
      </w:p>
    </w:sdtContent>
  </w:sdt>
  <w:p w:rsidR="003D35B8" w:rsidRDefault="003D3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B8" w:rsidRDefault="003D35B8" w:rsidP="00C82318">
      <w:r>
        <w:separator/>
      </w:r>
    </w:p>
  </w:footnote>
  <w:footnote w:type="continuationSeparator" w:id="0">
    <w:p w:rsidR="003D35B8" w:rsidRDefault="003D35B8" w:rsidP="00C82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B8" w:rsidRPr="001A0E3F" w:rsidRDefault="003D35B8">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4">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A604E3"/>
    <w:multiLevelType w:val="multilevel"/>
    <w:tmpl w:val="CEDEB652"/>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1">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5">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17">
    <w:nsid w:val="6F0440F9"/>
    <w:multiLevelType w:val="hybridMultilevel"/>
    <w:tmpl w:val="AE42BD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8">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0">
    <w:nsid w:val="77DF70D4"/>
    <w:multiLevelType w:val="hybridMultilevel"/>
    <w:tmpl w:val="6EECA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3"/>
  </w:num>
  <w:num w:numId="2">
    <w:abstractNumId w:val="2"/>
  </w:num>
  <w:num w:numId="3">
    <w:abstractNumId w:val="10"/>
  </w:num>
  <w:num w:numId="4">
    <w:abstractNumId w:val="11"/>
  </w:num>
  <w:num w:numId="5">
    <w:abstractNumId w:val="1"/>
  </w:num>
  <w:num w:numId="6">
    <w:abstractNumId w:val="5"/>
  </w:num>
  <w:num w:numId="7">
    <w:abstractNumId w:val="14"/>
  </w:num>
  <w:num w:numId="8">
    <w:abstractNumId w:val="0"/>
  </w:num>
  <w:num w:numId="9">
    <w:abstractNumId w:val="18"/>
  </w:num>
  <w:num w:numId="10">
    <w:abstractNumId w:val="12"/>
  </w:num>
  <w:num w:numId="11">
    <w:abstractNumId w:val="13"/>
  </w:num>
  <w:num w:numId="12">
    <w:abstractNumId w:val="16"/>
  </w:num>
  <w:num w:numId="13">
    <w:abstractNumId w:val="4"/>
  </w:num>
  <w:num w:numId="14">
    <w:abstractNumId w:val="6"/>
  </w:num>
  <w:num w:numId="15">
    <w:abstractNumId w:val="19"/>
  </w:num>
  <w:num w:numId="16">
    <w:abstractNumId w:val="9"/>
  </w:num>
  <w:num w:numId="17">
    <w:abstractNumId w:val="15"/>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7"/>
  </w:num>
  <w:num w:numId="22">
    <w:abstractNumId w:val="17"/>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7458"/>
    <w:rsid w:val="00010DCA"/>
    <w:rsid w:val="00014E77"/>
    <w:rsid w:val="00017AD9"/>
    <w:rsid w:val="000226A1"/>
    <w:rsid w:val="00023643"/>
    <w:rsid w:val="00030477"/>
    <w:rsid w:val="00030FC3"/>
    <w:rsid w:val="000354F5"/>
    <w:rsid w:val="00036C7D"/>
    <w:rsid w:val="00040181"/>
    <w:rsid w:val="00041C11"/>
    <w:rsid w:val="0005222A"/>
    <w:rsid w:val="00053672"/>
    <w:rsid w:val="00060F58"/>
    <w:rsid w:val="000627AD"/>
    <w:rsid w:val="000643DA"/>
    <w:rsid w:val="00065291"/>
    <w:rsid w:val="00070790"/>
    <w:rsid w:val="00076883"/>
    <w:rsid w:val="000800FA"/>
    <w:rsid w:val="00081B88"/>
    <w:rsid w:val="000831C0"/>
    <w:rsid w:val="000849EC"/>
    <w:rsid w:val="000927EE"/>
    <w:rsid w:val="00094EC7"/>
    <w:rsid w:val="00097408"/>
    <w:rsid w:val="000974B1"/>
    <w:rsid w:val="000A0DF7"/>
    <w:rsid w:val="000A1883"/>
    <w:rsid w:val="000A4844"/>
    <w:rsid w:val="000B1075"/>
    <w:rsid w:val="000B31A2"/>
    <w:rsid w:val="000C7354"/>
    <w:rsid w:val="000D1451"/>
    <w:rsid w:val="000D7C50"/>
    <w:rsid w:val="000E0132"/>
    <w:rsid w:val="000E07E4"/>
    <w:rsid w:val="000E189B"/>
    <w:rsid w:val="000E408B"/>
    <w:rsid w:val="000E5634"/>
    <w:rsid w:val="000E56A8"/>
    <w:rsid w:val="000E5C37"/>
    <w:rsid w:val="000E7C13"/>
    <w:rsid w:val="000F54F5"/>
    <w:rsid w:val="000F79D6"/>
    <w:rsid w:val="0010037F"/>
    <w:rsid w:val="001039C4"/>
    <w:rsid w:val="00105BDB"/>
    <w:rsid w:val="001065C5"/>
    <w:rsid w:val="00112B59"/>
    <w:rsid w:val="00113020"/>
    <w:rsid w:val="00116860"/>
    <w:rsid w:val="001215FE"/>
    <w:rsid w:val="0012295A"/>
    <w:rsid w:val="00131271"/>
    <w:rsid w:val="001338B0"/>
    <w:rsid w:val="00134E47"/>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84371"/>
    <w:rsid w:val="00193011"/>
    <w:rsid w:val="001930C3"/>
    <w:rsid w:val="00194490"/>
    <w:rsid w:val="001945BD"/>
    <w:rsid w:val="001A0407"/>
    <w:rsid w:val="001A0E3F"/>
    <w:rsid w:val="001A3B2A"/>
    <w:rsid w:val="001A504D"/>
    <w:rsid w:val="001A5DF8"/>
    <w:rsid w:val="001A786B"/>
    <w:rsid w:val="001B1C55"/>
    <w:rsid w:val="001B5F4F"/>
    <w:rsid w:val="001B7E88"/>
    <w:rsid w:val="001C30BB"/>
    <w:rsid w:val="001C4CA0"/>
    <w:rsid w:val="001C747B"/>
    <w:rsid w:val="001D1FC8"/>
    <w:rsid w:val="001D268B"/>
    <w:rsid w:val="001D5911"/>
    <w:rsid w:val="001E1DE2"/>
    <w:rsid w:val="001E27EC"/>
    <w:rsid w:val="001E5F7F"/>
    <w:rsid w:val="001E7C74"/>
    <w:rsid w:val="001E7D3C"/>
    <w:rsid w:val="001F110F"/>
    <w:rsid w:val="001F3352"/>
    <w:rsid w:val="001F37D7"/>
    <w:rsid w:val="00200E60"/>
    <w:rsid w:val="00202FD5"/>
    <w:rsid w:val="00203270"/>
    <w:rsid w:val="0020513D"/>
    <w:rsid w:val="00210AD3"/>
    <w:rsid w:val="002110DD"/>
    <w:rsid w:val="00211D34"/>
    <w:rsid w:val="002151AE"/>
    <w:rsid w:val="00220C70"/>
    <w:rsid w:val="00223555"/>
    <w:rsid w:val="00223569"/>
    <w:rsid w:val="002236C5"/>
    <w:rsid w:val="00223A3D"/>
    <w:rsid w:val="00223F6E"/>
    <w:rsid w:val="0022652F"/>
    <w:rsid w:val="00226AE3"/>
    <w:rsid w:val="0022707C"/>
    <w:rsid w:val="002273F5"/>
    <w:rsid w:val="00231397"/>
    <w:rsid w:val="00235829"/>
    <w:rsid w:val="0023694C"/>
    <w:rsid w:val="00236A55"/>
    <w:rsid w:val="002449D5"/>
    <w:rsid w:val="00246C62"/>
    <w:rsid w:val="002471B4"/>
    <w:rsid w:val="00247F0F"/>
    <w:rsid w:val="00250427"/>
    <w:rsid w:val="0025200C"/>
    <w:rsid w:val="0025300A"/>
    <w:rsid w:val="0025411E"/>
    <w:rsid w:val="002556D8"/>
    <w:rsid w:val="00257686"/>
    <w:rsid w:val="00257EF9"/>
    <w:rsid w:val="0026116A"/>
    <w:rsid w:val="00262D1B"/>
    <w:rsid w:val="002651E8"/>
    <w:rsid w:val="00270180"/>
    <w:rsid w:val="002705A5"/>
    <w:rsid w:val="002734C0"/>
    <w:rsid w:val="002741B5"/>
    <w:rsid w:val="0027505F"/>
    <w:rsid w:val="00276E1B"/>
    <w:rsid w:val="00277BB6"/>
    <w:rsid w:val="002820AF"/>
    <w:rsid w:val="0028393A"/>
    <w:rsid w:val="002869D0"/>
    <w:rsid w:val="00287298"/>
    <w:rsid w:val="00287614"/>
    <w:rsid w:val="00287834"/>
    <w:rsid w:val="00296E12"/>
    <w:rsid w:val="002A718A"/>
    <w:rsid w:val="002A73DD"/>
    <w:rsid w:val="002B3866"/>
    <w:rsid w:val="002B7BAF"/>
    <w:rsid w:val="002C0B25"/>
    <w:rsid w:val="002C1FFB"/>
    <w:rsid w:val="002C28D2"/>
    <w:rsid w:val="002C56F6"/>
    <w:rsid w:val="002C6631"/>
    <w:rsid w:val="002D2E91"/>
    <w:rsid w:val="002D378C"/>
    <w:rsid w:val="002D6116"/>
    <w:rsid w:val="002E072D"/>
    <w:rsid w:val="002E0D88"/>
    <w:rsid w:val="002E1DD8"/>
    <w:rsid w:val="002E2E62"/>
    <w:rsid w:val="002F18DD"/>
    <w:rsid w:val="002F23DC"/>
    <w:rsid w:val="002F4080"/>
    <w:rsid w:val="003003CB"/>
    <w:rsid w:val="00302870"/>
    <w:rsid w:val="00305D5B"/>
    <w:rsid w:val="0030746C"/>
    <w:rsid w:val="00307758"/>
    <w:rsid w:val="00311BD5"/>
    <w:rsid w:val="003219DA"/>
    <w:rsid w:val="00322A20"/>
    <w:rsid w:val="003273D3"/>
    <w:rsid w:val="003318CA"/>
    <w:rsid w:val="00334102"/>
    <w:rsid w:val="00334F1A"/>
    <w:rsid w:val="003369CD"/>
    <w:rsid w:val="00336D0E"/>
    <w:rsid w:val="00337295"/>
    <w:rsid w:val="00337F61"/>
    <w:rsid w:val="00343763"/>
    <w:rsid w:val="00345B84"/>
    <w:rsid w:val="00345E83"/>
    <w:rsid w:val="0034770B"/>
    <w:rsid w:val="00347B64"/>
    <w:rsid w:val="00347CA3"/>
    <w:rsid w:val="00351CE0"/>
    <w:rsid w:val="003549F4"/>
    <w:rsid w:val="00362AE0"/>
    <w:rsid w:val="00366F30"/>
    <w:rsid w:val="003702BE"/>
    <w:rsid w:val="0038098B"/>
    <w:rsid w:val="00390E8B"/>
    <w:rsid w:val="003A031F"/>
    <w:rsid w:val="003A0A98"/>
    <w:rsid w:val="003A0D57"/>
    <w:rsid w:val="003A1D39"/>
    <w:rsid w:val="003A1E3E"/>
    <w:rsid w:val="003A5CAB"/>
    <w:rsid w:val="003B1EDB"/>
    <w:rsid w:val="003B7C51"/>
    <w:rsid w:val="003B7E1D"/>
    <w:rsid w:val="003C157F"/>
    <w:rsid w:val="003C35CA"/>
    <w:rsid w:val="003C3C19"/>
    <w:rsid w:val="003D35B8"/>
    <w:rsid w:val="003D6B24"/>
    <w:rsid w:val="003D791D"/>
    <w:rsid w:val="003E1425"/>
    <w:rsid w:val="003E3276"/>
    <w:rsid w:val="003E3454"/>
    <w:rsid w:val="003E3EE7"/>
    <w:rsid w:val="004010FB"/>
    <w:rsid w:val="00401301"/>
    <w:rsid w:val="00401FF0"/>
    <w:rsid w:val="004164C8"/>
    <w:rsid w:val="004230E7"/>
    <w:rsid w:val="004244F2"/>
    <w:rsid w:val="004251F8"/>
    <w:rsid w:val="00430158"/>
    <w:rsid w:val="004411D8"/>
    <w:rsid w:val="00453A99"/>
    <w:rsid w:val="00456FE6"/>
    <w:rsid w:val="00457D9A"/>
    <w:rsid w:val="00461A05"/>
    <w:rsid w:val="00465EF9"/>
    <w:rsid w:val="004834F5"/>
    <w:rsid w:val="00486F32"/>
    <w:rsid w:val="004900DB"/>
    <w:rsid w:val="00491808"/>
    <w:rsid w:val="00496B53"/>
    <w:rsid w:val="004A129B"/>
    <w:rsid w:val="004B1A24"/>
    <w:rsid w:val="004B6544"/>
    <w:rsid w:val="004C3605"/>
    <w:rsid w:val="004C3B98"/>
    <w:rsid w:val="004C58D8"/>
    <w:rsid w:val="004D1477"/>
    <w:rsid w:val="004D33A7"/>
    <w:rsid w:val="004E1ABD"/>
    <w:rsid w:val="004E51D1"/>
    <w:rsid w:val="004E71FF"/>
    <w:rsid w:val="004E775C"/>
    <w:rsid w:val="004F391B"/>
    <w:rsid w:val="00503BB6"/>
    <w:rsid w:val="00504FA1"/>
    <w:rsid w:val="0050545F"/>
    <w:rsid w:val="00514C26"/>
    <w:rsid w:val="005207B7"/>
    <w:rsid w:val="00523CAB"/>
    <w:rsid w:val="005275E6"/>
    <w:rsid w:val="005308BB"/>
    <w:rsid w:val="00533CB2"/>
    <w:rsid w:val="0053546C"/>
    <w:rsid w:val="00541CDA"/>
    <w:rsid w:val="00547486"/>
    <w:rsid w:val="00550EFF"/>
    <w:rsid w:val="00556A0A"/>
    <w:rsid w:val="00557DBA"/>
    <w:rsid w:val="00561F1C"/>
    <w:rsid w:val="00562B64"/>
    <w:rsid w:val="00570AFA"/>
    <w:rsid w:val="005717F4"/>
    <w:rsid w:val="00581A29"/>
    <w:rsid w:val="00585FA5"/>
    <w:rsid w:val="00586006"/>
    <w:rsid w:val="00586837"/>
    <w:rsid w:val="005957B2"/>
    <w:rsid w:val="005A16A5"/>
    <w:rsid w:val="005A1CC2"/>
    <w:rsid w:val="005A2E47"/>
    <w:rsid w:val="005A2EA3"/>
    <w:rsid w:val="005A53CA"/>
    <w:rsid w:val="005A7AD6"/>
    <w:rsid w:val="005B39A7"/>
    <w:rsid w:val="005B4FA2"/>
    <w:rsid w:val="005B59B7"/>
    <w:rsid w:val="005C16F0"/>
    <w:rsid w:val="005C423B"/>
    <w:rsid w:val="005C47BD"/>
    <w:rsid w:val="005C55FB"/>
    <w:rsid w:val="005C5973"/>
    <w:rsid w:val="005C64CE"/>
    <w:rsid w:val="005D52ED"/>
    <w:rsid w:val="005D6EB1"/>
    <w:rsid w:val="005D7098"/>
    <w:rsid w:val="005E10B8"/>
    <w:rsid w:val="005E4E9D"/>
    <w:rsid w:val="005E7402"/>
    <w:rsid w:val="005F3F33"/>
    <w:rsid w:val="005F42C5"/>
    <w:rsid w:val="005F4C9F"/>
    <w:rsid w:val="005F5952"/>
    <w:rsid w:val="00600BCE"/>
    <w:rsid w:val="00601937"/>
    <w:rsid w:val="006032F2"/>
    <w:rsid w:val="00603A0D"/>
    <w:rsid w:val="00610AC8"/>
    <w:rsid w:val="006111AA"/>
    <w:rsid w:val="00611712"/>
    <w:rsid w:val="00612B4A"/>
    <w:rsid w:val="00623252"/>
    <w:rsid w:val="00631612"/>
    <w:rsid w:val="00635364"/>
    <w:rsid w:val="00636468"/>
    <w:rsid w:val="00637C62"/>
    <w:rsid w:val="00643075"/>
    <w:rsid w:val="0064464B"/>
    <w:rsid w:val="00645517"/>
    <w:rsid w:val="00647144"/>
    <w:rsid w:val="00647ADF"/>
    <w:rsid w:val="006501D8"/>
    <w:rsid w:val="0065066E"/>
    <w:rsid w:val="00651438"/>
    <w:rsid w:val="00652792"/>
    <w:rsid w:val="006534CF"/>
    <w:rsid w:val="00653DCC"/>
    <w:rsid w:val="006550B3"/>
    <w:rsid w:val="006676B9"/>
    <w:rsid w:val="006705FE"/>
    <w:rsid w:val="00677EFB"/>
    <w:rsid w:val="006829A2"/>
    <w:rsid w:val="006856A7"/>
    <w:rsid w:val="00690AAF"/>
    <w:rsid w:val="0069159F"/>
    <w:rsid w:val="00692B07"/>
    <w:rsid w:val="00694024"/>
    <w:rsid w:val="00696981"/>
    <w:rsid w:val="006A3895"/>
    <w:rsid w:val="006A3BFB"/>
    <w:rsid w:val="006A7F8F"/>
    <w:rsid w:val="006B3EFA"/>
    <w:rsid w:val="006B54D6"/>
    <w:rsid w:val="006B60E4"/>
    <w:rsid w:val="006C158D"/>
    <w:rsid w:val="006C1E7E"/>
    <w:rsid w:val="006C5838"/>
    <w:rsid w:val="006D186C"/>
    <w:rsid w:val="006D2CD0"/>
    <w:rsid w:val="006D312E"/>
    <w:rsid w:val="006E2D76"/>
    <w:rsid w:val="006E3892"/>
    <w:rsid w:val="006E500B"/>
    <w:rsid w:val="006E7E7E"/>
    <w:rsid w:val="006F4A5B"/>
    <w:rsid w:val="006F6ABF"/>
    <w:rsid w:val="006F782D"/>
    <w:rsid w:val="0070095E"/>
    <w:rsid w:val="0070356D"/>
    <w:rsid w:val="007042B7"/>
    <w:rsid w:val="00706A06"/>
    <w:rsid w:val="0071468F"/>
    <w:rsid w:val="00721F4F"/>
    <w:rsid w:val="00727643"/>
    <w:rsid w:val="007301E9"/>
    <w:rsid w:val="00730C14"/>
    <w:rsid w:val="0073556F"/>
    <w:rsid w:val="00740C0F"/>
    <w:rsid w:val="00742A8D"/>
    <w:rsid w:val="00746CCF"/>
    <w:rsid w:val="00750F40"/>
    <w:rsid w:val="0075474E"/>
    <w:rsid w:val="0075483B"/>
    <w:rsid w:val="00766D94"/>
    <w:rsid w:val="007724D1"/>
    <w:rsid w:val="007768B0"/>
    <w:rsid w:val="007829E9"/>
    <w:rsid w:val="00785747"/>
    <w:rsid w:val="00785D65"/>
    <w:rsid w:val="00785DDF"/>
    <w:rsid w:val="0079187F"/>
    <w:rsid w:val="00791CF0"/>
    <w:rsid w:val="0079332F"/>
    <w:rsid w:val="007A3602"/>
    <w:rsid w:val="007B03E7"/>
    <w:rsid w:val="007B2282"/>
    <w:rsid w:val="007B6206"/>
    <w:rsid w:val="007B74E1"/>
    <w:rsid w:val="007C0526"/>
    <w:rsid w:val="007C198C"/>
    <w:rsid w:val="007C2F2F"/>
    <w:rsid w:val="007C364A"/>
    <w:rsid w:val="007C3AE6"/>
    <w:rsid w:val="007D3D17"/>
    <w:rsid w:val="007D7562"/>
    <w:rsid w:val="007E1147"/>
    <w:rsid w:val="007E124C"/>
    <w:rsid w:val="007E269D"/>
    <w:rsid w:val="007E379F"/>
    <w:rsid w:val="007F5F02"/>
    <w:rsid w:val="00807CF7"/>
    <w:rsid w:val="008117D1"/>
    <w:rsid w:val="00811FA0"/>
    <w:rsid w:val="00814588"/>
    <w:rsid w:val="00815813"/>
    <w:rsid w:val="00816028"/>
    <w:rsid w:val="00824E99"/>
    <w:rsid w:val="00825FC5"/>
    <w:rsid w:val="008306CC"/>
    <w:rsid w:val="00830FE1"/>
    <w:rsid w:val="00831204"/>
    <w:rsid w:val="00831521"/>
    <w:rsid w:val="008347D9"/>
    <w:rsid w:val="0083677A"/>
    <w:rsid w:val="00844254"/>
    <w:rsid w:val="00845FBE"/>
    <w:rsid w:val="008523D8"/>
    <w:rsid w:val="00852A24"/>
    <w:rsid w:val="00852C8E"/>
    <w:rsid w:val="008543D2"/>
    <w:rsid w:val="00861604"/>
    <w:rsid w:val="00863629"/>
    <w:rsid w:val="0087001B"/>
    <w:rsid w:val="00871C8E"/>
    <w:rsid w:val="008731E8"/>
    <w:rsid w:val="00873854"/>
    <w:rsid w:val="00874878"/>
    <w:rsid w:val="00874EA8"/>
    <w:rsid w:val="00876C2C"/>
    <w:rsid w:val="008824CC"/>
    <w:rsid w:val="008852C8"/>
    <w:rsid w:val="0088639D"/>
    <w:rsid w:val="00891FFA"/>
    <w:rsid w:val="00893339"/>
    <w:rsid w:val="00897556"/>
    <w:rsid w:val="0089780F"/>
    <w:rsid w:val="008A093C"/>
    <w:rsid w:val="008A56A2"/>
    <w:rsid w:val="008B0CA8"/>
    <w:rsid w:val="008B2936"/>
    <w:rsid w:val="008B6FBF"/>
    <w:rsid w:val="008C5577"/>
    <w:rsid w:val="008D2128"/>
    <w:rsid w:val="008D3217"/>
    <w:rsid w:val="008D4F8F"/>
    <w:rsid w:val="008E1517"/>
    <w:rsid w:val="008E2B30"/>
    <w:rsid w:val="008E363A"/>
    <w:rsid w:val="008E6BB3"/>
    <w:rsid w:val="008E6EC7"/>
    <w:rsid w:val="008E7E5A"/>
    <w:rsid w:val="008E7F55"/>
    <w:rsid w:val="008F25B4"/>
    <w:rsid w:val="008F3D2C"/>
    <w:rsid w:val="008F6885"/>
    <w:rsid w:val="008F79E8"/>
    <w:rsid w:val="00901017"/>
    <w:rsid w:val="00911444"/>
    <w:rsid w:val="00912243"/>
    <w:rsid w:val="00914926"/>
    <w:rsid w:val="009158CB"/>
    <w:rsid w:val="0092538F"/>
    <w:rsid w:val="0092698E"/>
    <w:rsid w:val="009349DC"/>
    <w:rsid w:val="00935045"/>
    <w:rsid w:val="00935EC9"/>
    <w:rsid w:val="009464EA"/>
    <w:rsid w:val="00951656"/>
    <w:rsid w:val="00951B7E"/>
    <w:rsid w:val="00953B6C"/>
    <w:rsid w:val="00955E7B"/>
    <w:rsid w:val="009570B6"/>
    <w:rsid w:val="0095789C"/>
    <w:rsid w:val="009675E1"/>
    <w:rsid w:val="009719DE"/>
    <w:rsid w:val="0097584E"/>
    <w:rsid w:val="00982C42"/>
    <w:rsid w:val="009852C1"/>
    <w:rsid w:val="00986ACE"/>
    <w:rsid w:val="00986C82"/>
    <w:rsid w:val="00993534"/>
    <w:rsid w:val="00996FCF"/>
    <w:rsid w:val="009A32E3"/>
    <w:rsid w:val="009A3E29"/>
    <w:rsid w:val="009A6B8A"/>
    <w:rsid w:val="009B12C4"/>
    <w:rsid w:val="009B2F74"/>
    <w:rsid w:val="009B4115"/>
    <w:rsid w:val="009C4CA5"/>
    <w:rsid w:val="009C5E46"/>
    <w:rsid w:val="009C7BA6"/>
    <w:rsid w:val="009D7244"/>
    <w:rsid w:val="009E1581"/>
    <w:rsid w:val="009E25A6"/>
    <w:rsid w:val="009E4D46"/>
    <w:rsid w:val="009E6FB5"/>
    <w:rsid w:val="009F1E32"/>
    <w:rsid w:val="009F49C7"/>
    <w:rsid w:val="009F7574"/>
    <w:rsid w:val="009F79AA"/>
    <w:rsid w:val="00A04307"/>
    <w:rsid w:val="00A109FC"/>
    <w:rsid w:val="00A14C3B"/>
    <w:rsid w:val="00A15ADC"/>
    <w:rsid w:val="00A21DFB"/>
    <w:rsid w:val="00A30764"/>
    <w:rsid w:val="00A3093F"/>
    <w:rsid w:val="00A3127A"/>
    <w:rsid w:val="00A432D4"/>
    <w:rsid w:val="00A4489A"/>
    <w:rsid w:val="00A4718B"/>
    <w:rsid w:val="00A51144"/>
    <w:rsid w:val="00A53B21"/>
    <w:rsid w:val="00A57D02"/>
    <w:rsid w:val="00A60BD1"/>
    <w:rsid w:val="00A62099"/>
    <w:rsid w:val="00A6558E"/>
    <w:rsid w:val="00A66B5D"/>
    <w:rsid w:val="00A7044C"/>
    <w:rsid w:val="00A740CF"/>
    <w:rsid w:val="00A7423D"/>
    <w:rsid w:val="00A77338"/>
    <w:rsid w:val="00A80F52"/>
    <w:rsid w:val="00A858C9"/>
    <w:rsid w:val="00A86DAE"/>
    <w:rsid w:val="00A93755"/>
    <w:rsid w:val="00A93A32"/>
    <w:rsid w:val="00A9537F"/>
    <w:rsid w:val="00A96B6F"/>
    <w:rsid w:val="00AA2C15"/>
    <w:rsid w:val="00AA3A73"/>
    <w:rsid w:val="00AA3CCC"/>
    <w:rsid w:val="00AA402D"/>
    <w:rsid w:val="00AA56AE"/>
    <w:rsid w:val="00AB7050"/>
    <w:rsid w:val="00AC10C4"/>
    <w:rsid w:val="00AD0C96"/>
    <w:rsid w:val="00AD14A4"/>
    <w:rsid w:val="00AD1F28"/>
    <w:rsid w:val="00AD3446"/>
    <w:rsid w:val="00AD42B5"/>
    <w:rsid w:val="00AD4DB1"/>
    <w:rsid w:val="00AD7A3A"/>
    <w:rsid w:val="00AE18C1"/>
    <w:rsid w:val="00AE400B"/>
    <w:rsid w:val="00AE4ABC"/>
    <w:rsid w:val="00AE7ABC"/>
    <w:rsid w:val="00AF2335"/>
    <w:rsid w:val="00AF3418"/>
    <w:rsid w:val="00AF3925"/>
    <w:rsid w:val="00AF5CF2"/>
    <w:rsid w:val="00AF6234"/>
    <w:rsid w:val="00B00C70"/>
    <w:rsid w:val="00B012D5"/>
    <w:rsid w:val="00B02442"/>
    <w:rsid w:val="00B30006"/>
    <w:rsid w:val="00B32B50"/>
    <w:rsid w:val="00B33B1E"/>
    <w:rsid w:val="00B33EB1"/>
    <w:rsid w:val="00B44457"/>
    <w:rsid w:val="00B44E25"/>
    <w:rsid w:val="00B45130"/>
    <w:rsid w:val="00B46DA5"/>
    <w:rsid w:val="00B50EAD"/>
    <w:rsid w:val="00B51C48"/>
    <w:rsid w:val="00B54DC9"/>
    <w:rsid w:val="00B61061"/>
    <w:rsid w:val="00B667F9"/>
    <w:rsid w:val="00B726E3"/>
    <w:rsid w:val="00B80A50"/>
    <w:rsid w:val="00B853EE"/>
    <w:rsid w:val="00B90510"/>
    <w:rsid w:val="00B97D75"/>
    <w:rsid w:val="00BA0984"/>
    <w:rsid w:val="00BA09A1"/>
    <w:rsid w:val="00BA0AB7"/>
    <w:rsid w:val="00BA173E"/>
    <w:rsid w:val="00BA1850"/>
    <w:rsid w:val="00BA6392"/>
    <w:rsid w:val="00BB03F9"/>
    <w:rsid w:val="00BB233A"/>
    <w:rsid w:val="00BC2A7C"/>
    <w:rsid w:val="00BC5E86"/>
    <w:rsid w:val="00BD09FF"/>
    <w:rsid w:val="00BD1F42"/>
    <w:rsid w:val="00BD2C5B"/>
    <w:rsid w:val="00BD4D8C"/>
    <w:rsid w:val="00BD53EA"/>
    <w:rsid w:val="00BE0FBA"/>
    <w:rsid w:val="00BE10FD"/>
    <w:rsid w:val="00BE38AA"/>
    <w:rsid w:val="00BE3F9E"/>
    <w:rsid w:val="00BE4069"/>
    <w:rsid w:val="00BE6503"/>
    <w:rsid w:val="00BF22E3"/>
    <w:rsid w:val="00BF396F"/>
    <w:rsid w:val="00BF48A1"/>
    <w:rsid w:val="00C03863"/>
    <w:rsid w:val="00C06438"/>
    <w:rsid w:val="00C07130"/>
    <w:rsid w:val="00C10296"/>
    <w:rsid w:val="00C1440D"/>
    <w:rsid w:val="00C14AA9"/>
    <w:rsid w:val="00C14D48"/>
    <w:rsid w:val="00C158D5"/>
    <w:rsid w:val="00C2061F"/>
    <w:rsid w:val="00C2319B"/>
    <w:rsid w:val="00C23B02"/>
    <w:rsid w:val="00C259A7"/>
    <w:rsid w:val="00C261A8"/>
    <w:rsid w:val="00C26BAF"/>
    <w:rsid w:val="00C27CC2"/>
    <w:rsid w:val="00C34D42"/>
    <w:rsid w:val="00C4191F"/>
    <w:rsid w:val="00C41E96"/>
    <w:rsid w:val="00C45A8E"/>
    <w:rsid w:val="00C45B3B"/>
    <w:rsid w:val="00C50E44"/>
    <w:rsid w:val="00C52D6B"/>
    <w:rsid w:val="00C571B3"/>
    <w:rsid w:val="00C573A4"/>
    <w:rsid w:val="00C577E6"/>
    <w:rsid w:val="00C66EE9"/>
    <w:rsid w:val="00C7276F"/>
    <w:rsid w:val="00C76F69"/>
    <w:rsid w:val="00C77F13"/>
    <w:rsid w:val="00C80692"/>
    <w:rsid w:val="00C81A31"/>
    <w:rsid w:val="00C82318"/>
    <w:rsid w:val="00C863F5"/>
    <w:rsid w:val="00C9108B"/>
    <w:rsid w:val="00C92F81"/>
    <w:rsid w:val="00C95CD4"/>
    <w:rsid w:val="00CA690D"/>
    <w:rsid w:val="00CA6C8A"/>
    <w:rsid w:val="00CB1B63"/>
    <w:rsid w:val="00CB59C3"/>
    <w:rsid w:val="00CC15CC"/>
    <w:rsid w:val="00CC2B5A"/>
    <w:rsid w:val="00CC3915"/>
    <w:rsid w:val="00CC6A3C"/>
    <w:rsid w:val="00CD1C9B"/>
    <w:rsid w:val="00CD6046"/>
    <w:rsid w:val="00CD62B6"/>
    <w:rsid w:val="00CD778C"/>
    <w:rsid w:val="00CE0819"/>
    <w:rsid w:val="00CE133E"/>
    <w:rsid w:val="00CE2FEF"/>
    <w:rsid w:val="00CE4B87"/>
    <w:rsid w:val="00CE66B9"/>
    <w:rsid w:val="00CF3813"/>
    <w:rsid w:val="00CF3C3F"/>
    <w:rsid w:val="00CF60B2"/>
    <w:rsid w:val="00CF6718"/>
    <w:rsid w:val="00CF6B32"/>
    <w:rsid w:val="00CF72F4"/>
    <w:rsid w:val="00D11BC1"/>
    <w:rsid w:val="00D146E1"/>
    <w:rsid w:val="00D27579"/>
    <w:rsid w:val="00D27683"/>
    <w:rsid w:val="00D3206D"/>
    <w:rsid w:val="00D375C0"/>
    <w:rsid w:val="00D4251F"/>
    <w:rsid w:val="00D433DF"/>
    <w:rsid w:val="00D57B99"/>
    <w:rsid w:val="00D63140"/>
    <w:rsid w:val="00D635F5"/>
    <w:rsid w:val="00D64977"/>
    <w:rsid w:val="00D64EA9"/>
    <w:rsid w:val="00D66B01"/>
    <w:rsid w:val="00D66E43"/>
    <w:rsid w:val="00D67F0C"/>
    <w:rsid w:val="00D92C7C"/>
    <w:rsid w:val="00D938CE"/>
    <w:rsid w:val="00D94FBD"/>
    <w:rsid w:val="00D9565A"/>
    <w:rsid w:val="00DA07F4"/>
    <w:rsid w:val="00DA1E23"/>
    <w:rsid w:val="00DA7146"/>
    <w:rsid w:val="00DB5CBF"/>
    <w:rsid w:val="00DB6EAC"/>
    <w:rsid w:val="00DC0F21"/>
    <w:rsid w:val="00DC3206"/>
    <w:rsid w:val="00DD4504"/>
    <w:rsid w:val="00DD5A7F"/>
    <w:rsid w:val="00DD7EB6"/>
    <w:rsid w:val="00DE48E3"/>
    <w:rsid w:val="00DE4917"/>
    <w:rsid w:val="00DE4A99"/>
    <w:rsid w:val="00DE6938"/>
    <w:rsid w:val="00DE7630"/>
    <w:rsid w:val="00DE7A8C"/>
    <w:rsid w:val="00DF2836"/>
    <w:rsid w:val="00DF5E45"/>
    <w:rsid w:val="00DF6087"/>
    <w:rsid w:val="00E015A3"/>
    <w:rsid w:val="00E02618"/>
    <w:rsid w:val="00E0408F"/>
    <w:rsid w:val="00E17A66"/>
    <w:rsid w:val="00E20603"/>
    <w:rsid w:val="00E212B6"/>
    <w:rsid w:val="00E2328D"/>
    <w:rsid w:val="00E23574"/>
    <w:rsid w:val="00E271B9"/>
    <w:rsid w:val="00E27AC2"/>
    <w:rsid w:val="00E30C8C"/>
    <w:rsid w:val="00E335DF"/>
    <w:rsid w:val="00E35A17"/>
    <w:rsid w:val="00E37725"/>
    <w:rsid w:val="00E41C42"/>
    <w:rsid w:val="00E427D8"/>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D0968"/>
    <w:rsid w:val="00ED2376"/>
    <w:rsid w:val="00EE1D9C"/>
    <w:rsid w:val="00EE2543"/>
    <w:rsid w:val="00EE3A88"/>
    <w:rsid w:val="00EE3E27"/>
    <w:rsid w:val="00EE5E83"/>
    <w:rsid w:val="00EE5EB0"/>
    <w:rsid w:val="00EF19F5"/>
    <w:rsid w:val="00EF6D74"/>
    <w:rsid w:val="00EF71DD"/>
    <w:rsid w:val="00F00FE7"/>
    <w:rsid w:val="00F02C90"/>
    <w:rsid w:val="00F03443"/>
    <w:rsid w:val="00F06BBD"/>
    <w:rsid w:val="00F102F0"/>
    <w:rsid w:val="00F10ACE"/>
    <w:rsid w:val="00F204D3"/>
    <w:rsid w:val="00F23ECD"/>
    <w:rsid w:val="00F24035"/>
    <w:rsid w:val="00F269B7"/>
    <w:rsid w:val="00F3175D"/>
    <w:rsid w:val="00F35E09"/>
    <w:rsid w:val="00F36F19"/>
    <w:rsid w:val="00F36FE2"/>
    <w:rsid w:val="00F370BE"/>
    <w:rsid w:val="00F4540C"/>
    <w:rsid w:val="00F5045A"/>
    <w:rsid w:val="00F53CC3"/>
    <w:rsid w:val="00F54160"/>
    <w:rsid w:val="00F54543"/>
    <w:rsid w:val="00F6119D"/>
    <w:rsid w:val="00F6415F"/>
    <w:rsid w:val="00F64183"/>
    <w:rsid w:val="00F70121"/>
    <w:rsid w:val="00F721F3"/>
    <w:rsid w:val="00F72447"/>
    <w:rsid w:val="00F72C04"/>
    <w:rsid w:val="00F73857"/>
    <w:rsid w:val="00F76258"/>
    <w:rsid w:val="00F77A11"/>
    <w:rsid w:val="00F80535"/>
    <w:rsid w:val="00F81325"/>
    <w:rsid w:val="00F821A1"/>
    <w:rsid w:val="00F85C8C"/>
    <w:rsid w:val="00F867C8"/>
    <w:rsid w:val="00F91289"/>
    <w:rsid w:val="00F91F7B"/>
    <w:rsid w:val="00F92753"/>
    <w:rsid w:val="00F977E8"/>
    <w:rsid w:val="00F97B8F"/>
    <w:rsid w:val="00FA1419"/>
    <w:rsid w:val="00FA504A"/>
    <w:rsid w:val="00FB0878"/>
    <w:rsid w:val="00FB21E9"/>
    <w:rsid w:val="00FB2FE9"/>
    <w:rsid w:val="00FB6821"/>
    <w:rsid w:val="00FB6FA0"/>
    <w:rsid w:val="00FC24F6"/>
    <w:rsid w:val="00FD597F"/>
    <w:rsid w:val="00FD6702"/>
    <w:rsid w:val="00FE07BA"/>
    <w:rsid w:val="00FE3C27"/>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4"/>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4"/>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4"/>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4"/>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4"/>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7"/>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7"/>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7"/>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7"/>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7"/>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7"/>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7"/>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5"/>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6"/>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7"/>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9"/>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0"/>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8"/>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9"/>
      </w:numPr>
      <w:jc w:val="center"/>
    </w:pPr>
    <w:rPr>
      <w:b/>
    </w:rPr>
  </w:style>
  <w:style w:type="paragraph" w:customStyle="1" w:styleId="AnnexureHeadingSingle">
    <w:name w:val="Annexure Heading Single"/>
    <w:next w:val="Body"/>
    <w:qFormat/>
    <w:rsid w:val="00BD09FF"/>
    <w:pPr>
      <w:pageBreakBefore/>
      <w:numPr>
        <w:numId w:val="10"/>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1"/>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2"/>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3"/>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4"/>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4"/>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5"/>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6"/>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7"/>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18"/>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8"/>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0"/>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4"/>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4"/>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4"/>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4"/>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4"/>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7"/>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7"/>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7"/>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7"/>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7"/>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7"/>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7"/>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5"/>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6"/>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7"/>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9"/>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0"/>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8"/>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9"/>
      </w:numPr>
      <w:jc w:val="center"/>
    </w:pPr>
    <w:rPr>
      <w:b/>
    </w:rPr>
  </w:style>
  <w:style w:type="paragraph" w:customStyle="1" w:styleId="AnnexureHeadingSingle">
    <w:name w:val="Annexure Heading Single"/>
    <w:next w:val="Body"/>
    <w:qFormat/>
    <w:rsid w:val="00BD09FF"/>
    <w:pPr>
      <w:pageBreakBefore/>
      <w:numPr>
        <w:numId w:val="10"/>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1"/>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2"/>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3"/>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4"/>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4"/>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5"/>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6"/>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7"/>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18"/>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8"/>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0"/>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702024041">
      <w:bodyDiv w:val="1"/>
      <w:marLeft w:val="0"/>
      <w:marRight w:val="0"/>
      <w:marTop w:val="0"/>
      <w:marBottom w:val="0"/>
      <w:divBdr>
        <w:top w:val="none" w:sz="0" w:space="0" w:color="auto"/>
        <w:left w:val="none" w:sz="0" w:space="0" w:color="auto"/>
        <w:bottom w:val="none" w:sz="0" w:space="0" w:color="auto"/>
        <w:right w:val="none" w:sz="0" w:space="0" w:color="auto"/>
      </w:divBdr>
    </w:div>
    <w:div w:id="770901956">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825054005">
      <w:bodyDiv w:val="1"/>
      <w:marLeft w:val="0"/>
      <w:marRight w:val="0"/>
      <w:marTop w:val="0"/>
      <w:marBottom w:val="0"/>
      <w:divBdr>
        <w:top w:val="none" w:sz="0" w:space="0" w:color="auto"/>
        <w:left w:val="none" w:sz="0" w:space="0" w:color="auto"/>
        <w:bottom w:val="none" w:sz="0" w:space="0" w:color="auto"/>
        <w:right w:val="none" w:sz="0" w:space="0" w:color="auto"/>
      </w:divBdr>
    </w:div>
    <w:div w:id="883054192">
      <w:bodyDiv w:val="1"/>
      <w:marLeft w:val="0"/>
      <w:marRight w:val="0"/>
      <w:marTop w:val="0"/>
      <w:marBottom w:val="0"/>
      <w:divBdr>
        <w:top w:val="none" w:sz="0" w:space="0" w:color="auto"/>
        <w:left w:val="none" w:sz="0" w:space="0" w:color="auto"/>
        <w:bottom w:val="none" w:sz="0" w:space="0" w:color="auto"/>
        <w:right w:val="none" w:sz="0" w:space="0" w:color="auto"/>
      </w:divBdr>
    </w:div>
    <w:div w:id="1118333953">
      <w:bodyDiv w:val="1"/>
      <w:marLeft w:val="0"/>
      <w:marRight w:val="0"/>
      <w:marTop w:val="0"/>
      <w:marBottom w:val="0"/>
      <w:divBdr>
        <w:top w:val="none" w:sz="0" w:space="0" w:color="auto"/>
        <w:left w:val="none" w:sz="0" w:space="0" w:color="auto"/>
        <w:bottom w:val="none" w:sz="0" w:space="0" w:color="auto"/>
        <w:right w:val="none" w:sz="0" w:space="0" w:color="auto"/>
      </w:divBdr>
    </w:div>
    <w:div w:id="1248463533">
      <w:bodyDiv w:val="1"/>
      <w:marLeft w:val="0"/>
      <w:marRight w:val="0"/>
      <w:marTop w:val="0"/>
      <w:marBottom w:val="0"/>
      <w:divBdr>
        <w:top w:val="none" w:sz="0" w:space="0" w:color="auto"/>
        <w:left w:val="none" w:sz="0" w:space="0" w:color="auto"/>
        <w:bottom w:val="none" w:sz="0" w:space="0" w:color="auto"/>
        <w:right w:val="none" w:sz="0" w:space="0" w:color="auto"/>
      </w:divBdr>
    </w:div>
    <w:div w:id="1256128608">
      <w:bodyDiv w:val="1"/>
      <w:marLeft w:val="0"/>
      <w:marRight w:val="0"/>
      <w:marTop w:val="0"/>
      <w:marBottom w:val="0"/>
      <w:divBdr>
        <w:top w:val="none" w:sz="0" w:space="0" w:color="auto"/>
        <w:left w:val="none" w:sz="0" w:space="0" w:color="auto"/>
        <w:bottom w:val="none" w:sz="0" w:space="0" w:color="auto"/>
        <w:right w:val="none" w:sz="0" w:space="0" w:color="auto"/>
      </w:divBdr>
    </w:div>
    <w:div w:id="1295722185">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541014731">
      <w:bodyDiv w:val="1"/>
      <w:marLeft w:val="0"/>
      <w:marRight w:val="0"/>
      <w:marTop w:val="0"/>
      <w:marBottom w:val="0"/>
      <w:divBdr>
        <w:top w:val="none" w:sz="0" w:space="0" w:color="auto"/>
        <w:left w:val="none" w:sz="0" w:space="0" w:color="auto"/>
        <w:bottom w:val="none" w:sz="0" w:space="0" w:color="auto"/>
        <w:right w:val="none" w:sz="0" w:space="0" w:color="auto"/>
      </w:divBdr>
    </w:div>
    <w:div w:id="1894778626">
      <w:bodyDiv w:val="1"/>
      <w:marLeft w:val="0"/>
      <w:marRight w:val="0"/>
      <w:marTop w:val="0"/>
      <w:marBottom w:val="0"/>
      <w:divBdr>
        <w:top w:val="none" w:sz="0" w:space="0" w:color="auto"/>
        <w:left w:val="none" w:sz="0" w:space="0" w:color="auto"/>
        <w:bottom w:val="none" w:sz="0" w:space="0" w:color="auto"/>
        <w:right w:val="none" w:sz="0" w:space="0" w:color="auto"/>
      </w:divBdr>
    </w:div>
    <w:div w:id="1911501323">
      <w:bodyDiv w:val="1"/>
      <w:marLeft w:val="0"/>
      <w:marRight w:val="0"/>
      <w:marTop w:val="0"/>
      <w:marBottom w:val="0"/>
      <w:divBdr>
        <w:top w:val="none" w:sz="0" w:space="0" w:color="auto"/>
        <w:left w:val="none" w:sz="0" w:space="0" w:color="auto"/>
        <w:bottom w:val="none" w:sz="0" w:space="0" w:color="auto"/>
        <w:right w:val="none" w:sz="0" w:space="0" w:color="auto"/>
      </w:divBdr>
    </w:div>
    <w:div w:id="21149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nhs-standard-terms-and-conditions-of-contract-for-the-purchase-of-goods-and-supply-of-services" TargetMode="External"/><Relationship Id="rId2" Type="http://schemas.openxmlformats.org/officeDocument/2006/relationships/customXml" Target="../customXml/item1.xml"/><Relationship Id="rId16"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jpg"/><Relationship Id="rId5" Type="http://schemas.microsoft.com/office/2007/relationships/stylesWithEffects" Target="stylesWithEffects.xml"/><Relationship Id="rId15" Type="http://schemas.openxmlformats.org/officeDocument/2006/relationships/hyperlink" Target="https://nep.eu-supply.com/insidemain.asp" TargetMode="External"/><Relationship Id="rId10" Type="http://schemas.openxmlformats.org/officeDocument/2006/relationships/hyperlink" Target="http://staffroom.ydh.yha.com/communications/corporate-branding-and-identity/logo-colour-1/image_view_fullscree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BB22-BE9C-4D2B-BF22-84E42503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9E3463A</Template>
  <TotalTime>134</TotalTime>
  <Pages>14</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22964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Thompson, Anthea</cp:lastModifiedBy>
  <cp:revision>17</cp:revision>
  <cp:lastPrinted>2015-07-22T12:26:00Z</cp:lastPrinted>
  <dcterms:created xsi:type="dcterms:W3CDTF">2015-07-21T07:02:00Z</dcterms:created>
  <dcterms:modified xsi:type="dcterms:W3CDTF">2015-07-27T10:57:00Z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D/14307003/1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