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85" w:rsidRPr="00D16585" w:rsidRDefault="00D16585" w:rsidP="00D46D5D">
      <w:pPr>
        <w:pStyle w:val="Bulletlist"/>
        <w:numPr>
          <w:ilvl w:val="0"/>
          <w:numId w:val="0"/>
        </w:numPr>
        <w:jc w:val="both"/>
        <w:rPr>
          <w:rFonts w:eastAsiaTheme="minorHAnsi" w:cs="Arial"/>
          <w:b/>
          <w:szCs w:val="24"/>
          <w:u w:val="single"/>
        </w:rPr>
      </w:pPr>
      <w:r w:rsidRPr="00D16585">
        <w:rPr>
          <w:rFonts w:eastAsiaTheme="minorHAnsi" w:cs="Arial"/>
          <w:b/>
          <w:szCs w:val="24"/>
          <w:u w:val="single"/>
        </w:rPr>
        <w:t>NHS Children's Continuing Healthcare Services for Children and Young People disabilities and complex health needs Framework on behalf of Wandsworth CCG Memorandum of Information (MOI)</w:t>
      </w:r>
    </w:p>
    <w:p w:rsidR="00D16585" w:rsidRDefault="00D16585" w:rsidP="00D46D5D">
      <w:pPr>
        <w:pStyle w:val="Bulletlist"/>
        <w:numPr>
          <w:ilvl w:val="0"/>
          <w:numId w:val="0"/>
        </w:numPr>
        <w:jc w:val="both"/>
        <w:rPr>
          <w:rFonts w:eastAsiaTheme="minorHAnsi" w:cs="Arial"/>
          <w:b/>
          <w:szCs w:val="24"/>
        </w:rPr>
      </w:pPr>
    </w:p>
    <w:p w:rsidR="00D46D5D" w:rsidRPr="000265FC" w:rsidRDefault="00D46D5D" w:rsidP="00D46D5D">
      <w:pPr>
        <w:pStyle w:val="Bulletlist"/>
        <w:numPr>
          <w:ilvl w:val="0"/>
          <w:numId w:val="0"/>
        </w:numPr>
        <w:jc w:val="both"/>
        <w:rPr>
          <w:rFonts w:cs="Arial"/>
          <w:szCs w:val="24"/>
        </w:rPr>
      </w:pPr>
      <w:r w:rsidRPr="000265FC">
        <w:rPr>
          <w:rFonts w:cs="Arial"/>
          <w:szCs w:val="24"/>
        </w:rPr>
        <w:t xml:space="preserve">The CCG commissions a continuing care package when a child or young person has needs arising from disability, accident or illness that cannot be met by existing universal or specialist services alone. Continuing care is not needed by children or young people whose needs can be met appropriately through existing universal or specialist services through a case management approach. </w:t>
      </w:r>
    </w:p>
    <w:p w:rsidR="00D46D5D" w:rsidRPr="000265FC" w:rsidRDefault="00D46D5D" w:rsidP="00D46D5D">
      <w:pPr>
        <w:pStyle w:val="Bulletlist"/>
        <w:numPr>
          <w:ilvl w:val="0"/>
          <w:numId w:val="0"/>
        </w:numPr>
        <w:ind w:left="530"/>
        <w:jc w:val="both"/>
        <w:rPr>
          <w:rFonts w:cs="Arial"/>
          <w:szCs w:val="24"/>
        </w:rPr>
      </w:pPr>
    </w:p>
    <w:p w:rsidR="002728A9" w:rsidRDefault="00D46D5D" w:rsidP="002728A9">
      <w:pPr>
        <w:spacing w:after="0" w:line="240" w:lineRule="auto"/>
        <w:jc w:val="both"/>
        <w:rPr>
          <w:rFonts w:ascii="Arial" w:hAnsi="Arial" w:cs="Arial"/>
          <w:color w:val="000000"/>
          <w:sz w:val="24"/>
          <w:szCs w:val="24"/>
        </w:rPr>
      </w:pPr>
      <w:r w:rsidRPr="000265FC">
        <w:rPr>
          <w:rFonts w:ascii="Arial" w:hAnsi="Arial" w:cs="Arial"/>
          <w:sz w:val="24"/>
          <w:szCs w:val="24"/>
        </w:rPr>
        <w:t xml:space="preserve">The CCG is seeking to commission new organisations </w:t>
      </w:r>
      <w:r w:rsidR="002728A9" w:rsidRPr="000265FC">
        <w:rPr>
          <w:rFonts w:ascii="Arial" w:hAnsi="Arial" w:cs="Arial"/>
          <w:sz w:val="24"/>
          <w:szCs w:val="24"/>
        </w:rPr>
        <w:t xml:space="preserve">to </w:t>
      </w:r>
      <w:r w:rsidR="002728A9" w:rsidRPr="000265FC">
        <w:rPr>
          <w:rFonts w:ascii="Arial" w:hAnsi="Arial" w:cs="Arial"/>
          <w:color w:val="000000"/>
          <w:sz w:val="24"/>
          <w:szCs w:val="24"/>
        </w:rPr>
        <w:t>join an AQP framework to provide Healthcare packages from April 2017.</w:t>
      </w:r>
    </w:p>
    <w:p w:rsidR="000265FC" w:rsidRPr="000265FC" w:rsidRDefault="000265FC" w:rsidP="002728A9">
      <w:pPr>
        <w:spacing w:after="0" w:line="240" w:lineRule="auto"/>
        <w:jc w:val="both"/>
        <w:rPr>
          <w:rFonts w:ascii="Arial" w:hAnsi="Arial" w:cs="Arial"/>
          <w:color w:val="000000"/>
          <w:sz w:val="24"/>
          <w:szCs w:val="24"/>
        </w:rPr>
      </w:pPr>
    </w:p>
    <w:p w:rsidR="002728A9" w:rsidRPr="000265FC" w:rsidRDefault="002728A9" w:rsidP="002728A9">
      <w:pPr>
        <w:spacing w:after="0" w:line="240" w:lineRule="auto"/>
        <w:rPr>
          <w:rFonts w:ascii="Arial" w:hAnsi="Arial" w:cs="Arial"/>
          <w:color w:val="000000"/>
          <w:sz w:val="24"/>
          <w:szCs w:val="24"/>
        </w:rPr>
      </w:pPr>
      <w:r w:rsidRPr="000265FC">
        <w:rPr>
          <w:rFonts w:ascii="Arial" w:hAnsi="Arial" w:cs="Arial"/>
          <w:color w:val="000000"/>
          <w:sz w:val="24"/>
          <w:szCs w:val="24"/>
        </w:rPr>
        <w:t>This would include:</w:t>
      </w:r>
    </w:p>
    <w:p w:rsidR="002728A9" w:rsidRPr="000265FC" w:rsidRDefault="002728A9" w:rsidP="00D16585">
      <w:pPr>
        <w:pStyle w:val="ListParagraph"/>
        <w:numPr>
          <w:ilvl w:val="0"/>
          <w:numId w:val="6"/>
        </w:numPr>
        <w:tabs>
          <w:tab w:val="clear" w:pos="567"/>
        </w:tabs>
        <w:spacing w:after="0" w:line="240" w:lineRule="auto"/>
        <w:rPr>
          <w:rFonts w:cs="Arial"/>
          <w:szCs w:val="24"/>
        </w:rPr>
      </w:pPr>
      <w:r w:rsidRPr="000265FC">
        <w:rPr>
          <w:rFonts w:cs="Arial"/>
          <w:szCs w:val="24"/>
        </w:rPr>
        <w:t>Nursing led services</w:t>
      </w:r>
    </w:p>
    <w:p w:rsidR="002728A9" w:rsidRPr="000265FC" w:rsidRDefault="002728A9" w:rsidP="00D16585">
      <w:pPr>
        <w:pStyle w:val="ListParagraph"/>
        <w:numPr>
          <w:ilvl w:val="0"/>
          <w:numId w:val="6"/>
        </w:numPr>
        <w:tabs>
          <w:tab w:val="clear" w:pos="567"/>
        </w:tabs>
        <w:spacing w:after="0" w:line="240" w:lineRule="auto"/>
        <w:rPr>
          <w:rFonts w:cs="Arial"/>
          <w:szCs w:val="24"/>
        </w:rPr>
      </w:pPr>
      <w:r w:rsidRPr="000265FC">
        <w:rPr>
          <w:rFonts w:cs="Arial"/>
          <w:szCs w:val="24"/>
        </w:rPr>
        <w:t>Non- Nursing Health care led services</w:t>
      </w:r>
    </w:p>
    <w:p w:rsidR="002728A9" w:rsidRPr="000265FC" w:rsidRDefault="002728A9" w:rsidP="002728A9">
      <w:pPr>
        <w:pStyle w:val="Bulletlist"/>
        <w:numPr>
          <w:ilvl w:val="0"/>
          <w:numId w:val="0"/>
        </w:numPr>
        <w:ind w:left="530" w:hanging="360"/>
        <w:rPr>
          <w:rFonts w:cs="Arial"/>
          <w:szCs w:val="24"/>
        </w:rPr>
      </w:pPr>
    </w:p>
    <w:p w:rsidR="002728A9" w:rsidRPr="000265FC" w:rsidRDefault="00D46D5D" w:rsidP="00D46D5D">
      <w:pPr>
        <w:spacing w:after="0" w:line="240" w:lineRule="auto"/>
        <w:jc w:val="both"/>
        <w:rPr>
          <w:rFonts w:ascii="Arial" w:hAnsi="Arial" w:cs="Arial"/>
          <w:sz w:val="24"/>
          <w:szCs w:val="24"/>
        </w:rPr>
      </w:pPr>
      <w:r w:rsidRPr="000265FC">
        <w:rPr>
          <w:rFonts w:ascii="Arial" w:hAnsi="Arial" w:cs="Arial"/>
          <w:sz w:val="24"/>
          <w:szCs w:val="24"/>
        </w:rPr>
        <w:t xml:space="preserve">The CCGs service model </w:t>
      </w:r>
      <w:r w:rsidR="002728A9" w:rsidRPr="000265FC">
        <w:rPr>
          <w:rFonts w:ascii="Arial" w:hAnsi="Arial" w:cs="Arial"/>
          <w:sz w:val="24"/>
          <w:szCs w:val="24"/>
        </w:rPr>
        <w:t xml:space="preserve">of care shown below, </w:t>
      </w:r>
      <w:r w:rsidRPr="000265FC">
        <w:rPr>
          <w:rFonts w:ascii="Arial" w:hAnsi="Arial" w:cs="Arial"/>
          <w:sz w:val="24"/>
          <w:szCs w:val="24"/>
        </w:rPr>
        <w:t xml:space="preserve">builds on the clarification of roles around Independent Assessment and direct provision. </w:t>
      </w:r>
    </w:p>
    <w:p w:rsidR="002728A9" w:rsidRDefault="002728A9" w:rsidP="00D46D5D">
      <w:pPr>
        <w:spacing w:after="0" w:line="240" w:lineRule="auto"/>
        <w:jc w:val="both"/>
        <w:rPr>
          <w:rFonts w:cstheme="minorHAnsi"/>
          <w:sz w:val="24"/>
          <w:szCs w:val="24"/>
        </w:rPr>
      </w:pPr>
      <w:r>
        <w:rPr>
          <w:noProof/>
          <w:lang w:eastAsia="en-GB"/>
        </w:rPr>
        <w:drawing>
          <wp:inline distT="0" distB="0" distL="0" distR="0" wp14:anchorId="4E8356B3" wp14:editId="1FA1E2B4">
            <wp:extent cx="6116320" cy="2035462"/>
            <wp:effectExtent l="0" t="228600" r="0" b="6127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265FC" w:rsidRPr="000265FC" w:rsidRDefault="000265FC" w:rsidP="000265FC">
      <w:pPr>
        <w:spacing w:line="240" w:lineRule="auto"/>
        <w:rPr>
          <w:rFonts w:ascii="Arial" w:hAnsi="Arial" w:cs="Arial"/>
          <w:sz w:val="24"/>
          <w:szCs w:val="24"/>
        </w:rPr>
      </w:pPr>
      <w:r w:rsidRPr="000265FC">
        <w:rPr>
          <w:rFonts w:ascii="Arial" w:hAnsi="Arial" w:cs="Arial"/>
          <w:sz w:val="24"/>
          <w:szCs w:val="24"/>
        </w:rPr>
        <w:t>Detailed proposed service model</w:t>
      </w:r>
    </w:p>
    <w:p w:rsidR="000265FC" w:rsidRDefault="000265FC" w:rsidP="000265FC">
      <w:pPr>
        <w:spacing w:line="240" w:lineRule="auto"/>
      </w:pPr>
      <w:r>
        <w:t xml:space="preserve"> </w:t>
      </w:r>
    </w:p>
    <w:p w:rsidR="000265FC" w:rsidRDefault="000265FC" w:rsidP="000265FC">
      <w:pPr>
        <w:pStyle w:val="ListParagraph"/>
        <w:numPr>
          <w:ilvl w:val="0"/>
          <w:numId w:val="5"/>
        </w:numPr>
        <w:tabs>
          <w:tab w:val="clear" w:pos="567"/>
        </w:tabs>
        <w:spacing w:after="0" w:line="240" w:lineRule="auto"/>
      </w:pPr>
      <w:r>
        <w:t>That the CCG needs to commission a nursing service for the small number of children who need nurses on an ongoing basis due to the complexity of their care or have a medical emergency and nurses will prevent a hospital admission or facilitate an early discharge through the Children’s Community Nursing Service.</w:t>
      </w:r>
    </w:p>
    <w:p w:rsidR="000265FC" w:rsidRDefault="000265FC" w:rsidP="000265FC">
      <w:pPr>
        <w:pStyle w:val="ListParagraph"/>
        <w:numPr>
          <w:ilvl w:val="0"/>
          <w:numId w:val="0"/>
        </w:numPr>
        <w:tabs>
          <w:tab w:val="clear" w:pos="567"/>
        </w:tabs>
        <w:spacing w:after="0" w:line="240" w:lineRule="auto"/>
        <w:ind w:left="720"/>
      </w:pPr>
    </w:p>
    <w:p w:rsidR="000265FC" w:rsidRDefault="000265FC" w:rsidP="000265FC">
      <w:pPr>
        <w:pStyle w:val="ListParagraph"/>
        <w:numPr>
          <w:ilvl w:val="0"/>
          <w:numId w:val="5"/>
        </w:numPr>
        <w:tabs>
          <w:tab w:val="clear" w:pos="567"/>
        </w:tabs>
        <w:spacing w:after="0" w:line="240" w:lineRule="auto"/>
      </w:pPr>
      <w:r>
        <w:t>The additional packages of nursing care outside of this would be provided by Healthcare agencies with competent nursing staff.</w:t>
      </w:r>
    </w:p>
    <w:p w:rsidR="000265FC" w:rsidRDefault="000265FC" w:rsidP="000265FC">
      <w:pPr>
        <w:spacing w:line="240" w:lineRule="auto"/>
      </w:pPr>
      <w:r>
        <w:t xml:space="preserve"> </w:t>
      </w:r>
    </w:p>
    <w:p w:rsidR="000265FC" w:rsidRDefault="000265FC" w:rsidP="000265FC">
      <w:pPr>
        <w:pStyle w:val="ListParagraph"/>
        <w:numPr>
          <w:ilvl w:val="0"/>
          <w:numId w:val="5"/>
        </w:numPr>
        <w:tabs>
          <w:tab w:val="clear" w:pos="567"/>
        </w:tabs>
        <w:spacing w:after="0" w:line="240" w:lineRule="auto"/>
      </w:pPr>
      <w:r>
        <w:t>The non-nursing care provided through Health care assistant type services would be provided by Healthcare agencies</w:t>
      </w:r>
    </w:p>
    <w:p w:rsidR="000265FC" w:rsidRDefault="000265FC" w:rsidP="000265FC">
      <w:pPr>
        <w:spacing w:line="240" w:lineRule="auto"/>
      </w:pPr>
      <w:r>
        <w:t xml:space="preserve"> </w:t>
      </w:r>
    </w:p>
    <w:p w:rsidR="000265FC" w:rsidRDefault="000265FC" w:rsidP="000265FC">
      <w:pPr>
        <w:pStyle w:val="ListParagraph"/>
        <w:numPr>
          <w:ilvl w:val="0"/>
          <w:numId w:val="5"/>
        </w:numPr>
        <w:tabs>
          <w:tab w:val="clear" w:pos="567"/>
        </w:tabs>
        <w:spacing w:after="0" w:line="240" w:lineRule="auto"/>
        <w:rPr>
          <w:rFonts w:cs="Arial"/>
          <w:szCs w:val="24"/>
        </w:rPr>
      </w:pPr>
      <w:r>
        <w:t xml:space="preserve">That for all families whose packages can be delivered via carers, each family can have a </w:t>
      </w:r>
      <w:r w:rsidRPr="000265FC">
        <w:rPr>
          <w:rFonts w:cs="Arial"/>
          <w:szCs w:val="24"/>
        </w:rPr>
        <w:t>choice of having Personal Health budget through following routes:</w:t>
      </w:r>
    </w:p>
    <w:p w:rsidR="000265FC" w:rsidRPr="000265FC" w:rsidRDefault="000265FC" w:rsidP="000265FC">
      <w:pPr>
        <w:pStyle w:val="ListParagraph"/>
        <w:numPr>
          <w:ilvl w:val="0"/>
          <w:numId w:val="0"/>
        </w:numPr>
        <w:tabs>
          <w:tab w:val="clear" w:pos="567"/>
        </w:tabs>
        <w:spacing w:after="0" w:line="240" w:lineRule="auto"/>
        <w:ind w:left="720"/>
        <w:rPr>
          <w:rFonts w:cs="Arial"/>
          <w:szCs w:val="24"/>
        </w:rPr>
      </w:pPr>
    </w:p>
    <w:p w:rsidR="000265FC" w:rsidRPr="000265FC" w:rsidRDefault="000265FC" w:rsidP="000265FC">
      <w:pPr>
        <w:spacing w:line="240" w:lineRule="auto"/>
        <w:ind w:firstLine="360"/>
        <w:rPr>
          <w:rFonts w:ascii="Arial" w:hAnsi="Arial" w:cs="Arial"/>
          <w:sz w:val="24"/>
          <w:szCs w:val="24"/>
        </w:rPr>
      </w:pPr>
      <w:r w:rsidRPr="000265FC">
        <w:rPr>
          <w:rFonts w:ascii="Arial" w:hAnsi="Arial" w:cs="Arial"/>
          <w:sz w:val="24"/>
          <w:szCs w:val="24"/>
        </w:rPr>
        <w:lastRenderedPageBreak/>
        <w:t>a) Personal Health Budget paid direct to the family</w:t>
      </w:r>
      <w:bookmarkStart w:id="0" w:name="_GoBack"/>
      <w:bookmarkEnd w:id="0"/>
    </w:p>
    <w:p w:rsidR="000265FC" w:rsidRPr="000265FC" w:rsidRDefault="000265FC" w:rsidP="000265FC">
      <w:pPr>
        <w:spacing w:line="240" w:lineRule="auto"/>
        <w:ind w:left="360"/>
        <w:rPr>
          <w:rFonts w:ascii="Arial" w:hAnsi="Arial" w:cs="Arial"/>
          <w:sz w:val="24"/>
          <w:szCs w:val="24"/>
        </w:rPr>
      </w:pPr>
      <w:r w:rsidRPr="000265FC">
        <w:rPr>
          <w:rFonts w:ascii="Arial" w:hAnsi="Arial" w:cs="Arial"/>
          <w:sz w:val="24"/>
          <w:szCs w:val="24"/>
        </w:rPr>
        <w:t>b) Personal Health Budget via an agreed provider who will manage the budget and provide the carers</w:t>
      </w:r>
    </w:p>
    <w:p w:rsidR="000265FC" w:rsidRDefault="000265FC" w:rsidP="00D46D5D">
      <w:pPr>
        <w:spacing w:after="0" w:line="240" w:lineRule="auto"/>
        <w:jc w:val="both"/>
        <w:rPr>
          <w:rFonts w:cstheme="minorHAnsi"/>
          <w:color w:val="000000"/>
          <w:sz w:val="24"/>
          <w:szCs w:val="24"/>
        </w:rPr>
      </w:pPr>
    </w:p>
    <w:p w:rsidR="00D46D5D" w:rsidRPr="000265FC" w:rsidRDefault="002728A9" w:rsidP="00D46D5D">
      <w:pPr>
        <w:spacing w:after="0" w:line="240" w:lineRule="auto"/>
        <w:jc w:val="both"/>
        <w:rPr>
          <w:rFonts w:ascii="Arial" w:hAnsi="Arial" w:cs="Arial"/>
          <w:color w:val="000000"/>
          <w:sz w:val="24"/>
          <w:szCs w:val="24"/>
        </w:rPr>
      </w:pPr>
      <w:r w:rsidRPr="000265FC">
        <w:rPr>
          <w:rFonts w:ascii="Arial" w:hAnsi="Arial" w:cs="Arial"/>
          <w:color w:val="000000"/>
          <w:sz w:val="24"/>
          <w:szCs w:val="24"/>
        </w:rPr>
        <w:t xml:space="preserve">Care can be required to be provided at </w:t>
      </w:r>
      <w:r w:rsidR="00D46D5D" w:rsidRPr="000265FC">
        <w:rPr>
          <w:rFonts w:ascii="Arial" w:hAnsi="Arial" w:cs="Arial"/>
          <w:color w:val="000000"/>
          <w:sz w:val="24"/>
          <w:szCs w:val="24"/>
        </w:rPr>
        <w:t>home, school</w:t>
      </w:r>
      <w:r w:rsidRPr="000265FC">
        <w:rPr>
          <w:rFonts w:ascii="Arial" w:hAnsi="Arial" w:cs="Arial"/>
          <w:color w:val="000000"/>
          <w:sz w:val="24"/>
          <w:szCs w:val="24"/>
        </w:rPr>
        <w:t xml:space="preserve"> or </w:t>
      </w:r>
      <w:r w:rsidR="00D46D5D" w:rsidRPr="000265FC">
        <w:rPr>
          <w:rFonts w:ascii="Arial" w:hAnsi="Arial" w:cs="Arial"/>
          <w:color w:val="000000"/>
          <w:sz w:val="24"/>
          <w:szCs w:val="24"/>
        </w:rPr>
        <w:t>nursery</w:t>
      </w:r>
      <w:r w:rsidRPr="000265FC">
        <w:rPr>
          <w:rFonts w:ascii="Arial" w:hAnsi="Arial" w:cs="Arial"/>
          <w:color w:val="000000"/>
          <w:sz w:val="24"/>
          <w:szCs w:val="24"/>
        </w:rPr>
        <w:t xml:space="preserve">.  </w:t>
      </w:r>
      <w:r w:rsidR="00D46D5D" w:rsidRPr="000265FC">
        <w:rPr>
          <w:rFonts w:ascii="Arial" w:hAnsi="Arial" w:cs="Arial"/>
          <w:color w:val="000000"/>
          <w:sz w:val="24"/>
          <w:szCs w:val="24"/>
        </w:rPr>
        <w:t>Referrals are taken for any child who has a nursing need and has a Wandsworth GP. </w:t>
      </w:r>
    </w:p>
    <w:p w:rsidR="002728A9" w:rsidRPr="00D46D5D" w:rsidRDefault="002728A9" w:rsidP="00D46D5D">
      <w:pPr>
        <w:spacing w:after="0" w:line="240" w:lineRule="auto"/>
        <w:jc w:val="both"/>
        <w:rPr>
          <w:rFonts w:cstheme="minorHAnsi"/>
          <w:color w:val="000000"/>
          <w:sz w:val="24"/>
          <w:szCs w:val="24"/>
        </w:rPr>
      </w:pPr>
    </w:p>
    <w:p w:rsidR="00D46D5D" w:rsidRPr="00C637BE" w:rsidRDefault="00D46D5D" w:rsidP="00D46D5D">
      <w:pPr>
        <w:pStyle w:val="Bulletlist"/>
        <w:numPr>
          <w:ilvl w:val="0"/>
          <w:numId w:val="0"/>
        </w:numPr>
        <w:rPr>
          <w:b/>
        </w:rPr>
      </w:pPr>
      <w:r w:rsidRPr="00893E28">
        <w:rPr>
          <w:b/>
        </w:rPr>
        <w:t>Service provision:</w:t>
      </w:r>
    </w:p>
    <w:tbl>
      <w:tblPr>
        <w:tblW w:w="0" w:type="auto"/>
        <w:tblCellMar>
          <w:left w:w="0" w:type="dxa"/>
          <w:right w:w="0" w:type="dxa"/>
        </w:tblCellMar>
        <w:tblLook w:val="04A0" w:firstRow="1" w:lastRow="0" w:firstColumn="1" w:lastColumn="0" w:noHBand="0" w:noVBand="1"/>
      </w:tblPr>
      <w:tblGrid>
        <w:gridCol w:w="1791"/>
        <w:gridCol w:w="1745"/>
        <w:gridCol w:w="1843"/>
        <w:gridCol w:w="1701"/>
        <w:gridCol w:w="1843"/>
        <w:gridCol w:w="1701"/>
      </w:tblGrid>
      <w:tr w:rsidR="00D46D5D" w:rsidTr="00DD2A10">
        <w:tc>
          <w:tcPr>
            <w:tcW w:w="1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6D5D" w:rsidRPr="0041787E" w:rsidRDefault="00D46D5D" w:rsidP="00DD2A10">
            <w:pPr>
              <w:rPr>
                <w:rFonts w:ascii="Calibri" w:hAnsi="Calibri"/>
              </w:rPr>
            </w:pPr>
            <w:r w:rsidRPr="0041787E">
              <w:t>No of cases/children</w:t>
            </w:r>
          </w:p>
        </w:tc>
        <w:tc>
          <w:tcPr>
            <w:tcW w:w="1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D5D" w:rsidRPr="0041787E" w:rsidRDefault="00D46D5D" w:rsidP="00DD2A10">
            <w:r w:rsidRPr="0041787E">
              <w:t>Total number of CCC hours</w:t>
            </w:r>
          </w:p>
          <w:p w:rsidR="00D46D5D" w:rsidRPr="0041787E" w:rsidRDefault="00D46D5D" w:rsidP="00DD2A10">
            <w:r w:rsidRPr="0041787E">
              <w:t>per week</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D5D" w:rsidRPr="0041787E" w:rsidRDefault="00D46D5D" w:rsidP="00DD2A10">
            <w:r w:rsidRPr="0041787E">
              <w:t>Total number of hours delivered by carer per week</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D5D" w:rsidRPr="0041787E" w:rsidRDefault="00D46D5D" w:rsidP="00DD2A10">
            <w:r w:rsidRPr="0041787E">
              <w:t>Total hours delivered by nurses per week</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D5D" w:rsidRPr="0041787E" w:rsidRDefault="00D46D5D" w:rsidP="00DD2A10">
            <w:r>
              <w:t>Total number of hours that could</w:t>
            </w:r>
            <w:r w:rsidRPr="0041787E">
              <w:t xml:space="preserve"> be delivered by PHB per week</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D5D" w:rsidRPr="0041787E" w:rsidRDefault="00D46D5D" w:rsidP="00DD2A10">
            <w:r w:rsidRPr="0041787E">
              <w:t>Total number of hours currently provided by PHB per week</w:t>
            </w:r>
          </w:p>
        </w:tc>
      </w:tr>
      <w:tr w:rsidR="00D46D5D" w:rsidTr="00DD2A10">
        <w:tc>
          <w:tcPr>
            <w:tcW w:w="1791" w:type="dxa"/>
            <w:tcBorders>
              <w:top w:val="nil"/>
              <w:left w:val="single" w:sz="8" w:space="0" w:color="auto"/>
              <w:bottom w:val="nil"/>
              <w:right w:val="single" w:sz="8" w:space="0" w:color="auto"/>
            </w:tcBorders>
            <w:tcMar>
              <w:top w:w="0" w:type="dxa"/>
              <w:left w:w="108" w:type="dxa"/>
              <w:bottom w:w="0" w:type="dxa"/>
              <w:right w:w="108" w:type="dxa"/>
            </w:tcMar>
            <w:hideMark/>
          </w:tcPr>
          <w:p w:rsidR="00D46D5D" w:rsidRPr="0041787E" w:rsidRDefault="00D46D5D" w:rsidP="00DD2A10">
            <w:r w:rsidRPr="0041787E">
              <w:t>27</w:t>
            </w:r>
          </w:p>
        </w:tc>
        <w:tc>
          <w:tcPr>
            <w:tcW w:w="1745" w:type="dxa"/>
            <w:tcBorders>
              <w:top w:val="nil"/>
              <w:left w:val="nil"/>
              <w:bottom w:val="nil"/>
              <w:right w:val="single" w:sz="8" w:space="0" w:color="auto"/>
            </w:tcBorders>
            <w:tcMar>
              <w:top w:w="0" w:type="dxa"/>
              <w:left w:w="108" w:type="dxa"/>
              <w:bottom w:w="0" w:type="dxa"/>
              <w:right w:w="108" w:type="dxa"/>
            </w:tcMar>
            <w:hideMark/>
          </w:tcPr>
          <w:p w:rsidR="00D46D5D" w:rsidRPr="0041787E" w:rsidRDefault="00D46D5D" w:rsidP="00DD2A10">
            <w:r w:rsidRPr="0041787E">
              <w:t>1600</w:t>
            </w:r>
          </w:p>
          <w:p w:rsidR="00D46D5D" w:rsidRPr="0041787E" w:rsidRDefault="00D46D5D" w:rsidP="00DD2A10">
            <w:r>
              <w:t xml:space="preserve">(27 </w:t>
            </w:r>
            <w:r w:rsidRPr="0041787E">
              <w:t>children)</w:t>
            </w:r>
          </w:p>
        </w:tc>
        <w:tc>
          <w:tcPr>
            <w:tcW w:w="1843" w:type="dxa"/>
            <w:tcBorders>
              <w:top w:val="nil"/>
              <w:left w:val="nil"/>
              <w:bottom w:val="nil"/>
              <w:right w:val="single" w:sz="8" w:space="0" w:color="auto"/>
            </w:tcBorders>
            <w:tcMar>
              <w:top w:w="0" w:type="dxa"/>
              <w:left w:w="108" w:type="dxa"/>
              <w:bottom w:w="0" w:type="dxa"/>
              <w:right w:w="108" w:type="dxa"/>
            </w:tcMar>
            <w:hideMark/>
          </w:tcPr>
          <w:p w:rsidR="00D46D5D" w:rsidRPr="0041787E" w:rsidRDefault="00D46D5D" w:rsidP="00DD2A10">
            <w:r w:rsidRPr="0041787E">
              <w:t xml:space="preserve">978.5 </w:t>
            </w:r>
          </w:p>
          <w:p w:rsidR="00D46D5D" w:rsidRPr="0041787E" w:rsidRDefault="00D46D5D" w:rsidP="00DD2A10">
            <w:r w:rsidRPr="0041787E">
              <w:t>(20 children)</w:t>
            </w:r>
          </w:p>
        </w:tc>
        <w:tc>
          <w:tcPr>
            <w:tcW w:w="1701" w:type="dxa"/>
            <w:tcBorders>
              <w:top w:val="nil"/>
              <w:left w:val="nil"/>
              <w:bottom w:val="nil"/>
              <w:right w:val="single" w:sz="8" w:space="0" w:color="auto"/>
            </w:tcBorders>
            <w:tcMar>
              <w:top w:w="0" w:type="dxa"/>
              <w:left w:w="108" w:type="dxa"/>
              <w:bottom w:w="0" w:type="dxa"/>
              <w:right w:w="108" w:type="dxa"/>
            </w:tcMar>
            <w:hideMark/>
          </w:tcPr>
          <w:p w:rsidR="00D46D5D" w:rsidRDefault="00D46D5D" w:rsidP="00DD2A10">
            <w:r w:rsidRPr="0041787E">
              <w:t xml:space="preserve">621.5 </w:t>
            </w:r>
          </w:p>
          <w:p w:rsidR="00D46D5D" w:rsidRPr="0041787E" w:rsidRDefault="00D46D5D" w:rsidP="00DD2A10">
            <w:r w:rsidRPr="0041787E">
              <w:t>(7 children)</w:t>
            </w:r>
          </w:p>
        </w:tc>
        <w:tc>
          <w:tcPr>
            <w:tcW w:w="1843" w:type="dxa"/>
            <w:tcBorders>
              <w:top w:val="nil"/>
              <w:left w:val="nil"/>
              <w:bottom w:val="nil"/>
              <w:right w:val="single" w:sz="8" w:space="0" w:color="auto"/>
            </w:tcBorders>
            <w:tcMar>
              <w:top w:w="0" w:type="dxa"/>
              <w:left w:w="108" w:type="dxa"/>
              <w:bottom w:w="0" w:type="dxa"/>
              <w:right w:w="108" w:type="dxa"/>
            </w:tcMar>
            <w:hideMark/>
          </w:tcPr>
          <w:p w:rsidR="00D46D5D" w:rsidRDefault="00D46D5D" w:rsidP="00DD2A10">
            <w:r w:rsidRPr="0041787E">
              <w:t>978.5</w:t>
            </w:r>
          </w:p>
          <w:p w:rsidR="00D46D5D" w:rsidRDefault="00D46D5D" w:rsidP="00DD2A10">
            <w:r>
              <w:t>(20 children)</w:t>
            </w:r>
          </w:p>
          <w:p w:rsidR="00D46D5D" w:rsidRDefault="00D46D5D" w:rsidP="00DD2A10"/>
          <w:p w:rsidR="00D46D5D" w:rsidRPr="0041787E" w:rsidRDefault="00D46D5D" w:rsidP="00DD2A10"/>
        </w:tc>
        <w:tc>
          <w:tcPr>
            <w:tcW w:w="1701" w:type="dxa"/>
            <w:tcBorders>
              <w:top w:val="nil"/>
              <w:left w:val="nil"/>
              <w:bottom w:val="nil"/>
              <w:right w:val="single" w:sz="8" w:space="0" w:color="auto"/>
            </w:tcBorders>
            <w:tcMar>
              <w:top w:w="0" w:type="dxa"/>
              <w:left w:w="108" w:type="dxa"/>
              <w:bottom w:w="0" w:type="dxa"/>
              <w:right w:w="108" w:type="dxa"/>
            </w:tcMar>
            <w:hideMark/>
          </w:tcPr>
          <w:p w:rsidR="00D46D5D" w:rsidRDefault="00D46D5D" w:rsidP="00DD2A10">
            <w:r w:rsidRPr="0041787E">
              <w:t xml:space="preserve">191.5 </w:t>
            </w:r>
          </w:p>
          <w:p w:rsidR="00D46D5D" w:rsidRPr="0041787E" w:rsidRDefault="00D46D5D" w:rsidP="00DD2A10">
            <w:r w:rsidRPr="0041787E">
              <w:t>(4 children)</w:t>
            </w:r>
          </w:p>
        </w:tc>
      </w:tr>
      <w:tr w:rsidR="00D46D5D" w:rsidTr="00DD2A10">
        <w:tc>
          <w:tcPr>
            <w:tcW w:w="1791" w:type="dxa"/>
            <w:tcBorders>
              <w:top w:val="nil"/>
              <w:left w:val="single" w:sz="8" w:space="0" w:color="auto"/>
              <w:bottom w:val="nil"/>
              <w:right w:val="single" w:sz="8" w:space="0" w:color="auto"/>
            </w:tcBorders>
            <w:tcMar>
              <w:top w:w="0" w:type="dxa"/>
              <w:left w:w="108" w:type="dxa"/>
              <w:bottom w:w="0" w:type="dxa"/>
              <w:right w:w="108" w:type="dxa"/>
            </w:tcMar>
          </w:tcPr>
          <w:p w:rsidR="00D46D5D" w:rsidRPr="0041787E" w:rsidRDefault="00D46D5D" w:rsidP="00DD2A10"/>
        </w:tc>
        <w:tc>
          <w:tcPr>
            <w:tcW w:w="1745" w:type="dxa"/>
            <w:tcBorders>
              <w:top w:val="nil"/>
              <w:left w:val="nil"/>
              <w:bottom w:val="nil"/>
              <w:right w:val="single" w:sz="8" w:space="0" w:color="auto"/>
            </w:tcBorders>
            <w:tcMar>
              <w:top w:w="0" w:type="dxa"/>
              <w:left w:w="108" w:type="dxa"/>
              <w:bottom w:w="0" w:type="dxa"/>
              <w:right w:w="108" w:type="dxa"/>
            </w:tcMar>
          </w:tcPr>
          <w:p w:rsidR="00D46D5D" w:rsidRPr="0041787E" w:rsidRDefault="00D46D5D" w:rsidP="00DD2A10"/>
        </w:tc>
        <w:tc>
          <w:tcPr>
            <w:tcW w:w="1843" w:type="dxa"/>
            <w:tcBorders>
              <w:top w:val="nil"/>
              <w:left w:val="nil"/>
              <w:bottom w:val="nil"/>
              <w:right w:val="single" w:sz="8" w:space="0" w:color="auto"/>
            </w:tcBorders>
            <w:tcMar>
              <w:top w:w="0" w:type="dxa"/>
              <w:left w:w="108" w:type="dxa"/>
              <w:bottom w:w="0" w:type="dxa"/>
              <w:right w:w="108" w:type="dxa"/>
            </w:tcMar>
          </w:tcPr>
          <w:p w:rsidR="00D46D5D" w:rsidRPr="0041787E" w:rsidRDefault="00D46D5D" w:rsidP="00DD2A10"/>
        </w:tc>
        <w:tc>
          <w:tcPr>
            <w:tcW w:w="1701" w:type="dxa"/>
            <w:tcBorders>
              <w:top w:val="nil"/>
              <w:left w:val="nil"/>
              <w:bottom w:val="nil"/>
              <w:right w:val="single" w:sz="8" w:space="0" w:color="auto"/>
            </w:tcBorders>
            <w:tcMar>
              <w:top w:w="0" w:type="dxa"/>
              <w:left w:w="108" w:type="dxa"/>
              <w:bottom w:w="0" w:type="dxa"/>
              <w:right w:w="108" w:type="dxa"/>
            </w:tcMar>
          </w:tcPr>
          <w:p w:rsidR="00D46D5D" w:rsidRPr="0041787E" w:rsidRDefault="00D46D5D" w:rsidP="00DD2A10"/>
        </w:tc>
        <w:tc>
          <w:tcPr>
            <w:tcW w:w="1843" w:type="dxa"/>
            <w:tcBorders>
              <w:top w:val="nil"/>
              <w:left w:val="nil"/>
              <w:bottom w:val="nil"/>
              <w:right w:val="single" w:sz="8" w:space="0" w:color="auto"/>
            </w:tcBorders>
            <w:tcMar>
              <w:top w:w="0" w:type="dxa"/>
              <w:left w:w="108" w:type="dxa"/>
              <w:bottom w:w="0" w:type="dxa"/>
              <w:right w:w="108" w:type="dxa"/>
            </w:tcMar>
          </w:tcPr>
          <w:p w:rsidR="00D46D5D" w:rsidRPr="0041787E" w:rsidRDefault="00D46D5D" w:rsidP="00DD2A10"/>
        </w:tc>
        <w:tc>
          <w:tcPr>
            <w:tcW w:w="1701" w:type="dxa"/>
            <w:tcBorders>
              <w:top w:val="nil"/>
              <w:left w:val="nil"/>
              <w:bottom w:val="nil"/>
              <w:right w:val="single" w:sz="8" w:space="0" w:color="auto"/>
            </w:tcBorders>
            <w:tcMar>
              <w:top w:w="0" w:type="dxa"/>
              <w:left w:w="108" w:type="dxa"/>
              <w:bottom w:w="0" w:type="dxa"/>
              <w:right w:w="108" w:type="dxa"/>
            </w:tcMar>
          </w:tcPr>
          <w:p w:rsidR="00D46D5D" w:rsidRPr="0041787E" w:rsidRDefault="00D46D5D" w:rsidP="00DD2A10"/>
        </w:tc>
      </w:tr>
      <w:tr w:rsidR="00D46D5D" w:rsidTr="00DD2A10">
        <w:tc>
          <w:tcPr>
            <w:tcW w:w="1791" w:type="dxa"/>
            <w:tcBorders>
              <w:top w:val="nil"/>
              <w:left w:val="single" w:sz="8" w:space="0" w:color="auto"/>
              <w:bottom w:val="nil"/>
              <w:right w:val="single" w:sz="8" w:space="0" w:color="auto"/>
            </w:tcBorders>
            <w:tcMar>
              <w:top w:w="0" w:type="dxa"/>
              <w:left w:w="108" w:type="dxa"/>
              <w:bottom w:w="0" w:type="dxa"/>
              <w:right w:w="108" w:type="dxa"/>
            </w:tcMar>
          </w:tcPr>
          <w:p w:rsidR="00D46D5D" w:rsidRDefault="00D46D5D" w:rsidP="00DD2A10"/>
        </w:tc>
        <w:tc>
          <w:tcPr>
            <w:tcW w:w="1745" w:type="dxa"/>
            <w:tcBorders>
              <w:top w:val="nil"/>
              <w:left w:val="nil"/>
              <w:bottom w:val="nil"/>
              <w:right w:val="single" w:sz="8" w:space="0" w:color="auto"/>
            </w:tcBorders>
            <w:tcMar>
              <w:top w:w="0" w:type="dxa"/>
              <w:left w:w="108" w:type="dxa"/>
              <w:bottom w:w="0" w:type="dxa"/>
              <w:right w:w="108" w:type="dxa"/>
            </w:tcMar>
          </w:tcPr>
          <w:p w:rsidR="00D46D5D" w:rsidRDefault="00D46D5D" w:rsidP="00DD2A10"/>
        </w:tc>
        <w:tc>
          <w:tcPr>
            <w:tcW w:w="1843" w:type="dxa"/>
            <w:tcBorders>
              <w:top w:val="nil"/>
              <w:left w:val="nil"/>
              <w:bottom w:val="nil"/>
              <w:right w:val="single" w:sz="8" w:space="0" w:color="auto"/>
            </w:tcBorders>
            <w:tcMar>
              <w:top w:w="0" w:type="dxa"/>
              <w:left w:w="108" w:type="dxa"/>
              <w:bottom w:w="0" w:type="dxa"/>
              <w:right w:w="108" w:type="dxa"/>
            </w:tcMar>
          </w:tcPr>
          <w:p w:rsidR="00D46D5D" w:rsidRDefault="00D46D5D" w:rsidP="00DD2A10"/>
        </w:tc>
        <w:tc>
          <w:tcPr>
            <w:tcW w:w="1701" w:type="dxa"/>
            <w:tcBorders>
              <w:top w:val="nil"/>
              <w:left w:val="nil"/>
              <w:bottom w:val="nil"/>
              <w:right w:val="single" w:sz="8" w:space="0" w:color="auto"/>
            </w:tcBorders>
            <w:tcMar>
              <w:top w:w="0" w:type="dxa"/>
              <w:left w:w="108" w:type="dxa"/>
              <w:bottom w:w="0" w:type="dxa"/>
              <w:right w:w="108" w:type="dxa"/>
            </w:tcMar>
          </w:tcPr>
          <w:p w:rsidR="00D46D5D" w:rsidRDefault="00D46D5D" w:rsidP="00DD2A10"/>
        </w:tc>
        <w:tc>
          <w:tcPr>
            <w:tcW w:w="1843" w:type="dxa"/>
            <w:tcBorders>
              <w:top w:val="nil"/>
              <w:left w:val="nil"/>
              <w:bottom w:val="nil"/>
              <w:right w:val="single" w:sz="8" w:space="0" w:color="auto"/>
            </w:tcBorders>
            <w:tcMar>
              <w:top w:w="0" w:type="dxa"/>
              <w:left w:w="108" w:type="dxa"/>
              <w:bottom w:w="0" w:type="dxa"/>
              <w:right w:w="108" w:type="dxa"/>
            </w:tcMar>
          </w:tcPr>
          <w:p w:rsidR="00D46D5D" w:rsidRDefault="00D46D5D" w:rsidP="00DD2A10"/>
        </w:tc>
        <w:tc>
          <w:tcPr>
            <w:tcW w:w="1701" w:type="dxa"/>
            <w:tcBorders>
              <w:top w:val="nil"/>
              <w:left w:val="nil"/>
              <w:bottom w:val="nil"/>
              <w:right w:val="single" w:sz="8" w:space="0" w:color="auto"/>
            </w:tcBorders>
            <w:tcMar>
              <w:top w:w="0" w:type="dxa"/>
              <w:left w:w="108" w:type="dxa"/>
              <w:bottom w:w="0" w:type="dxa"/>
              <w:right w:w="108" w:type="dxa"/>
            </w:tcMar>
          </w:tcPr>
          <w:p w:rsidR="00D46D5D" w:rsidRDefault="00D46D5D" w:rsidP="00DD2A10"/>
        </w:tc>
      </w:tr>
      <w:tr w:rsidR="00D46D5D" w:rsidTr="00DD2A10">
        <w:tc>
          <w:tcPr>
            <w:tcW w:w="1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D5D" w:rsidRDefault="00D46D5D" w:rsidP="00DD2A10"/>
        </w:tc>
        <w:tc>
          <w:tcPr>
            <w:tcW w:w="1745" w:type="dxa"/>
            <w:tcBorders>
              <w:top w:val="nil"/>
              <w:left w:val="nil"/>
              <w:bottom w:val="single" w:sz="8" w:space="0" w:color="auto"/>
              <w:right w:val="single" w:sz="8" w:space="0" w:color="auto"/>
            </w:tcBorders>
            <w:tcMar>
              <w:top w:w="0" w:type="dxa"/>
              <w:left w:w="108" w:type="dxa"/>
              <w:bottom w:w="0" w:type="dxa"/>
              <w:right w:w="108" w:type="dxa"/>
            </w:tcMar>
          </w:tcPr>
          <w:p w:rsidR="00D46D5D" w:rsidRDefault="00D46D5D" w:rsidP="00DD2A10"/>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46D5D" w:rsidRDefault="00D46D5D" w:rsidP="00DD2A10"/>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D46D5D" w:rsidRDefault="00D46D5D" w:rsidP="00DD2A10"/>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46D5D" w:rsidRDefault="00D46D5D" w:rsidP="00DD2A10"/>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D46D5D" w:rsidRDefault="00D46D5D" w:rsidP="00DD2A10"/>
        </w:tc>
      </w:tr>
    </w:tbl>
    <w:p w:rsidR="00D46D5D" w:rsidRPr="00D46D5D" w:rsidRDefault="00D46D5D">
      <w:pPr>
        <w:rPr>
          <w:b/>
        </w:rPr>
      </w:pPr>
    </w:p>
    <w:sectPr w:rsidR="00D46D5D" w:rsidRPr="00D46D5D" w:rsidSect="002728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9E"/>
    <w:multiLevelType w:val="multilevel"/>
    <w:tmpl w:val="573C1316"/>
    <w:lvl w:ilvl="0">
      <w:start w:val="1"/>
      <w:numFmt w:val="decimal"/>
      <w:pStyle w:val="ListParagraph"/>
      <w:lvlText w:val="%1."/>
      <w:lvlJc w:val="left"/>
      <w:pPr>
        <w:ind w:left="530" w:hanging="360"/>
      </w:pPr>
      <w:rPr>
        <w:rFonts w:hint="default"/>
        <w:b w:val="0"/>
        <w:bCs w:val="0"/>
        <w:i w:val="0"/>
        <w:iCs/>
        <w:sz w:val="22"/>
        <w:szCs w:val="22"/>
      </w:rPr>
    </w:lvl>
    <w:lvl w:ilvl="1">
      <w:start w:val="1"/>
      <w:numFmt w:val="decimal"/>
      <w:lvlText w:val="%1.%2."/>
      <w:lvlJc w:val="left"/>
      <w:pPr>
        <w:ind w:left="962" w:hanging="432"/>
      </w:pPr>
      <w:rPr>
        <w:rFonts w:hint="default"/>
        <w:b w:val="0"/>
        <w:bCs w:val="0"/>
        <w:i/>
        <w:iCs/>
        <w:sz w:val="22"/>
        <w:szCs w:val="22"/>
      </w:rPr>
    </w:lvl>
    <w:lvl w:ilvl="2">
      <w:start w:val="1"/>
      <w:numFmt w:val="decimal"/>
      <w:lvlText w:val="%1.%2.%3."/>
      <w:lvlJc w:val="left"/>
      <w:pPr>
        <w:ind w:left="1394" w:hanging="504"/>
      </w:pPr>
      <w:rPr>
        <w:rFonts w:hint="default"/>
        <w:b w:val="0"/>
        <w:bCs w:val="0"/>
        <w:i/>
        <w:iCs/>
        <w:sz w:val="22"/>
        <w:szCs w:val="22"/>
      </w:rPr>
    </w:lvl>
    <w:lvl w:ilvl="3">
      <w:start w:val="1"/>
      <w:numFmt w:val="decimal"/>
      <w:lvlText w:val="%1.%2.%3.%4."/>
      <w:lvlJc w:val="left"/>
      <w:pPr>
        <w:ind w:left="1898" w:hanging="648"/>
      </w:pPr>
      <w:rPr>
        <w:rFonts w:hint="default"/>
        <w:b w:val="0"/>
        <w:bCs w:val="0"/>
        <w:i/>
        <w:iCs/>
        <w:sz w:val="22"/>
        <w:szCs w:val="22"/>
      </w:rPr>
    </w:lvl>
    <w:lvl w:ilvl="4">
      <w:start w:val="1"/>
      <w:numFmt w:val="decimal"/>
      <w:lvlText w:val="%1.%2.%3.%4.%5."/>
      <w:lvlJc w:val="left"/>
      <w:pPr>
        <w:ind w:left="2402" w:hanging="792"/>
      </w:pPr>
      <w:rPr>
        <w:rFonts w:hint="default"/>
        <w:b w:val="0"/>
        <w:bCs w:val="0"/>
        <w:i/>
        <w:iCs/>
        <w:sz w:val="22"/>
        <w:szCs w:val="22"/>
      </w:rPr>
    </w:lvl>
    <w:lvl w:ilvl="5">
      <w:start w:val="1"/>
      <w:numFmt w:val="decimal"/>
      <w:lvlText w:val="%1.%2.%3.%4.%5.%6."/>
      <w:lvlJc w:val="left"/>
      <w:pPr>
        <w:ind w:left="2906" w:hanging="936"/>
      </w:pPr>
      <w:rPr>
        <w:rFonts w:hint="default"/>
        <w:b w:val="0"/>
        <w:bCs w:val="0"/>
        <w:i/>
        <w:iCs/>
        <w:sz w:val="22"/>
        <w:szCs w:val="22"/>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1">
    <w:nsid w:val="178C12F7"/>
    <w:multiLevelType w:val="multilevel"/>
    <w:tmpl w:val="EA9C12E4"/>
    <w:lvl w:ilvl="0">
      <w:start w:val="1"/>
      <w:numFmt w:val="decimal"/>
      <w:pStyle w:val="Bulletlist"/>
      <w:lvlText w:val="%1."/>
      <w:lvlJc w:val="left"/>
      <w:pPr>
        <w:ind w:left="530" w:hanging="360"/>
      </w:pPr>
      <w:rPr>
        <w:rFonts w:hint="default"/>
        <w:sz w:val="22"/>
        <w:szCs w:val="22"/>
      </w:rPr>
    </w:lvl>
    <w:lvl w:ilvl="1">
      <w:start w:val="1"/>
      <w:numFmt w:val="bullet"/>
      <w:lvlText w:val=""/>
      <w:lvlJc w:val="left"/>
      <w:pPr>
        <w:ind w:left="890" w:hanging="360"/>
      </w:pPr>
      <w:rPr>
        <w:rFonts w:ascii="Symbol" w:hAnsi="Symbol" w:hint="default"/>
        <w:sz w:val="22"/>
        <w:szCs w:val="22"/>
      </w:rPr>
    </w:lvl>
    <w:lvl w:ilvl="2">
      <w:start w:val="1"/>
      <w:numFmt w:val="bullet"/>
      <w:lvlText w:val=""/>
      <w:lvlJc w:val="left"/>
      <w:pPr>
        <w:ind w:left="1250" w:hanging="360"/>
      </w:pPr>
      <w:rPr>
        <w:rFonts w:ascii="Symbol" w:hAnsi="Symbol" w:hint="default"/>
        <w:sz w:val="22"/>
        <w:szCs w:val="22"/>
      </w:rPr>
    </w:lvl>
    <w:lvl w:ilvl="3">
      <w:start w:val="1"/>
      <w:numFmt w:val="bullet"/>
      <w:lvlText w:val=""/>
      <w:lvlJc w:val="left"/>
      <w:pPr>
        <w:ind w:left="1610" w:hanging="360"/>
      </w:pPr>
      <w:rPr>
        <w:rFonts w:ascii="Wingdings" w:hAnsi="Wingdings" w:hint="default"/>
        <w:sz w:val="22"/>
        <w:szCs w:val="22"/>
      </w:rPr>
    </w:lvl>
    <w:lvl w:ilvl="4">
      <w:start w:val="1"/>
      <w:numFmt w:val="bullet"/>
      <w:lvlText w:val=""/>
      <w:lvlJc w:val="left"/>
      <w:pPr>
        <w:ind w:left="1970" w:hanging="360"/>
      </w:pPr>
      <w:rPr>
        <w:rFonts w:ascii="Symbol" w:hAnsi="Symbol" w:hint="default"/>
      </w:rPr>
    </w:lvl>
    <w:lvl w:ilvl="5">
      <w:start w:val="1"/>
      <w:numFmt w:val="bullet"/>
      <w:lvlText w:val=""/>
      <w:lvlJc w:val="left"/>
      <w:pPr>
        <w:ind w:left="2330" w:hanging="360"/>
      </w:pPr>
      <w:rPr>
        <w:rFonts w:ascii="Wingdings" w:hAnsi="Wingdings" w:hint="default"/>
      </w:rPr>
    </w:lvl>
    <w:lvl w:ilvl="6">
      <w:start w:val="1"/>
      <w:numFmt w:val="bullet"/>
      <w:lvlText w:val=""/>
      <w:lvlJc w:val="left"/>
      <w:pPr>
        <w:ind w:left="2690" w:hanging="360"/>
      </w:pPr>
      <w:rPr>
        <w:rFonts w:ascii="Wingdings" w:hAnsi="Wingdings" w:hint="default"/>
      </w:rPr>
    </w:lvl>
    <w:lvl w:ilvl="7">
      <w:start w:val="1"/>
      <w:numFmt w:val="bullet"/>
      <w:lvlText w:val=""/>
      <w:lvlJc w:val="left"/>
      <w:pPr>
        <w:ind w:left="3050" w:hanging="360"/>
      </w:pPr>
      <w:rPr>
        <w:rFonts w:ascii="Symbol" w:hAnsi="Symbol" w:hint="default"/>
      </w:rPr>
    </w:lvl>
    <w:lvl w:ilvl="8">
      <w:start w:val="1"/>
      <w:numFmt w:val="bullet"/>
      <w:lvlText w:val=""/>
      <w:lvlJc w:val="left"/>
      <w:pPr>
        <w:ind w:left="3410" w:hanging="360"/>
      </w:pPr>
      <w:rPr>
        <w:rFonts w:ascii="Symbol" w:hAnsi="Symbol" w:hint="default"/>
      </w:rPr>
    </w:lvl>
  </w:abstractNum>
  <w:abstractNum w:abstractNumId="2">
    <w:nsid w:val="368C4A75"/>
    <w:multiLevelType w:val="hybridMultilevel"/>
    <w:tmpl w:val="4BF8DF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5A386A26"/>
    <w:multiLevelType w:val="hybridMultilevel"/>
    <w:tmpl w:val="4E06AED4"/>
    <w:lvl w:ilvl="0" w:tplc="CD48C4F8">
      <w:start w:val="1"/>
      <w:numFmt w:val="decimal"/>
      <w:lvlText w:val="%1."/>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nsid w:val="792139DB"/>
    <w:multiLevelType w:val="hybridMultilevel"/>
    <w:tmpl w:val="C44E7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381C5A"/>
    <w:multiLevelType w:val="hybridMultilevel"/>
    <w:tmpl w:val="85FEE3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5D"/>
    <w:rsid w:val="000265FC"/>
    <w:rsid w:val="002728A9"/>
    <w:rsid w:val="00CA7FB6"/>
    <w:rsid w:val="00D16585"/>
    <w:rsid w:val="00D46D5D"/>
    <w:rsid w:val="00FF5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Para">
    <w:name w:val="Table Normal Para"/>
    <w:basedOn w:val="Normal"/>
    <w:uiPriority w:val="99"/>
    <w:rsid w:val="00D46D5D"/>
    <w:pPr>
      <w:spacing w:after="0" w:line="264" w:lineRule="auto"/>
    </w:pPr>
    <w:rPr>
      <w:rFonts w:ascii="Arial" w:eastAsiaTheme="minorEastAsia" w:hAnsi="Arial" w:cs="Times New Roman"/>
      <w:sz w:val="24"/>
    </w:rPr>
  </w:style>
  <w:style w:type="paragraph" w:styleId="ListParagraph">
    <w:name w:val="List Paragraph"/>
    <w:aliases w:val="Numbered list"/>
    <w:basedOn w:val="Normal"/>
    <w:uiPriority w:val="34"/>
    <w:qFormat/>
    <w:rsid w:val="00D46D5D"/>
    <w:pPr>
      <w:numPr>
        <w:numId w:val="2"/>
      </w:numPr>
      <w:tabs>
        <w:tab w:val="left" w:pos="567"/>
      </w:tabs>
      <w:spacing w:after="60" w:line="288" w:lineRule="auto"/>
      <w:contextualSpacing/>
    </w:pPr>
    <w:rPr>
      <w:rFonts w:ascii="Arial" w:eastAsiaTheme="minorEastAsia" w:hAnsi="Arial" w:cs="Times New Roman"/>
      <w:sz w:val="24"/>
    </w:rPr>
  </w:style>
  <w:style w:type="paragraph" w:customStyle="1" w:styleId="Bulletlist">
    <w:name w:val="Bullet list"/>
    <w:basedOn w:val="Normal"/>
    <w:qFormat/>
    <w:rsid w:val="00D46D5D"/>
    <w:pPr>
      <w:numPr>
        <w:numId w:val="1"/>
      </w:numPr>
      <w:spacing w:after="0" w:line="264" w:lineRule="auto"/>
      <w:contextualSpacing/>
    </w:pPr>
    <w:rPr>
      <w:rFonts w:ascii="Arial" w:eastAsiaTheme="minorEastAsia" w:hAnsi="Arial" w:cs="Times New Roman"/>
      <w:sz w:val="24"/>
    </w:rPr>
  </w:style>
  <w:style w:type="character" w:customStyle="1" w:styleId="Question">
    <w:name w:val="Question"/>
    <w:basedOn w:val="DefaultParagraphFont"/>
    <w:uiPriority w:val="1"/>
    <w:qFormat/>
    <w:rsid w:val="00D46D5D"/>
    <w:rPr>
      <w:rFonts w:ascii="Arial" w:hAnsi="Arial"/>
      <w:b w:val="0"/>
      <w:i w:val="0"/>
      <w:color w:val="0075BF"/>
      <w:sz w:val="24"/>
    </w:rPr>
  </w:style>
  <w:style w:type="character" w:customStyle="1" w:styleId="Highlight1">
    <w:name w:val="Highlight1"/>
    <w:uiPriority w:val="1"/>
    <w:qFormat/>
    <w:rsid w:val="00D46D5D"/>
    <w:rPr>
      <w:rFonts w:ascii="Arial" w:hAnsi="Arial"/>
      <w:color w:val="0075BF"/>
      <w:sz w:val="24"/>
    </w:rPr>
  </w:style>
  <w:style w:type="paragraph" w:styleId="BalloonText">
    <w:name w:val="Balloon Text"/>
    <w:basedOn w:val="Normal"/>
    <w:link w:val="BalloonTextChar"/>
    <w:uiPriority w:val="99"/>
    <w:semiHidden/>
    <w:unhideWhenUsed/>
    <w:rsid w:val="00D16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Para">
    <w:name w:val="Table Normal Para"/>
    <w:basedOn w:val="Normal"/>
    <w:uiPriority w:val="99"/>
    <w:rsid w:val="00D46D5D"/>
    <w:pPr>
      <w:spacing w:after="0" w:line="264" w:lineRule="auto"/>
    </w:pPr>
    <w:rPr>
      <w:rFonts w:ascii="Arial" w:eastAsiaTheme="minorEastAsia" w:hAnsi="Arial" w:cs="Times New Roman"/>
      <w:sz w:val="24"/>
    </w:rPr>
  </w:style>
  <w:style w:type="paragraph" w:styleId="ListParagraph">
    <w:name w:val="List Paragraph"/>
    <w:aliases w:val="Numbered list"/>
    <w:basedOn w:val="Normal"/>
    <w:uiPriority w:val="34"/>
    <w:qFormat/>
    <w:rsid w:val="00D46D5D"/>
    <w:pPr>
      <w:numPr>
        <w:numId w:val="2"/>
      </w:numPr>
      <w:tabs>
        <w:tab w:val="left" w:pos="567"/>
      </w:tabs>
      <w:spacing w:after="60" w:line="288" w:lineRule="auto"/>
      <w:contextualSpacing/>
    </w:pPr>
    <w:rPr>
      <w:rFonts w:ascii="Arial" w:eastAsiaTheme="minorEastAsia" w:hAnsi="Arial" w:cs="Times New Roman"/>
      <w:sz w:val="24"/>
    </w:rPr>
  </w:style>
  <w:style w:type="paragraph" w:customStyle="1" w:styleId="Bulletlist">
    <w:name w:val="Bullet list"/>
    <w:basedOn w:val="Normal"/>
    <w:qFormat/>
    <w:rsid w:val="00D46D5D"/>
    <w:pPr>
      <w:numPr>
        <w:numId w:val="1"/>
      </w:numPr>
      <w:spacing w:after="0" w:line="264" w:lineRule="auto"/>
      <w:contextualSpacing/>
    </w:pPr>
    <w:rPr>
      <w:rFonts w:ascii="Arial" w:eastAsiaTheme="minorEastAsia" w:hAnsi="Arial" w:cs="Times New Roman"/>
      <w:sz w:val="24"/>
    </w:rPr>
  </w:style>
  <w:style w:type="character" w:customStyle="1" w:styleId="Question">
    <w:name w:val="Question"/>
    <w:basedOn w:val="DefaultParagraphFont"/>
    <w:uiPriority w:val="1"/>
    <w:qFormat/>
    <w:rsid w:val="00D46D5D"/>
    <w:rPr>
      <w:rFonts w:ascii="Arial" w:hAnsi="Arial"/>
      <w:b w:val="0"/>
      <w:i w:val="0"/>
      <w:color w:val="0075BF"/>
      <w:sz w:val="24"/>
    </w:rPr>
  </w:style>
  <w:style w:type="character" w:customStyle="1" w:styleId="Highlight1">
    <w:name w:val="Highlight1"/>
    <w:uiPriority w:val="1"/>
    <w:qFormat/>
    <w:rsid w:val="00D46D5D"/>
    <w:rPr>
      <w:rFonts w:ascii="Arial" w:hAnsi="Arial"/>
      <w:color w:val="0075BF"/>
      <w:sz w:val="24"/>
    </w:rPr>
  </w:style>
  <w:style w:type="paragraph" w:styleId="BalloonText">
    <w:name w:val="Balloon Text"/>
    <w:basedOn w:val="Normal"/>
    <w:link w:val="BalloonTextChar"/>
    <w:uiPriority w:val="99"/>
    <w:semiHidden/>
    <w:unhideWhenUsed/>
    <w:rsid w:val="00D16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036044-F96C-45E2-95B7-D20B640F1434}" type="doc">
      <dgm:prSet loTypeId="urn:microsoft.com/office/officeart/2005/8/layout/process1" loCatId="process" qsTypeId="urn:microsoft.com/office/officeart/2005/8/quickstyle/simple1" qsCatId="simple" csTypeId="urn:microsoft.com/office/officeart/2005/8/colors/accent1_2" csCatId="accent1" phldr="1"/>
      <dgm:spPr/>
    </dgm:pt>
    <dgm:pt modelId="{E329D78F-D1D8-454B-AE1F-55B6AF318977}">
      <dgm:prSet phldrT="[Text]" custT="1"/>
      <dgm:spPr>
        <a:xfrm>
          <a:off x="1186867" y="86779"/>
          <a:ext cx="1066321" cy="250668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GB" sz="1100">
            <a:solidFill>
              <a:sysClr val="window" lastClr="FFFFFF"/>
            </a:solidFill>
            <a:latin typeface="Calibri" panose="020F0502020204030204"/>
            <a:ea typeface="+mn-ea"/>
            <a:cs typeface="+mn-cs"/>
          </a:endParaRPr>
        </a:p>
        <a:p>
          <a:r>
            <a:rPr lang="en-GB" sz="1100">
              <a:solidFill>
                <a:sysClr val="window" lastClr="FFFFFF"/>
              </a:solidFill>
              <a:latin typeface="Calibri" panose="020F0502020204030204"/>
              <a:ea typeface="+mn-ea"/>
              <a:cs typeface="+mn-cs"/>
            </a:rPr>
            <a:t>Integrated Assessment</a:t>
          </a:r>
        </a:p>
        <a:p>
          <a:endParaRPr lang="en-GB" sz="1100">
            <a:solidFill>
              <a:sysClr val="window" lastClr="FFFFFF"/>
            </a:solidFill>
            <a:latin typeface="Calibri" panose="020F0502020204030204"/>
            <a:ea typeface="+mn-ea"/>
            <a:cs typeface="+mn-cs"/>
          </a:endParaRPr>
        </a:p>
        <a:p>
          <a:r>
            <a:rPr lang="en-GB" sz="1100">
              <a:solidFill>
                <a:sysClr val="window" lastClr="FFFFFF"/>
              </a:solidFill>
              <a:latin typeface="Calibri" panose="020F0502020204030204"/>
              <a:ea typeface="+mn-ea"/>
              <a:cs typeface="+mn-cs"/>
            </a:rPr>
            <a:t> Using FACE (Resource Allocation Tool)</a:t>
          </a:r>
        </a:p>
        <a:p>
          <a:endParaRPr lang="en-GB" sz="1100">
            <a:solidFill>
              <a:sysClr val="window" lastClr="FFFFFF"/>
            </a:solidFill>
            <a:latin typeface="Calibri" panose="020F0502020204030204"/>
            <a:ea typeface="+mn-ea"/>
            <a:cs typeface="+mn-cs"/>
          </a:endParaRPr>
        </a:p>
        <a:p>
          <a:r>
            <a:rPr lang="en-GB" sz="1100">
              <a:solidFill>
                <a:sysClr val="window" lastClr="FFFFFF"/>
              </a:solidFill>
              <a:latin typeface="Calibri" panose="020F0502020204030204"/>
              <a:ea typeface="+mn-ea"/>
              <a:cs typeface="+mn-cs"/>
            </a:rPr>
            <a:t>(CCG Children's Continuing Healthcare Assessor/With input from Children's Social Care</a:t>
          </a:r>
        </a:p>
      </dgm:t>
    </dgm:pt>
    <dgm:pt modelId="{13159E79-3F9A-473F-80B4-373D24ED5FB9}" type="parTrans" cxnId="{6FA21EAF-63CD-4787-B6D6-331AE4A733F0}">
      <dgm:prSet/>
      <dgm:spPr/>
      <dgm:t>
        <a:bodyPr/>
        <a:lstStyle/>
        <a:p>
          <a:endParaRPr lang="en-GB"/>
        </a:p>
      </dgm:t>
    </dgm:pt>
    <dgm:pt modelId="{41FC330B-E7F8-4974-AD09-136158D07080}" type="sibTrans" cxnId="{6FA21EAF-63CD-4787-B6D6-331AE4A733F0}">
      <dgm:prSet/>
      <dgm:spPr>
        <a:xfrm rot="109018">
          <a:off x="2288436" y="1109035"/>
          <a:ext cx="74803" cy="500610"/>
        </a:xfr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F255884A-E536-498A-B793-A9A71F2582D5}">
      <dgm:prSet phldrT="[Text]" custT="1"/>
      <dgm:spPr>
        <a:xfrm>
          <a:off x="2394256" y="106466"/>
          <a:ext cx="1010143" cy="25421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sz="1100">
              <a:solidFill>
                <a:sysClr val="window" lastClr="FFFFFF"/>
              </a:solidFill>
              <a:latin typeface="Calibri" panose="020F0502020204030204"/>
              <a:ea typeface="+mn-ea"/>
              <a:cs typeface="+mn-cs"/>
            </a:rPr>
            <a:t>EHC Panel</a:t>
          </a:r>
        </a:p>
        <a:p>
          <a:endParaRPr lang="en-GB" sz="1100">
            <a:solidFill>
              <a:sysClr val="window" lastClr="FFFFFF"/>
            </a:solidFill>
            <a:latin typeface="Calibri" panose="020F0502020204030204"/>
            <a:ea typeface="+mn-ea"/>
            <a:cs typeface="+mn-cs"/>
          </a:endParaRPr>
        </a:p>
        <a:p>
          <a:r>
            <a:rPr lang="en-GB" sz="1100">
              <a:solidFill>
                <a:sysClr val="window" lastClr="FFFFFF"/>
              </a:solidFill>
              <a:latin typeface="Calibri" panose="020F0502020204030204"/>
              <a:ea typeface="+mn-ea"/>
              <a:cs typeface="+mn-cs"/>
            </a:rPr>
            <a:t>(Multi-agency panel, </a:t>
          </a:r>
        </a:p>
        <a:p>
          <a:r>
            <a:rPr lang="en-GB" sz="1100">
              <a:solidFill>
                <a:sysClr val="window" lastClr="FFFFFF"/>
              </a:solidFill>
              <a:latin typeface="Calibri" panose="020F0502020204030204"/>
              <a:ea typeface="+mn-ea"/>
              <a:cs typeface="+mn-cs"/>
            </a:rPr>
            <a:t>Chaired by Head of SEND and Head of Integrated Commissioning)</a:t>
          </a:r>
        </a:p>
      </dgm:t>
    </dgm:pt>
    <dgm:pt modelId="{D4296CB9-17CC-4E6B-8542-353B0E1F1E2F}" type="parTrans" cxnId="{C946DD66-EA17-47E4-A503-77EAA79B409E}">
      <dgm:prSet/>
      <dgm:spPr/>
      <dgm:t>
        <a:bodyPr/>
        <a:lstStyle/>
        <a:p>
          <a:endParaRPr lang="en-GB"/>
        </a:p>
      </dgm:t>
    </dgm:pt>
    <dgm:pt modelId="{DEBC0DE4-4DAD-496C-9CDA-C0564B65CA6D}" type="sibTrans" cxnId="{C946DD66-EA17-47E4-A503-77EAA79B409E}">
      <dgm:prSet/>
      <dgm:spPr>
        <a:xfrm rot="145997">
          <a:off x="3427233" y="1150691"/>
          <a:ext cx="48498" cy="500610"/>
        </a:xfr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EAF0E460-9D4B-4FEF-8B45-73347A83B868}">
      <dgm:prSet custT="1"/>
      <dgm:spPr>
        <a:xfrm>
          <a:off x="3495823" y="126396"/>
          <a:ext cx="781800" cy="258619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sz="1100">
              <a:solidFill>
                <a:sysClr val="window" lastClr="FFFFFF"/>
              </a:solidFill>
              <a:latin typeface="Calibri" panose="020F0502020204030204"/>
              <a:ea typeface="+mn-ea"/>
              <a:cs typeface="+mn-cs"/>
            </a:rPr>
            <a:t>Brokerage of additional provision</a:t>
          </a:r>
        </a:p>
        <a:p>
          <a:endParaRPr lang="en-GB" sz="1100">
            <a:solidFill>
              <a:sysClr val="window" lastClr="FFFFFF"/>
            </a:solidFill>
            <a:latin typeface="Calibri" panose="020F0502020204030204"/>
            <a:ea typeface="+mn-ea"/>
            <a:cs typeface="+mn-cs"/>
          </a:endParaRPr>
        </a:p>
        <a:p>
          <a:r>
            <a:rPr lang="en-GB" sz="1100">
              <a:solidFill>
                <a:sysClr val="window" lastClr="FFFFFF"/>
              </a:solidFill>
              <a:latin typeface="Calibri" panose="020F0502020204030204"/>
              <a:ea typeface="+mn-ea"/>
              <a:cs typeface="+mn-cs"/>
            </a:rPr>
            <a:t>(Provider to be confirmed)</a:t>
          </a:r>
        </a:p>
      </dgm:t>
    </dgm:pt>
    <dgm:pt modelId="{770AD140-3085-4CC5-A3FE-3D8FFD0E8369}" type="parTrans" cxnId="{757E987F-F480-42F4-AD4C-1FAED5CD0D23}">
      <dgm:prSet/>
      <dgm:spPr/>
      <dgm:t>
        <a:bodyPr/>
        <a:lstStyle/>
        <a:p>
          <a:endParaRPr lang="en-GB"/>
        </a:p>
      </dgm:t>
    </dgm:pt>
    <dgm:pt modelId="{20210F28-1C94-4BA2-9F97-798C617CA9B2}" type="sibTrans" cxnId="{757E987F-F480-42F4-AD4C-1FAED5CD0D23}">
      <dgm:prSet/>
      <dgm:spPr>
        <a:xfrm rot="21576087">
          <a:off x="4304761" y="1111991"/>
          <a:ext cx="75579" cy="500610"/>
        </a:xfr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18DF2948-196E-4AC1-9FB6-14FAE01BB45E}">
      <dgm:prSet custT="1"/>
      <dgm:spPr>
        <a:xfrm>
          <a:off x="4515192" y="159823"/>
          <a:ext cx="1103220" cy="2502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sz="1100">
              <a:solidFill>
                <a:sysClr val="window" lastClr="FFFFFF"/>
              </a:solidFill>
              <a:latin typeface="Calibri" panose="020F0502020204030204"/>
              <a:ea typeface="+mn-ea"/>
              <a:cs typeface="+mn-cs"/>
            </a:rPr>
            <a:t>Service Provider by AQP</a:t>
          </a:r>
        </a:p>
        <a:p>
          <a:endParaRPr lang="en-GB" sz="1100">
            <a:solidFill>
              <a:sysClr val="window" lastClr="FFFFFF"/>
            </a:solidFill>
            <a:latin typeface="Calibri" panose="020F0502020204030204"/>
            <a:ea typeface="+mn-ea"/>
            <a:cs typeface="+mn-cs"/>
          </a:endParaRPr>
        </a:p>
        <a:p>
          <a:r>
            <a:rPr lang="en-GB" sz="1100">
              <a:solidFill>
                <a:sysClr val="window" lastClr="FFFFFF"/>
              </a:solidFill>
              <a:latin typeface="Calibri" panose="020F0502020204030204"/>
              <a:ea typeface="+mn-ea"/>
              <a:cs typeface="+mn-cs"/>
            </a:rPr>
            <a:t>(Provider to be confirmed hrough procurement</a:t>
          </a:r>
          <a:r>
            <a:rPr lang="en-GB" sz="1800">
              <a:solidFill>
                <a:sysClr val="window" lastClr="FFFFFF"/>
              </a:solidFill>
              <a:latin typeface="Calibri" panose="020F0502020204030204"/>
              <a:ea typeface="+mn-ea"/>
              <a:cs typeface="+mn-cs"/>
            </a:rPr>
            <a:t>)</a:t>
          </a:r>
        </a:p>
      </dgm:t>
    </dgm:pt>
    <dgm:pt modelId="{46C0B5C7-9C3E-4E53-BCDF-06D5AC98E40D}" type="parTrans" cxnId="{E3165257-9F2A-4D38-986B-4EABCA2E3A8E}">
      <dgm:prSet/>
      <dgm:spPr/>
      <dgm:t>
        <a:bodyPr/>
        <a:lstStyle/>
        <a:p>
          <a:endParaRPr lang="en-GB"/>
        </a:p>
      </dgm:t>
    </dgm:pt>
    <dgm:pt modelId="{D3B1635A-6592-480C-9CE0-E5ADC1BC8768}" type="sibTrans" cxnId="{E3165257-9F2A-4D38-986B-4EABCA2E3A8E}">
      <dgm:prSet/>
      <dgm:spPr/>
      <dgm:t>
        <a:bodyPr/>
        <a:lstStyle/>
        <a:p>
          <a:endParaRPr lang="en-GB"/>
        </a:p>
      </dgm:t>
    </dgm:pt>
    <dgm:pt modelId="{69728977-3ED2-40F1-A929-FF9DEBA24D96}">
      <dgm:prSet phldrT="[Text]" custT="1"/>
      <dgm:spPr>
        <a:xfrm>
          <a:off x="0" y="111876"/>
          <a:ext cx="1007236" cy="253723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sz="1100">
              <a:solidFill>
                <a:sysClr val="window" lastClr="FFFFFF"/>
              </a:solidFill>
              <a:latin typeface="Calibri" panose="020F0502020204030204"/>
              <a:ea typeface="+mn-ea"/>
              <a:cs typeface="+mn-cs"/>
            </a:rPr>
            <a:t>Identification of need</a:t>
          </a:r>
        </a:p>
        <a:p>
          <a:r>
            <a:rPr lang="en-GB" sz="1100">
              <a:solidFill>
                <a:sysClr val="window" lastClr="FFFFFF"/>
              </a:solidFill>
              <a:latin typeface="Calibri" panose="020F0502020204030204"/>
              <a:ea typeface="+mn-ea"/>
              <a:cs typeface="+mn-cs"/>
            </a:rPr>
            <a:t>(Multi Agency Professionals)</a:t>
          </a:r>
        </a:p>
      </dgm:t>
    </dgm:pt>
    <dgm:pt modelId="{25C87DF0-BC34-4124-AE0D-273688CF02D9}" type="sibTrans" cxnId="{2B22315B-6E24-4C15-9051-71D58B7BF834}">
      <dgm:prSet/>
      <dgm:spPr>
        <a:xfrm rot="21485948">
          <a:off x="1052118" y="1110403"/>
          <a:ext cx="95256" cy="500610"/>
        </a:xfr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AE932AF1-06C2-4204-9BE9-EAB482CE4F39}" type="parTrans" cxnId="{2B22315B-6E24-4C15-9051-71D58B7BF834}">
      <dgm:prSet/>
      <dgm:spPr/>
      <dgm:t>
        <a:bodyPr/>
        <a:lstStyle/>
        <a:p>
          <a:endParaRPr lang="en-GB"/>
        </a:p>
      </dgm:t>
    </dgm:pt>
    <dgm:pt modelId="{A718AACC-0F3A-4893-A480-8BCEC774C416}" type="pres">
      <dgm:prSet presAssocID="{38036044-F96C-45E2-95B7-D20B640F1434}" presName="Name0" presStyleCnt="0">
        <dgm:presLayoutVars>
          <dgm:dir/>
          <dgm:resizeHandles val="exact"/>
        </dgm:presLayoutVars>
      </dgm:prSet>
      <dgm:spPr/>
    </dgm:pt>
    <dgm:pt modelId="{9F7EF594-8F65-479D-87D4-8075C655EC6F}" type="pres">
      <dgm:prSet presAssocID="{69728977-3ED2-40F1-A929-FF9DEBA24D96}" presName="node" presStyleLbl="node1" presStyleIdx="0" presStyleCnt="5" custScaleX="81265" custScaleY="94272" custLinFactNeighborX="35298" custLinFactNeighborY="4411">
        <dgm:presLayoutVars>
          <dgm:bulletEnabled val="1"/>
        </dgm:presLayoutVars>
      </dgm:prSet>
      <dgm:spPr>
        <a:prstGeom prst="roundRect">
          <a:avLst>
            <a:gd name="adj" fmla="val 10000"/>
          </a:avLst>
        </a:prstGeom>
      </dgm:spPr>
      <dgm:t>
        <a:bodyPr/>
        <a:lstStyle/>
        <a:p>
          <a:endParaRPr lang="en-GB"/>
        </a:p>
      </dgm:t>
    </dgm:pt>
    <dgm:pt modelId="{569DC1E0-7B58-4E03-B47A-C85A2735BBB4}" type="pres">
      <dgm:prSet presAssocID="{25C87DF0-BC34-4124-AE0D-273688CF02D9}" presName="sibTrans" presStyleLbl="sibTrans2D1" presStyleIdx="0" presStyleCnt="4"/>
      <dgm:spPr>
        <a:prstGeom prst="rightArrow">
          <a:avLst>
            <a:gd name="adj1" fmla="val 60000"/>
            <a:gd name="adj2" fmla="val 50000"/>
          </a:avLst>
        </a:prstGeom>
      </dgm:spPr>
      <dgm:t>
        <a:bodyPr/>
        <a:lstStyle/>
        <a:p>
          <a:endParaRPr lang="en-GB"/>
        </a:p>
      </dgm:t>
    </dgm:pt>
    <dgm:pt modelId="{81D489CD-E13F-4192-9890-3FBACCF7C8D8}" type="pres">
      <dgm:prSet presAssocID="{25C87DF0-BC34-4124-AE0D-273688CF02D9}" presName="connectorText" presStyleLbl="sibTrans2D1" presStyleIdx="0" presStyleCnt="4"/>
      <dgm:spPr/>
      <dgm:t>
        <a:bodyPr/>
        <a:lstStyle/>
        <a:p>
          <a:endParaRPr lang="en-GB"/>
        </a:p>
      </dgm:t>
    </dgm:pt>
    <dgm:pt modelId="{958C1DBA-B7E9-4CB9-8E30-21B94EEFEB46}" type="pres">
      <dgm:prSet presAssocID="{E329D78F-D1D8-454B-AE1F-55B6AF318977}" presName="node" presStyleLbl="node1" presStyleIdx="1" presStyleCnt="5" custScaleX="89345" custScaleY="93137" custLinFactNeighborX="8582" custLinFactNeighborY="4978">
        <dgm:presLayoutVars>
          <dgm:bulletEnabled val="1"/>
        </dgm:presLayoutVars>
      </dgm:prSet>
      <dgm:spPr>
        <a:prstGeom prst="roundRect">
          <a:avLst>
            <a:gd name="adj" fmla="val 10000"/>
          </a:avLst>
        </a:prstGeom>
      </dgm:spPr>
      <dgm:t>
        <a:bodyPr/>
        <a:lstStyle/>
        <a:p>
          <a:endParaRPr lang="en-GB"/>
        </a:p>
      </dgm:t>
    </dgm:pt>
    <dgm:pt modelId="{7BEF322D-B005-43F4-8109-FEAD1E7BF2BA}" type="pres">
      <dgm:prSet presAssocID="{41FC330B-E7F8-4974-AD09-136158D07080}" presName="sibTrans" presStyleLbl="sibTrans2D1" presStyleIdx="1" presStyleCnt="4"/>
      <dgm:spPr>
        <a:prstGeom prst="rightArrow">
          <a:avLst>
            <a:gd name="adj1" fmla="val 60000"/>
            <a:gd name="adj2" fmla="val 50000"/>
          </a:avLst>
        </a:prstGeom>
      </dgm:spPr>
      <dgm:t>
        <a:bodyPr/>
        <a:lstStyle/>
        <a:p>
          <a:endParaRPr lang="en-GB"/>
        </a:p>
      </dgm:t>
    </dgm:pt>
    <dgm:pt modelId="{B4F3CB05-77DB-4BAC-9C9B-DCA204C17957}" type="pres">
      <dgm:prSet presAssocID="{41FC330B-E7F8-4974-AD09-136158D07080}" presName="connectorText" presStyleLbl="sibTrans2D1" presStyleIdx="1" presStyleCnt="4"/>
      <dgm:spPr/>
      <dgm:t>
        <a:bodyPr/>
        <a:lstStyle/>
        <a:p>
          <a:endParaRPr lang="en-GB"/>
        </a:p>
      </dgm:t>
    </dgm:pt>
    <dgm:pt modelId="{895A50F9-8660-4255-A00D-48FF156924CE}" type="pres">
      <dgm:prSet presAssocID="{F255884A-E536-498A-B793-A9A71F2582D5}" presName="node" presStyleLbl="node1" presStyleIdx="2" presStyleCnt="5" custScaleX="107621" custScaleY="94454" custLinFactNeighborX="-29031" custLinFactNeighborY="4320">
        <dgm:presLayoutVars>
          <dgm:bulletEnabled val="1"/>
        </dgm:presLayoutVars>
      </dgm:prSet>
      <dgm:spPr>
        <a:prstGeom prst="roundRect">
          <a:avLst>
            <a:gd name="adj" fmla="val 10000"/>
          </a:avLst>
        </a:prstGeom>
      </dgm:spPr>
      <dgm:t>
        <a:bodyPr/>
        <a:lstStyle/>
        <a:p>
          <a:endParaRPr lang="en-GB"/>
        </a:p>
      </dgm:t>
    </dgm:pt>
    <dgm:pt modelId="{FD6754AA-06B2-4222-B023-5A0185633E24}" type="pres">
      <dgm:prSet presAssocID="{DEBC0DE4-4DAD-496C-9CDA-C0564B65CA6D}" presName="sibTrans" presStyleLbl="sibTrans2D1" presStyleIdx="2" presStyleCnt="4" custLinFactNeighborX="29215" custLinFactNeighborY="-1332"/>
      <dgm:spPr>
        <a:prstGeom prst="rightArrow">
          <a:avLst>
            <a:gd name="adj1" fmla="val 60000"/>
            <a:gd name="adj2" fmla="val 50000"/>
          </a:avLst>
        </a:prstGeom>
      </dgm:spPr>
      <dgm:t>
        <a:bodyPr/>
        <a:lstStyle/>
        <a:p>
          <a:endParaRPr lang="en-GB"/>
        </a:p>
      </dgm:t>
    </dgm:pt>
    <dgm:pt modelId="{1C449322-141A-41CF-B6C2-BCF4757ED197}" type="pres">
      <dgm:prSet presAssocID="{DEBC0DE4-4DAD-496C-9CDA-C0564B65CA6D}" presName="connectorText" presStyleLbl="sibTrans2D1" presStyleIdx="2" presStyleCnt="4"/>
      <dgm:spPr/>
      <dgm:t>
        <a:bodyPr/>
        <a:lstStyle/>
        <a:p>
          <a:endParaRPr lang="en-GB"/>
        </a:p>
      </dgm:t>
    </dgm:pt>
    <dgm:pt modelId="{BE187F03-CA95-4917-9C9A-8DD7221B1C5F}" type="pres">
      <dgm:prSet presAssocID="{EAF0E460-9D4B-4FEF-8B45-73347A83B868}" presName="node" presStyleLbl="node1" presStyleIdx="3" presStyleCnt="5" custScaleX="117184" custScaleY="96091" custLinFactNeighborX="-33308" custLinFactNeighborY="3501">
        <dgm:presLayoutVars>
          <dgm:bulletEnabled val="1"/>
        </dgm:presLayoutVars>
      </dgm:prSet>
      <dgm:spPr>
        <a:prstGeom prst="roundRect">
          <a:avLst>
            <a:gd name="adj" fmla="val 10000"/>
          </a:avLst>
        </a:prstGeom>
      </dgm:spPr>
      <dgm:t>
        <a:bodyPr/>
        <a:lstStyle/>
        <a:p>
          <a:endParaRPr lang="en-GB"/>
        </a:p>
      </dgm:t>
    </dgm:pt>
    <dgm:pt modelId="{7FCFC2D8-7EA7-40CC-AFCA-D197007E8E12}" type="pres">
      <dgm:prSet presAssocID="{20210F28-1C94-4BA2-9F97-798C617CA9B2}" presName="sibTrans" presStyleLbl="sibTrans2D1" presStyleIdx="3" presStyleCnt="4" custScaleX="60025" custLinFactNeighborX="4992" custLinFactNeighborY="4169"/>
      <dgm:spPr>
        <a:prstGeom prst="rightArrow">
          <a:avLst>
            <a:gd name="adj1" fmla="val 60000"/>
            <a:gd name="adj2" fmla="val 50000"/>
          </a:avLst>
        </a:prstGeom>
      </dgm:spPr>
      <dgm:t>
        <a:bodyPr/>
        <a:lstStyle/>
        <a:p>
          <a:endParaRPr lang="en-GB"/>
        </a:p>
      </dgm:t>
    </dgm:pt>
    <dgm:pt modelId="{F46624E4-DA1E-4EEC-846E-1A85D50244F1}" type="pres">
      <dgm:prSet presAssocID="{20210F28-1C94-4BA2-9F97-798C617CA9B2}" presName="connectorText" presStyleLbl="sibTrans2D1" presStyleIdx="3" presStyleCnt="4"/>
      <dgm:spPr/>
      <dgm:t>
        <a:bodyPr/>
        <a:lstStyle/>
        <a:p>
          <a:endParaRPr lang="en-GB"/>
        </a:p>
      </dgm:t>
    </dgm:pt>
    <dgm:pt modelId="{784D5F61-D359-4805-96D3-A1845FB34E46}" type="pres">
      <dgm:prSet presAssocID="{18DF2948-196E-4AC1-9FB6-14FAE01BB45E}" presName="node" presStyleLbl="node1" presStyleIdx="4" presStyleCnt="5" custScaleX="112501" custScaleY="92997" custLinFactNeighborX="-29888" custLinFactNeighborY="1916">
        <dgm:presLayoutVars>
          <dgm:bulletEnabled val="1"/>
        </dgm:presLayoutVars>
      </dgm:prSet>
      <dgm:spPr>
        <a:prstGeom prst="roundRect">
          <a:avLst>
            <a:gd name="adj" fmla="val 10000"/>
          </a:avLst>
        </a:prstGeom>
      </dgm:spPr>
      <dgm:t>
        <a:bodyPr/>
        <a:lstStyle/>
        <a:p>
          <a:endParaRPr lang="en-GB"/>
        </a:p>
      </dgm:t>
    </dgm:pt>
  </dgm:ptLst>
  <dgm:cxnLst>
    <dgm:cxn modelId="{2B22315B-6E24-4C15-9051-71D58B7BF834}" srcId="{38036044-F96C-45E2-95B7-D20B640F1434}" destId="{69728977-3ED2-40F1-A929-FF9DEBA24D96}" srcOrd="0" destOrd="0" parTransId="{AE932AF1-06C2-4204-9BE9-EAB482CE4F39}" sibTransId="{25C87DF0-BC34-4124-AE0D-273688CF02D9}"/>
    <dgm:cxn modelId="{E3165257-9F2A-4D38-986B-4EABCA2E3A8E}" srcId="{38036044-F96C-45E2-95B7-D20B640F1434}" destId="{18DF2948-196E-4AC1-9FB6-14FAE01BB45E}" srcOrd="4" destOrd="0" parTransId="{46C0B5C7-9C3E-4E53-BCDF-06D5AC98E40D}" sibTransId="{D3B1635A-6592-480C-9CE0-E5ADC1BC8768}"/>
    <dgm:cxn modelId="{5EADE355-AE78-4D21-96AE-831E1AA4962E}" type="presOf" srcId="{25C87DF0-BC34-4124-AE0D-273688CF02D9}" destId="{569DC1E0-7B58-4E03-B47A-C85A2735BBB4}" srcOrd="0" destOrd="0" presId="urn:microsoft.com/office/officeart/2005/8/layout/process1"/>
    <dgm:cxn modelId="{6FA21EAF-63CD-4787-B6D6-331AE4A733F0}" srcId="{38036044-F96C-45E2-95B7-D20B640F1434}" destId="{E329D78F-D1D8-454B-AE1F-55B6AF318977}" srcOrd="1" destOrd="0" parTransId="{13159E79-3F9A-473F-80B4-373D24ED5FB9}" sibTransId="{41FC330B-E7F8-4974-AD09-136158D07080}"/>
    <dgm:cxn modelId="{C946DD66-EA17-47E4-A503-77EAA79B409E}" srcId="{38036044-F96C-45E2-95B7-D20B640F1434}" destId="{F255884A-E536-498A-B793-A9A71F2582D5}" srcOrd="2" destOrd="0" parTransId="{D4296CB9-17CC-4E6B-8542-353B0E1F1E2F}" sibTransId="{DEBC0DE4-4DAD-496C-9CDA-C0564B65CA6D}"/>
    <dgm:cxn modelId="{4C2DBD57-86F9-492C-86B1-32CB07C20A81}" type="presOf" srcId="{F255884A-E536-498A-B793-A9A71F2582D5}" destId="{895A50F9-8660-4255-A00D-48FF156924CE}" srcOrd="0" destOrd="0" presId="urn:microsoft.com/office/officeart/2005/8/layout/process1"/>
    <dgm:cxn modelId="{90ACA8A8-0149-469A-95C9-4B53B1F8752C}" type="presOf" srcId="{41FC330B-E7F8-4974-AD09-136158D07080}" destId="{B4F3CB05-77DB-4BAC-9C9B-DCA204C17957}" srcOrd="1" destOrd="0" presId="urn:microsoft.com/office/officeart/2005/8/layout/process1"/>
    <dgm:cxn modelId="{8AB59533-FFF1-43C1-AF27-A0BF390174D5}" type="presOf" srcId="{DEBC0DE4-4DAD-496C-9CDA-C0564B65CA6D}" destId="{1C449322-141A-41CF-B6C2-BCF4757ED197}" srcOrd="1" destOrd="0" presId="urn:microsoft.com/office/officeart/2005/8/layout/process1"/>
    <dgm:cxn modelId="{5CF44A62-69B0-438F-9307-A7812F374DCF}" type="presOf" srcId="{25C87DF0-BC34-4124-AE0D-273688CF02D9}" destId="{81D489CD-E13F-4192-9890-3FBACCF7C8D8}" srcOrd="1" destOrd="0" presId="urn:microsoft.com/office/officeart/2005/8/layout/process1"/>
    <dgm:cxn modelId="{5A0ECB95-C3D4-460B-A624-B4BDAE4AAEC6}" type="presOf" srcId="{20210F28-1C94-4BA2-9F97-798C617CA9B2}" destId="{7FCFC2D8-7EA7-40CC-AFCA-D197007E8E12}" srcOrd="0" destOrd="0" presId="urn:microsoft.com/office/officeart/2005/8/layout/process1"/>
    <dgm:cxn modelId="{463D318B-3B9E-4309-AFCB-3EB3004CD922}" type="presOf" srcId="{EAF0E460-9D4B-4FEF-8B45-73347A83B868}" destId="{BE187F03-CA95-4917-9C9A-8DD7221B1C5F}" srcOrd="0" destOrd="0" presId="urn:microsoft.com/office/officeart/2005/8/layout/process1"/>
    <dgm:cxn modelId="{7D4C0D3E-6776-41DF-99F2-EECA1E1A60AF}" type="presOf" srcId="{41FC330B-E7F8-4974-AD09-136158D07080}" destId="{7BEF322D-B005-43F4-8109-FEAD1E7BF2BA}" srcOrd="0" destOrd="0" presId="urn:microsoft.com/office/officeart/2005/8/layout/process1"/>
    <dgm:cxn modelId="{B3038F64-672D-4317-92FA-C7480A583156}" type="presOf" srcId="{38036044-F96C-45E2-95B7-D20B640F1434}" destId="{A718AACC-0F3A-4893-A480-8BCEC774C416}" srcOrd="0" destOrd="0" presId="urn:microsoft.com/office/officeart/2005/8/layout/process1"/>
    <dgm:cxn modelId="{D5FD3186-DA51-460B-8E94-230A09973059}" type="presOf" srcId="{69728977-3ED2-40F1-A929-FF9DEBA24D96}" destId="{9F7EF594-8F65-479D-87D4-8075C655EC6F}" srcOrd="0" destOrd="0" presId="urn:microsoft.com/office/officeart/2005/8/layout/process1"/>
    <dgm:cxn modelId="{BC2EF3CD-416F-4B5B-AC15-3E84E36F18CF}" type="presOf" srcId="{E329D78F-D1D8-454B-AE1F-55B6AF318977}" destId="{958C1DBA-B7E9-4CB9-8E30-21B94EEFEB46}" srcOrd="0" destOrd="0" presId="urn:microsoft.com/office/officeart/2005/8/layout/process1"/>
    <dgm:cxn modelId="{035E5ACF-7B4F-4141-B715-350166CC9792}" type="presOf" srcId="{18DF2948-196E-4AC1-9FB6-14FAE01BB45E}" destId="{784D5F61-D359-4805-96D3-A1845FB34E46}" srcOrd="0" destOrd="0" presId="urn:microsoft.com/office/officeart/2005/8/layout/process1"/>
    <dgm:cxn modelId="{757E987F-F480-42F4-AD4C-1FAED5CD0D23}" srcId="{38036044-F96C-45E2-95B7-D20B640F1434}" destId="{EAF0E460-9D4B-4FEF-8B45-73347A83B868}" srcOrd="3" destOrd="0" parTransId="{770AD140-3085-4CC5-A3FE-3D8FFD0E8369}" sibTransId="{20210F28-1C94-4BA2-9F97-798C617CA9B2}"/>
    <dgm:cxn modelId="{43E92693-8C7A-4765-BB58-E038E99467A8}" type="presOf" srcId="{DEBC0DE4-4DAD-496C-9CDA-C0564B65CA6D}" destId="{FD6754AA-06B2-4222-B023-5A0185633E24}" srcOrd="0" destOrd="0" presId="urn:microsoft.com/office/officeart/2005/8/layout/process1"/>
    <dgm:cxn modelId="{59FD3947-BD0D-4580-9D3B-FB1F092D9139}" type="presOf" srcId="{20210F28-1C94-4BA2-9F97-798C617CA9B2}" destId="{F46624E4-DA1E-4EEC-846E-1A85D50244F1}" srcOrd="1" destOrd="0" presId="urn:microsoft.com/office/officeart/2005/8/layout/process1"/>
    <dgm:cxn modelId="{303A53EB-CFE3-4A31-B7E9-28EAEE9C4E3F}" type="presParOf" srcId="{A718AACC-0F3A-4893-A480-8BCEC774C416}" destId="{9F7EF594-8F65-479D-87D4-8075C655EC6F}" srcOrd="0" destOrd="0" presId="urn:microsoft.com/office/officeart/2005/8/layout/process1"/>
    <dgm:cxn modelId="{5EF29997-EE2D-40E3-BEF9-E7677D3EAE56}" type="presParOf" srcId="{A718AACC-0F3A-4893-A480-8BCEC774C416}" destId="{569DC1E0-7B58-4E03-B47A-C85A2735BBB4}" srcOrd="1" destOrd="0" presId="urn:microsoft.com/office/officeart/2005/8/layout/process1"/>
    <dgm:cxn modelId="{E557571A-4324-4862-B9AF-5FF8B360EB2D}" type="presParOf" srcId="{569DC1E0-7B58-4E03-B47A-C85A2735BBB4}" destId="{81D489CD-E13F-4192-9890-3FBACCF7C8D8}" srcOrd="0" destOrd="0" presId="urn:microsoft.com/office/officeart/2005/8/layout/process1"/>
    <dgm:cxn modelId="{ABE72355-2CEE-4C5B-B515-4787F50C843B}" type="presParOf" srcId="{A718AACC-0F3A-4893-A480-8BCEC774C416}" destId="{958C1DBA-B7E9-4CB9-8E30-21B94EEFEB46}" srcOrd="2" destOrd="0" presId="urn:microsoft.com/office/officeart/2005/8/layout/process1"/>
    <dgm:cxn modelId="{50E36CD0-7AF7-4AD8-BD52-2457A2617065}" type="presParOf" srcId="{A718AACC-0F3A-4893-A480-8BCEC774C416}" destId="{7BEF322D-B005-43F4-8109-FEAD1E7BF2BA}" srcOrd="3" destOrd="0" presId="urn:microsoft.com/office/officeart/2005/8/layout/process1"/>
    <dgm:cxn modelId="{4572A6E4-E4AA-4FA5-8CCC-06EAA9A88D4F}" type="presParOf" srcId="{7BEF322D-B005-43F4-8109-FEAD1E7BF2BA}" destId="{B4F3CB05-77DB-4BAC-9C9B-DCA204C17957}" srcOrd="0" destOrd="0" presId="urn:microsoft.com/office/officeart/2005/8/layout/process1"/>
    <dgm:cxn modelId="{7254E7C8-7040-4FDB-A4D1-9C7BB0F5F723}" type="presParOf" srcId="{A718AACC-0F3A-4893-A480-8BCEC774C416}" destId="{895A50F9-8660-4255-A00D-48FF156924CE}" srcOrd="4" destOrd="0" presId="urn:microsoft.com/office/officeart/2005/8/layout/process1"/>
    <dgm:cxn modelId="{0EFEB0DE-834E-4C60-AC40-92391F50C43F}" type="presParOf" srcId="{A718AACC-0F3A-4893-A480-8BCEC774C416}" destId="{FD6754AA-06B2-4222-B023-5A0185633E24}" srcOrd="5" destOrd="0" presId="urn:microsoft.com/office/officeart/2005/8/layout/process1"/>
    <dgm:cxn modelId="{01A4B7F2-F33E-4326-9E23-EF1C6D27B0A3}" type="presParOf" srcId="{FD6754AA-06B2-4222-B023-5A0185633E24}" destId="{1C449322-141A-41CF-B6C2-BCF4757ED197}" srcOrd="0" destOrd="0" presId="urn:microsoft.com/office/officeart/2005/8/layout/process1"/>
    <dgm:cxn modelId="{CEAE1950-6E19-44EA-A608-7B84BA5DBDF1}" type="presParOf" srcId="{A718AACC-0F3A-4893-A480-8BCEC774C416}" destId="{BE187F03-CA95-4917-9C9A-8DD7221B1C5F}" srcOrd="6" destOrd="0" presId="urn:microsoft.com/office/officeart/2005/8/layout/process1"/>
    <dgm:cxn modelId="{26A3B910-997B-457E-8213-C39CC46B7140}" type="presParOf" srcId="{A718AACC-0F3A-4893-A480-8BCEC774C416}" destId="{7FCFC2D8-7EA7-40CC-AFCA-D197007E8E12}" srcOrd="7" destOrd="0" presId="urn:microsoft.com/office/officeart/2005/8/layout/process1"/>
    <dgm:cxn modelId="{8E43AB7C-EE99-4157-8165-EFFB7C8B5283}" type="presParOf" srcId="{7FCFC2D8-7EA7-40CC-AFCA-D197007E8E12}" destId="{F46624E4-DA1E-4EEC-846E-1A85D50244F1}" srcOrd="0" destOrd="0" presId="urn:microsoft.com/office/officeart/2005/8/layout/process1"/>
    <dgm:cxn modelId="{C1D6629F-C119-4C7A-939C-15B6A4DE0DD1}" type="presParOf" srcId="{A718AACC-0F3A-4893-A480-8BCEC774C416}" destId="{784D5F61-D359-4805-96D3-A1845FB34E46}" srcOrd="8"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EF594-8F65-479D-87D4-8075C655EC6F}">
      <dsp:nvSpPr>
        <dsp:cNvPr id="0" name=""/>
        <dsp:cNvSpPr/>
      </dsp:nvSpPr>
      <dsp:spPr>
        <a:xfrm>
          <a:off x="133350" y="168144"/>
          <a:ext cx="743138" cy="186731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Identification of need</a:t>
          </a: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(Multi Agency Professionals)</a:t>
          </a:r>
        </a:p>
      </dsp:txBody>
      <dsp:txXfrm>
        <a:off x="155116" y="189910"/>
        <a:ext cx="699606" cy="1823785"/>
      </dsp:txXfrm>
    </dsp:sp>
    <dsp:sp modelId="{569DC1E0-7B58-4E03-B47A-C85A2735BBB4}">
      <dsp:nvSpPr>
        <dsp:cNvPr id="0" name=""/>
        <dsp:cNvSpPr/>
      </dsp:nvSpPr>
      <dsp:spPr>
        <a:xfrm rot="36867">
          <a:off x="943501" y="993875"/>
          <a:ext cx="142081" cy="22678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solidFill>
              <a:sysClr val="window" lastClr="FFFFFF"/>
            </a:solidFill>
            <a:latin typeface="Calibri" panose="020F0502020204030204"/>
            <a:ea typeface="+mn-ea"/>
            <a:cs typeface="+mn-cs"/>
          </a:endParaRPr>
        </a:p>
      </dsp:txBody>
      <dsp:txXfrm>
        <a:off x="943502" y="1039003"/>
        <a:ext cx="99457" cy="136072"/>
      </dsp:txXfrm>
    </dsp:sp>
    <dsp:sp modelId="{958C1DBA-B7E9-4CB9-8E30-21B94EEFEB46}">
      <dsp:nvSpPr>
        <dsp:cNvPr id="0" name=""/>
        <dsp:cNvSpPr/>
      </dsp:nvSpPr>
      <dsp:spPr>
        <a:xfrm>
          <a:off x="1144551" y="190626"/>
          <a:ext cx="817027" cy="184483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n-GB" sz="1100" kern="1200">
            <a:solidFill>
              <a:sysClr val="window" lastClr="FFFFFF"/>
            </a:solidFill>
            <a:latin typeface="Calibri" panose="020F0502020204030204"/>
            <a:ea typeface="+mn-ea"/>
            <a:cs typeface="+mn-cs"/>
          </a:endParaRP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Integrated Assessment</a:t>
          </a:r>
        </a:p>
        <a:p>
          <a:pPr lvl="0" algn="ctr" defTabSz="488950">
            <a:lnSpc>
              <a:spcPct val="90000"/>
            </a:lnSpc>
            <a:spcBef>
              <a:spcPct val="0"/>
            </a:spcBef>
            <a:spcAft>
              <a:spcPct val="35000"/>
            </a:spcAft>
          </a:pPr>
          <a:endParaRPr lang="en-GB" sz="1100" kern="1200">
            <a:solidFill>
              <a:sysClr val="window" lastClr="FFFFFF"/>
            </a:solidFill>
            <a:latin typeface="Calibri" panose="020F0502020204030204"/>
            <a:ea typeface="+mn-ea"/>
            <a:cs typeface="+mn-cs"/>
          </a:endParaRP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 Using FACE (Resource Allocation Tool)</a:t>
          </a:r>
        </a:p>
        <a:p>
          <a:pPr lvl="0" algn="ctr" defTabSz="488950">
            <a:lnSpc>
              <a:spcPct val="90000"/>
            </a:lnSpc>
            <a:spcBef>
              <a:spcPct val="0"/>
            </a:spcBef>
            <a:spcAft>
              <a:spcPct val="35000"/>
            </a:spcAft>
          </a:pPr>
          <a:endParaRPr lang="en-GB" sz="1100" kern="1200">
            <a:solidFill>
              <a:sysClr val="window" lastClr="FFFFFF"/>
            </a:solidFill>
            <a:latin typeface="Calibri" panose="020F0502020204030204"/>
            <a:ea typeface="+mn-ea"/>
            <a:cs typeface="+mn-cs"/>
          </a:endParaRP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(CCG Children's Continuing Healthcare Assessor/With input from Children's Social Care</a:t>
          </a:r>
        </a:p>
      </dsp:txBody>
      <dsp:txXfrm>
        <a:off x="1168481" y="214556"/>
        <a:ext cx="769167" cy="1796975"/>
      </dsp:txXfrm>
    </dsp:sp>
    <dsp:sp modelId="{7BEF322D-B005-43F4-8109-FEAD1E7BF2BA}">
      <dsp:nvSpPr>
        <dsp:cNvPr id="0" name=""/>
        <dsp:cNvSpPr/>
      </dsp:nvSpPr>
      <dsp:spPr>
        <a:xfrm rot="21560278">
          <a:off x="2018625" y="993572"/>
          <a:ext cx="120955" cy="22678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solidFill>
              <a:sysClr val="window" lastClr="FFFFFF"/>
            </a:solidFill>
            <a:latin typeface="Calibri" panose="020F0502020204030204"/>
            <a:ea typeface="+mn-ea"/>
            <a:cs typeface="+mn-cs"/>
          </a:endParaRPr>
        </a:p>
      </dsp:txBody>
      <dsp:txXfrm>
        <a:off x="2018626" y="1039139"/>
        <a:ext cx="84669" cy="136072"/>
      </dsp:txXfrm>
    </dsp:sp>
    <dsp:sp modelId="{895A50F9-8660-4255-A00D-48FF156924CE}">
      <dsp:nvSpPr>
        <dsp:cNvPr id="0" name=""/>
        <dsp:cNvSpPr/>
      </dsp:nvSpPr>
      <dsp:spPr>
        <a:xfrm>
          <a:off x="2189781" y="164539"/>
          <a:ext cx="984154" cy="18709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EHC Panel</a:t>
          </a:r>
        </a:p>
        <a:p>
          <a:pPr lvl="0" algn="ctr" defTabSz="488950">
            <a:lnSpc>
              <a:spcPct val="90000"/>
            </a:lnSpc>
            <a:spcBef>
              <a:spcPct val="0"/>
            </a:spcBef>
            <a:spcAft>
              <a:spcPct val="35000"/>
            </a:spcAft>
          </a:pPr>
          <a:endParaRPr lang="en-GB" sz="1100" kern="1200">
            <a:solidFill>
              <a:sysClr val="window" lastClr="FFFFFF"/>
            </a:solidFill>
            <a:latin typeface="Calibri" panose="020F0502020204030204"/>
            <a:ea typeface="+mn-ea"/>
            <a:cs typeface="+mn-cs"/>
          </a:endParaRP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(Multi-agency panel, </a:t>
          </a: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Chaired by Head of SEND and Head of Integrated Commissioning)</a:t>
          </a:r>
        </a:p>
      </dsp:txBody>
      <dsp:txXfrm>
        <a:off x="2218606" y="193364"/>
        <a:ext cx="926504" cy="1813272"/>
      </dsp:txXfrm>
    </dsp:sp>
    <dsp:sp modelId="{FD6754AA-06B2-4222-B023-5A0185633E24}">
      <dsp:nvSpPr>
        <dsp:cNvPr id="0" name=""/>
        <dsp:cNvSpPr/>
      </dsp:nvSpPr>
      <dsp:spPr>
        <a:xfrm rot="21557026">
          <a:off x="3282836" y="975703"/>
          <a:ext cx="142581" cy="22678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solidFill>
              <a:sysClr val="window" lastClr="FFFFFF"/>
            </a:solidFill>
            <a:latin typeface="Calibri" panose="020F0502020204030204"/>
            <a:ea typeface="+mn-ea"/>
            <a:cs typeface="+mn-cs"/>
          </a:endParaRPr>
        </a:p>
      </dsp:txBody>
      <dsp:txXfrm>
        <a:off x="3282838" y="1021327"/>
        <a:ext cx="99807" cy="136072"/>
      </dsp:txXfrm>
    </dsp:sp>
    <dsp:sp modelId="{BE187F03-CA95-4917-9C9A-8DD7221B1C5F}">
      <dsp:nvSpPr>
        <dsp:cNvPr id="0" name=""/>
        <dsp:cNvSpPr/>
      </dsp:nvSpPr>
      <dsp:spPr>
        <a:xfrm>
          <a:off x="3442938" y="132114"/>
          <a:ext cx="1071604" cy="190334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Brokerage of additional provision</a:t>
          </a:r>
        </a:p>
        <a:p>
          <a:pPr lvl="0" algn="ctr" defTabSz="488950">
            <a:lnSpc>
              <a:spcPct val="90000"/>
            </a:lnSpc>
            <a:spcBef>
              <a:spcPct val="0"/>
            </a:spcBef>
            <a:spcAft>
              <a:spcPct val="35000"/>
            </a:spcAft>
          </a:pPr>
          <a:endParaRPr lang="en-GB" sz="1100" kern="1200">
            <a:solidFill>
              <a:sysClr val="window" lastClr="FFFFFF"/>
            </a:solidFill>
            <a:latin typeface="Calibri" panose="020F0502020204030204"/>
            <a:ea typeface="+mn-ea"/>
            <a:cs typeface="+mn-cs"/>
          </a:endParaRP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(Provider to be confirmed)</a:t>
          </a:r>
        </a:p>
      </dsp:txBody>
      <dsp:txXfrm>
        <a:off x="3474324" y="163500"/>
        <a:ext cx="1008832" cy="1840575"/>
      </dsp:txXfrm>
    </dsp:sp>
    <dsp:sp modelId="{7FCFC2D8-7EA7-40CC-AFCA-D197007E8E12}">
      <dsp:nvSpPr>
        <dsp:cNvPr id="0" name=""/>
        <dsp:cNvSpPr/>
      </dsp:nvSpPr>
      <dsp:spPr>
        <a:xfrm rot="21532763">
          <a:off x="4662375" y="965473"/>
          <a:ext cx="123021" cy="22678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solidFill>
              <a:sysClr val="window" lastClr="FFFFFF"/>
            </a:solidFill>
            <a:latin typeface="Calibri" panose="020F0502020204030204"/>
            <a:ea typeface="+mn-ea"/>
            <a:cs typeface="+mn-cs"/>
          </a:endParaRPr>
        </a:p>
      </dsp:txBody>
      <dsp:txXfrm>
        <a:off x="4662379" y="1011191"/>
        <a:ext cx="86115" cy="136072"/>
      </dsp:txXfrm>
    </dsp:sp>
    <dsp:sp modelId="{784D5F61-D359-4805-96D3-A1845FB34E46}">
      <dsp:nvSpPr>
        <dsp:cNvPr id="0" name=""/>
        <dsp:cNvSpPr/>
      </dsp:nvSpPr>
      <dsp:spPr>
        <a:xfrm>
          <a:off x="4901169" y="134651"/>
          <a:ext cx="1028780" cy="184206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Service Provider by AQP</a:t>
          </a:r>
        </a:p>
        <a:p>
          <a:pPr lvl="0" algn="ctr" defTabSz="488950">
            <a:lnSpc>
              <a:spcPct val="90000"/>
            </a:lnSpc>
            <a:spcBef>
              <a:spcPct val="0"/>
            </a:spcBef>
            <a:spcAft>
              <a:spcPct val="35000"/>
            </a:spcAft>
          </a:pPr>
          <a:endParaRPr lang="en-GB" sz="1100" kern="1200">
            <a:solidFill>
              <a:sysClr val="window" lastClr="FFFFFF"/>
            </a:solidFill>
            <a:latin typeface="Calibri" panose="020F0502020204030204"/>
            <a:ea typeface="+mn-ea"/>
            <a:cs typeface="+mn-cs"/>
          </a:endParaRPr>
        </a:p>
        <a:p>
          <a:pPr lvl="0" algn="ctr" defTabSz="488950">
            <a:lnSpc>
              <a:spcPct val="90000"/>
            </a:lnSpc>
            <a:spcBef>
              <a:spcPct val="0"/>
            </a:spcBef>
            <a:spcAft>
              <a:spcPct val="35000"/>
            </a:spcAft>
          </a:pPr>
          <a:r>
            <a:rPr lang="en-GB" sz="1100" kern="1200">
              <a:solidFill>
                <a:sysClr val="window" lastClr="FFFFFF"/>
              </a:solidFill>
              <a:latin typeface="Calibri" panose="020F0502020204030204"/>
              <a:ea typeface="+mn-ea"/>
              <a:cs typeface="+mn-cs"/>
            </a:rPr>
            <a:t>(Provider to be confirmed hrough procurement</a:t>
          </a:r>
          <a:r>
            <a:rPr lang="en-GB" sz="1800" kern="1200">
              <a:solidFill>
                <a:sysClr val="window" lastClr="FFFFFF"/>
              </a:solidFill>
              <a:latin typeface="Calibri" panose="020F0502020204030204"/>
              <a:ea typeface="+mn-ea"/>
              <a:cs typeface="+mn-cs"/>
            </a:rPr>
            <a:t>)</a:t>
          </a:r>
        </a:p>
      </dsp:txBody>
      <dsp:txXfrm>
        <a:off x="4931301" y="164783"/>
        <a:ext cx="968516" cy="17817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Baronti (Wandsworth CCG)</dc:creator>
  <cp:lastModifiedBy>Phil Gouldbourn</cp:lastModifiedBy>
  <cp:revision>2</cp:revision>
  <dcterms:created xsi:type="dcterms:W3CDTF">2017-01-27T13:56:00Z</dcterms:created>
  <dcterms:modified xsi:type="dcterms:W3CDTF">2017-01-27T13:56:00Z</dcterms:modified>
</cp:coreProperties>
</file>