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7DF8" w14:textId="24CEC634" w:rsidR="0004101F" w:rsidRPr="00C666CA" w:rsidRDefault="00C666CA" w:rsidP="00C666CA">
      <w:pPr>
        <w:jc w:val="center"/>
        <w:rPr>
          <w:b/>
          <w:bCs/>
          <w:sz w:val="28"/>
          <w:szCs w:val="28"/>
          <w:u w:val="single"/>
        </w:rPr>
      </w:pPr>
      <w:r w:rsidRPr="00C666CA">
        <w:rPr>
          <w:b/>
          <w:bCs/>
          <w:sz w:val="28"/>
          <w:szCs w:val="28"/>
          <w:u w:val="single"/>
        </w:rPr>
        <w:t xml:space="preserve">Clarification for </w:t>
      </w:r>
      <w:r w:rsidRPr="00C666CA">
        <w:rPr>
          <w:b/>
          <w:bCs/>
          <w:sz w:val="28"/>
          <w:szCs w:val="28"/>
          <w:u w:val="single"/>
        </w:rPr>
        <w:t>ENVWLB00619R/1 and ENVWLB00619R/2</w:t>
      </w:r>
    </w:p>
    <w:p w14:paraId="09A9209C" w14:textId="77777777" w:rsidR="00C666CA" w:rsidRDefault="00C666CA" w:rsidP="00C666CA">
      <w:pPr>
        <w:jc w:val="center"/>
        <w:rPr>
          <w:rFonts w:eastAsia="Times New Roman"/>
          <w:b/>
          <w:bCs/>
          <w:sz w:val="28"/>
          <w:szCs w:val="28"/>
          <w:u w:val="single"/>
        </w:rPr>
      </w:pPr>
    </w:p>
    <w:p w14:paraId="408DE1B4" w14:textId="77777777" w:rsidR="00C666CA" w:rsidRDefault="00C666CA" w:rsidP="00C666CA">
      <w:r>
        <w:t>If you are unable to offer a telemetered solution, please do submit a tender for the non-telemetered equipment which will be most appropriate for this requirement. Please specify the measurement interval and transmission interval (if telemetered) of any logging equipment, and the typical frequency when the equipment would need to be visited to download data and to change the batteries for a 15-minute logging rate. Please also raise any uncertainties about the equipment in your tender submission.</w:t>
      </w:r>
    </w:p>
    <w:p w14:paraId="1E189780" w14:textId="77777777" w:rsidR="00C666CA" w:rsidRDefault="00C666CA" w:rsidP="00C666CA">
      <w:r>
        <w:t xml:space="preserve">If you are unable to deliver </w:t>
      </w:r>
      <w:proofErr w:type="gramStart"/>
      <w:r>
        <w:t>all of</w:t>
      </w:r>
      <w:proofErr w:type="gramEnd"/>
      <w:r>
        <w:t xml:space="preserve"> the equipment outlined in the project specification by 28th March 2024, we would like to invite any tenders which propose different kit with a slightly different functionality. Additionally, we would invite tenders which are able to provide most of the equipment in time but may not be able to deliver minor parts of equipment, such as leads and connectors. However, with regards to the latter, we would still need an overall price for all equipment.</w:t>
      </w:r>
    </w:p>
    <w:p w14:paraId="3078CC90" w14:textId="77777777" w:rsidR="00C666CA" w:rsidRDefault="00C666CA" w:rsidP="00C666CA">
      <w:r>
        <w:t>Please note the purpose of this tender exercise is to explore the overall quantity of equipment we can purchase and therefore, the number of sites we can equip within the budget stated - £40,000 to £45,000. As shown in Appendix D, we require quotes to be provided for a specific number of sites / units of kit so we can compare quotes during the tender evaluation stage.</w:t>
      </w:r>
    </w:p>
    <w:p w14:paraId="254C7998" w14:textId="77777777" w:rsidR="00C666CA" w:rsidRDefault="00C666CA" w:rsidP="00C666CA">
      <w:r>
        <w:t>Please note that within Appendix D of both tender documents, the quantity stated within the 2nd column of Appendix D titled Total unit (six sites) is the quantity for all 6 sites. So, the figure stated would need to be divided by 6 to calculate the number of units for an individual site unless the figure stated in the column is 1 - in which case, we will require 1 of these units in total. An example being 1 x cable and software to enable download data from the equipment.</w:t>
      </w:r>
    </w:p>
    <w:p w14:paraId="01E1886D" w14:textId="77777777" w:rsidR="00C666CA" w:rsidRDefault="00C666CA" w:rsidP="00C666CA">
      <w:r>
        <w:t>Please note these tender exercises do not include a requirement for the installation of equipment. We are only seeking to purchase equipment at this stage. The installation of equipment will follow under a separate tender exercise (Phase 3).</w:t>
      </w:r>
    </w:p>
    <w:p w14:paraId="23707469" w14:textId="443B66A9" w:rsidR="00C666CA" w:rsidRDefault="00C666CA" w:rsidP="00C666CA">
      <w:r>
        <w:t>Please note there are two separate tender exercises running in parallel relating to the purchase of monitoring equipment for this project - one for water levels and one for flow - references: ENVWLB00619R/1 and ENVWLB00619R/2, respectively.</w:t>
      </w:r>
    </w:p>
    <w:p w14:paraId="2C4811B7" w14:textId="77777777" w:rsidR="00C666CA" w:rsidRDefault="00C666CA" w:rsidP="00C666CA">
      <w:pPr>
        <w:rPr>
          <w:lang w:val="en-US"/>
        </w:rPr>
      </w:pPr>
      <w:r>
        <w:rPr>
          <w:lang w:val="en-US"/>
        </w:rPr>
        <w:t>Please note an expected water fluctuation and deployment depth based on two potential sites as a point of reference. Local monitoring borehole data suggests one site with a total water fluctuation range of 2m (average annual range of 0.58m) with a deployment depth between 28.85mAOD to 30.85mAOD (minimum to maximum, respectively with an average of 29.72mAOD). The second site has a total water fluctuation range of 1.81m (average annual range of 0.84m) with a deployment depth between 54.66mAOD to 56.47mAOD (minimum to maximum respectively, with an average annual range of 55.61mAOD).”</w:t>
      </w:r>
    </w:p>
    <w:p w14:paraId="63DC6DB3" w14:textId="77777777" w:rsidR="00C666CA" w:rsidRDefault="00C666CA" w:rsidP="00C666CA">
      <w:pPr>
        <w:rPr>
          <w:lang w:val="en-US"/>
        </w:rPr>
      </w:pPr>
    </w:p>
    <w:p w14:paraId="1A694C2A" w14:textId="77777777" w:rsidR="00C666CA" w:rsidRDefault="00C666CA" w:rsidP="00C666CA">
      <w:r>
        <w:t>“We would be happy to consider non-contact sensors. However, it is likely some of the sites will be boreholes/piezometers and not surface water level so the benefits may not be significant unless we wish to use them in boreholes.”</w:t>
      </w:r>
    </w:p>
    <w:p w14:paraId="549B9C75" w14:textId="77777777" w:rsidR="00C666CA" w:rsidRDefault="00C666CA" w:rsidP="00C666CA"/>
    <w:p w14:paraId="70CE0CFE" w14:textId="77777777" w:rsidR="00C666CA" w:rsidRDefault="00C666CA" w:rsidP="00C666CA">
      <w:r>
        <w:lastRenderedPageBreak/>
        <w:t xml:space="preserve">“We will be issuing an invitation to tender for installation (Phase 3) </w:t>
      </w:r>
      <w:proofErr w:type="gramStart"/>
      <w:r>
        <w:t>at a later date</w:t>
      </w:r>
      <w:proofErr w:type="gramEnd"/>
      <w:r>
        <w:t xml:space="preserve"> – at present, we have not determined when this will happen, but it will likely be over the next few months. This tender will be issued via a different procurement route – through Defra’s Atamis system.”</w:t>
      </w:r>
    </w:p>
    <w:p w14:paraId="32E955F0" w14:textId="77777777" w:rsidR="00C666CA" w:rsidRDefault="00C666CA" w:rsidP="00C666CA">
      <w:r>
        <w:t>“Please note any infrastructure required for fixing monitoring equipment in place will be determined by the design of the feature, permissions granted from landowner’s and site dependency. At present these are unknown.</w:t>
      </w:r>
    </w:p>
    <w:p w14:paraId="600447E6" w14:textId="77777777" w:rsidR="00C666CA" w:rsidRDefault="00C666CA" w:rsidP="00C666CA">
      <w:r>
        <w:t>“There may be some flexibility on the size (diameter) of the piezometers depending on what is required but this will be decided at the later stages of the project.”</w:t>
      </w:r>
    </w:p>
    <w:p w14:paraId="07DC6C10" w14:textId="77777777" w:rsidR="00C666CA" w:rsidRDefault="00C666CA" w:rsidP="00C666CA">
      <w:r>
        <w:t xml:space="preserve">“Please note, in terms of access to data, we would likely prefer an open database system through cloud storage system with the ability to download the data, preferably, in an Excel spreadsheet form but we would discuss other options. I would like to re-iterate we are also open to non-telemetered options as per our previous clarification. The data will be used to achieve our set monitoring objectives which relates to Phase 3 of the project. </w:t>
      </w:r>
    </w:p>
    <w:p w14:paraId="7E2DFA19" w14:textId="77777777" w:rsidR="00C666CA" w:rsidRPr="00C666CA" w:rsidRDefault="00C666CA" w:rsidP="00C666CA"/>
    <w:sectPr w:rsidR="00C666CA" w:rsidRPr="00C66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CA"/>
    <w:rsid w:val="0004101F"/>
    <w:rsid w:val="004E79FF"/>
    <w:rsid w:val="00865379"/>
    <w:rsid w:val="00955687"/>
    <w:rsid w:val="00C666CA"/>
    <w:rsid w:val="00DF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4C3F"/>
  <w15:chartTrackingRefBased/>
  <w15:docId w15:val="{963F26A2-B5BE-4B67-A796-43E548BE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6CA"/>
    <w:rPr>
      <w:rFonts w:eastAsiaTheme="majorEastAsia" w:cstheme="majorBidi"/>
      <w:color w:val="272727" w:themeColor="text1" w:themeTint="D8"/>
    </w:rPr>
  </w:style>
  <w:style w:type="paragraph" w:styleId="Title">
    <w:name w:val="Title"/>
    <w:basedOn w:val="Normal"/>
    <w:next w:val="Normal"/>
    <w:link w:val="TitleChar"/>
    <w:uiPriority w:val="10"/>
    <w:qFormat/>
    <w:rsid w:val="00C66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6CA"/>
    <w:pPr>
      <w:spacing w:before="160"/>
      <w:jc w:val="center"/>
    </w:pPr>
    <w:rPr>
      <w:i/>
      <w:iCs/>
      <w:color w:val="404040" w:themeColor="text1" w:themeTint="BF"/>
    </w:rPr>
  </w:style>
  <w:style w:type="character" w:customStyle="1" w:styleId="QuoteChar">
    <w:name w:val="Quote Char"/>
    <w:basedOn w:val="DefaultParagraphFont"/>
    <w:link w:val="Quote"/>
    <w:uiPriority w:val="29"/>
    <w:rsid w:val="00C666CA"/>
    <w:rPr>
      <w:i/>
      <w:iCs/>
      <w:color w:val="404040" w:themeColor="text1" w:themeTint="BF"/>
    </w:rPr>
  </w:style>
  <w:style w:type="paragraph" w:styleId="ListParagraph">
    <w:name w:val="List Paragraph"/>
    <w:basedOn w:val="Normal"/>
    <w:uiPriority w:val="34"/>
    <w:qFormat/>
    <w:rsid w:val="00C666CA"/>
    <w:pPr>
      <w:ind w:left="720"/>
      <w:contextualSpacing/>
    </w:pPr>
  </w:style>
  <w:style w:type="character" w:styleId="IntenseEmphasis">
    <w:name w:val="Intense Emphasis"/>
    <w:basedOn w:val="DefaultParagraphFont"/>
    <w:uiPriority w:val="21"/>
    <w:qFormat/>
    <w:rsid w:val="00C666CA"/>
    <w:rPr>
      <w:i/>
      <w:iCs/>
      <w:color w:val="0F4761" w:themeColor="accent1" w:themeShade="BF"/>
    </w:rPr>
  </w:style>
  <w:style w:type="paragraph" w:styleId="IntenseQuote">
    <w:name w:val="Intense Quote"/>
    <w:basedOn w:val="Normal"/>
    <w:next w:val="Normal"/>
    <w:link w:val="IntenseQuoteChar"/>
    <w:uiPriority w:val="30"/>
    <w:qFormat/>
    <w:rsid w:val="00C66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6CA"/>
    <w:rPr>
      <w:i/>
      <w:iCs/>
      <w:color w:val="0F4761" w:themeColor="accent1" w:themeShade="BF"/>
    </w:rPr>
  </w:style>
  <w:style w:type="character" w:styleId="IntenseReference">
    <w:name w:val="Intense Reference"/>
    <w:basedOn w:val="DefaultParagraphFont"/>
    <w:uiPriority w:val="32"/>
    <w:qFormat/>
    <w:rsid w:val="00C666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3669</Characters>
  <Application>Microsoft Office Word</Application>
  <DocSecurity>0</DocSecurity>
  <Lines>30</Lines>
  <Paragraphs>8</Paragraphs>
  <ScaleCrop>false</ScaleCrop>
  <Company>Defra</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Helen</dc:creator>
  <cp:keywords/>
  <dc:description/>
  <cp:lastModifiedBy>Povey, Helen</cp:lastModifiedBy>
  <cp:revision>1</cp:revision>
  <dcterms:created xsi:type="dcterms:W3CDTF">2024-02-29T17:04:00Z</dcterms:created>
  <dcterms:modified xsi:type="dcterms:W3CDTF">2024-02-29T17:10:00Z</dcterms:modified>
</cp:coreProperties>
</file>