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11 (Processing Data)</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“Processor Personnel”</w:t>
            </w:r>
          </w:p>
        </w:tc>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Status of the Controller</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one Party is Controller and the other Party its Processor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gjdgxs" w:id="0"/>
    <w:bookmarkEnd w:id="0"/>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30j0zll" w:id="1"/>
    <w:bookmarkEnd w:id="1"/>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1fob9te" w:id="2"/>
    <w:bookmarkEnd w:id="2"/>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3znysh7" w:id="3"/>
      <w:bookmarkEnd w:id="3"/>
      <w:r w:rsidDel="00000000" w:rsidR="00000000" w:rsidRPr="00000000">
        <w:rPr>
          <w:rtl w:val="0"/>
        </w:rPr>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2et92p0" w:id="4"/>
    <w:bookmarkEnd w:id="4"/>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 of the Core Terms;</w:t>
      </w:r>
    </w:p>
    <w:p w:rsidR="00000000" w:rsidDel="00000000" w:rsidP="00000000" w:rsidRDefault="00000000" w:rsidRPr="00000000" w14:paraId="00000021">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1"/>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5"/>
    <w:bookmarkEnd w:id="5"/>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EU unless the prior written consent of the Controller has been obtained and the following conditions are fulfilled:</w:t>
      </w:r>
    </w:p>
    <w:bookmarkStart w:colFirst="0" w:colLast="0" w:name="bookmark=id.3dy6vkm" w:id="6"/>
    <w:bookmarkEnd w:id="6"/>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1t3h5sf" w:id="7"/>
    <w:bookmarkEnd w:id="7"/>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4d34og8" w:id="8"/>
    <w:bookmarkEnd w:id="8"/>
    <w:p w:rsidR="00000000" w:rsidDel="00000000" w:rsidP="00000000" w:rsidRDefault="00000000" w:rsidRPr="00000000" w14:paraId="00000027">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2s8eyo1" w:id="9"/>
    <w:bookmarkEnd w:id="9"/>
    <w:p w:rsidR="00000000" w:rsidDel="00000000" w:rsidP="00000000" w:rsidRDefault="00000000" w:rsidRPr="00000000" w14:paraId="00000028">
      <w:pPr>
        <w:numPr>
          <w:ilvl w:val="3"/>
          <w:numId w:val="1"/>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17dp8vu" w:id="10"/>
    <w:bookmarkEnd w:id="10"/>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3rdcrjn" w:id="11"/>
    <w:bookmarkEnd w:id="11"/>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8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7 of this Joint Schedule 11 shall include the provision of further information to the Controller, as details become available.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3"/>
    <w:bookmarkEnd w:id="13"/>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4"/>
    <w:bookmarkEnd w:id="14"/>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the Parties are Joint Controllers of Personal Data </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Controllers of Personal Data </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1"/>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1"/>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63">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 are:</w:t>
      </w:r>
      <w:r w:rsidDel="00000000" w:rsidR="00000000" w:rsidRPr="00000000">
        <w:rPr>
          <w:rtl w:val="0"/>
        </w:rPr>
      </w:r>
    </w:p>
    <w:p w:rsidR="00000000" w:rsidDel="00000000" w:rsidP="00000000" w:rsidRDefault="00000000" w:rsidRPr="00000000" w14:paraId="00000064">
      <w:pPr>
        <w:widowControl w:val="0"/>
        <w:tabs>
          <w:tab w:val="left" w:leader="none"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r w:rsidDel="00000000" w:rsidR="00000000" w:rsidRPr="00000000">
        <w:rPr>
          <w:rtl w:val="0"/>
        </w:rPr>
      </w:r>
    </w:p>
    <w:p w:rsidR="00000000" w:rsidDel="00000000" w:rsidP="00000000" w:rsidRDefault="00000000" w:rsidRPr="00000000" w14:paraId="00000065">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66">
      <w:pPr>
        <w:widowControl w:val="0"/>
        <w:tabs>
          <w:tab w:val="left" w:leader="none"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r w:rsidDel="00000000" w:rsidR="00000000" w:rsidRPr="00000000">
        <w:rPr>
          <w:rtl w:val="0"/>
        </w:rPr>
      </w:r>
    </w:p>
    <w:p w:rsidR="00000000" w:rsidDel="00000000" w:rsidP="00000000" w:rsidRDefault="00000000" w:rsidRPr="00000000" w14:paraId="00000067">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8">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9">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6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6E">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6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Business contact details of Supplier Personnel for which the Supplier is the Controller; and</w:t>
            </w:r>
          </w:p>
          <w:p w:rsidR="00000000" w:rsidDel="00000000" w:rsidP="00000000" w:rsidRDefault="00000000" w:rsidRPr="00000000" w14:paraId="00000071">
            <w:pPr>
              <w:numPr>
                <w:ilvl w:val="0"/>
                <w:numId w:val="2"/>
              </w:numPr>
              <w:ind w:left="720" w:hanging="36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Business contact details of any directors, officers, employees, agents, consultants and contractors of the Relevant Authority (excluding the Supplier Personnel) engaged in the performance of the Relevant Authority’s duties under this Call-Off Contract) for which the Relevant Authority is the Controller.</w:t>
            </w:r>
            <w:r w:rsidDel="00000000" w:rsidR="00000000" w:rsidRPr="00000000">
              <w:rPr>
                <w:rFonts w:ascii="Arial" w:cs="Arial" w:eastAsia="Arial" w:hAnsi="Arial"/>
                <w:i w:val="1"/>
                <w:sz w:val="24"/>
                <w:szCs w:val="24"/>
                <w:rtl w:val="0"/>
              </w:rPr>
              <w:t xml:space="preserve"> </w:t>
            </w:r>
          </w:p>
        </w:tc>
      </w:tr>
      <w:tr>
        <w:trPr>
          <w:cantSplit w:val="0"/>
          <w:trHeight w:val="1460" w:hRule="atLeast"/>
          <w:tblHeader w:val="0"/>
        </w:trPr>
        <w:tc>
          <w:tcPr>
            <w:shd w:fill="auto" w:val="clear"/>
          </w:tcPr>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processing will take place during the full term of the Call-Off Contract including any extension options.</w:t>
            </w:r>
            <w:r w:rsidDel="00000000" w:rsidR="00000000" w:rsidRPr="00000000">
              <w:rPr>
                <w:rtl w:val="0"/>
              </w:rPr>
            </w:r>
          </w:p>
        </w:tc>
      </w:tr>
      <w:tr>
        <w:trPr>
          <w:cantSplit w:val="0"/>
          <w:trHeight w:val="1520" w:hRule="atLeast"/>
          <w:tblHeader w:val="0"/>
        </w:trPr>
        <w:tc>
          <w:tcPr>
            <w:shd w:fill="auto" w:val="clear"/>
          </w:tcPr>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To facilitate the day-to-day management and performance of obligations under the Call-Off Contract, including exit management and other associated activities.</w:t>
            </w: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77">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Personal details of either Party’s Staff or any other Users of the Services provided to facilitate the day-to-day management and performance of obligations under the Call-Off Contract, and any other Personal Data which is the subject of the transaction, including but not limited to:</w:t>
            </w:r>
          </w:p>
          <w:p w:rsidR="00000000" w:rsidDel="00000000" w:rsidP="00000000" w:rsidRDefault="00000000" w:rsidRPr="00000000" w14:paraId="00000078">
            <w:pPr>
              <w:numPr>
                <w:ilvl w:val="0"/>
                <w:numId w:val="2"/>
              </w:numP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Names;</w:t>
            </w:r>
          </w:p>
          <w:p w:rsidR="00000000" w:rsidDel="00000000" w:rsidP="00000000" w:rsidRDefault="00000000" w:rsidRPr="00000000" w14:paraId="00000079">
            <w:pPr>
              <w:numPr>
                <w:ilvl w:val="0"/>
                <w:numId w:val="2"/>
              </w:numP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Workplace address;</w:t>
            </w:r>
          </w:p>
          <w:p w:rsidR="00000000" w:rsidDel="00000000" w:rsidP="00000000" w:rsidRDefault="00000000" w:rsidRPr="00000000" w14:paraId="0000007A">
            <w:pPr>
              <w:numPr>
                <w:ilvl w:val="0"/>
                <w:numId w:val="2"/>
              </w:numP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Home address</w:t>
            </w:r>
          </w:p>
          <w:p w:rsidR="00000000" w:rsidDel="00000000" w:rsidP="00000000" w:rsidRDefault="00000000" w:rsidRPr="00000000" w14:paraId="0000007B">
            <w:pPr>
              <w:numPr>
                <w:ilvl w:val="0"/>
                <w:numId w:val="2"/>
              </w:numP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Workplace phone number;</w:t>
            </w:r>
          </w:p>
          <w:p w:rsidR="00000000" w:rsidDel="00000000" w:rsidP="00000000" w:rsidRDefault="00000000" w:rsidRPr="00000000" w14:paraId="0000007C">
            <w:pPr>
              <w:numPr>
                <w:ilvl w:val="0"/>
                <w:numId w:val="2"/>
              </w:numP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Workplace email address; and</w:t>
            </w:r>
          </w:p>
          <w:p w:rsidR="00000000" w:rsidDel="00000000" w:rsidP="00000000" w:rsidRDefault="00000000" w:rsidRPr="00000000" w14:paraId="0000007D">
            <w:pPr>
              <w:numPr>
                <w:ilvl w:val="0"/>
                <w:numId w:val="2"/>
              </w:numP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Work mobile phone number.</w:t>
            </w:r>
          </w:p>
          <w:p w:rsidR="00000000" w:rsidDel="00000000" w:rsidP="00000000" w:rsidRDefault="00000000" w:rsidRPr="00000000" w14:paraId="0000007E">
            <w:pPr>
              <w:numPr>
                <w:ilvl w:val="0"/>
                <w:numId w:val="2"/>
              </w:numPr>
              <w:spacing w:after="0" w:line="240" w:lineRule="auto"/>
              <w:ind w:left="720" w:hanging="360"/>
              <w:jc w:val="both"/>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Date of Birth</w:t>
            </w: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80">
            <w:pPr>
              <w:numPr>
                <w:ilvl w:val="0"/>
                <w:numId w:val="2"/>
              </w:numP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Either Party’s Staff (including volunteers, agents and temporary workers), customers, clients, suppliers, members of the public and any other Users of the Services under this Call-Off Contract. number.</w:t>
            </w:r>
          </w:p>
          <w:p w:rsidR="00000000" w:rsidDel="00000000" w:rsidP="00000000" w:rsidRDefault="00000000" w:rsidRPr="00000000" w14:paraId="00000081">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Date of Birth</w:t>
            </w: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8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As per the respective Controller’s Privacy Policy and</w:t>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Annex D_data-protection-policy</w:t>
            </w:r>
            <w:r w:rsidDel="00000000" w:rsidR="00000000" w:rsidRPr="00000000">
              <w:rPr>
                <w:rtl w:val="0"/>
              </w:rPr>
            </w:r>
          </w:p>
        </w:tc>
      </w:tr>
    </w:tbl>
    <w:p w:rsidR="00000000" w:rsidDel="00000000" w:rsidP="00000000" w:rsidRDefault="00000000" w:rsidRPr="00000000" w14:paraId="00000086">
      <w:pPr>
        <w:rPr>
          <w:rFonts w:ascii="Arial" w:cs="Arial" w:eastAsia="Arial" w:hAnsi="Arial"/>
          <w:b w:val="1"/>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87">
      <w:pPr>
        <w:rPr>
          <w:rFonts w:ascii="Arial" w:cs="Arial" w:eastAsia="Arial" w:hAnsi="Arial"/>
          <w:b w:val="1"/>
          <w:color w:val="000000"/>
          <w:sz w:val="24"/>
          <w:szCs w:val="24"/>
        </w:rPr>
      </w:pPr>
      <w:bookmarkStart w:colFirst="0" w:colLast="0" w:name="_heading=h.44sinio" w:id="16"/>
      <w:bookmarkEnd w:id="16"/>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0"/>
        <w:szCs w:val="20"/>
        <w:rtl w:val="0"/>
      </w:rPr>
      <w:t xml:space="preserve">Model Version: v4.3</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-13329</wp:posOffset>
          </wp:positionV>
          <wp:extent cx="849085" cy="685627"/>
          <wp:effectExtent b="0" l="0" r="0" t="0"/>
          <wp:wrapNone/>
          <wp:docPr descr="Crown Commercial Service" id="3"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11 (Processing Data)</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Contract Ref: </w:t>
    </w:r>
    <w:r w:rsidDel="00000000" w:rsidR="00000000" w:rsidRPr="00000000">
      <w:rPr>
        <w:rFonts w:ascii="Arial" w:cs="Arial" w:eastAsia="Arial" w:hAnsi="Arial"/>
        <w:sz w:val="20"/>
        <w:szCs w:val="20"/>
        <w:rtl w:val="0"/>
      </w:rPr>
      <w:t xml:space="preserve">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UlcWhlnjEeN5kQ+YnRfPNTNQ==">CgMxLjAyCWlkLmdqZGd4czIKaWQuMzBqMHpsbDIKaWQuMWZvYjl0ZTIKaWQuM3pueXNoNzIKaWQuMmV0OTJwMDIJaWQudHlqY3d0MgppZC4zZHk2dmttMgppZC4xdDNoNXNmMgppZC40ZDM0b2c4MgppZC4yczhleW8xMgppZC4xN2RwOHZ1MgppZC4zcmRjcmpuMgloLjI2aW4xcmcyCWlkLmxueGJ6OTIKaWQuMzVua3VuMjIKaWQuMWtzdjR1djIJaC40NHNpbmlvOAByITE3M2ZCTVFqVkFHWlpWQ2RMeFpBMUY2ZVNjTVlQeXdZ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gCurrentVersion">
    <vt:lpwstr>17 November 2017 D1V5</vt:lpwstr>
  </property>
</Properties>
</file>