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14161901"/>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14161902"/>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14161903"/>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14161904"/>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‘self cleaning’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 xml:space="preserve">If you cannot provide evidence of ‘self cleaning’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‘self cleaning’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‘self cleaning’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14161905"/>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514161906"/>
      <w:r w:rsidRPr="0040469F">
        <w:t>Award</w:t>
      </w:r>
      <w:r>
        <w:t xml:space="preserve"> Stage</w:t>
      </w:r>
      <w:r w:rsidR="000F79C5">
        <w:t xml:space="preserve"> and the award questionnaire (“AQ”)</w:t>
      </w:r>
      <w:bookmarkEnd w:id="16"/>
    </w:p>
    <w:p w14:paraId="11563517" w14:textId="5536727B"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691C2A">
        <w:rPr>
          <w:i/>
        </w:rPr>
        <w:t>7</w:t>
      </w:r>
      <w:r w:rsidR="00074644">
        <w:rPr>
          <w:i/>
        </w:rPr>
        <w:t xml:space="preserve"> </w:t>
      </w:r>
      <w:r w:rsidR="00ED1187">
        <w:rPr>
          <w:i/>
        </w:rPr>
        <w:t xml:space="preserve">– Award Questionnaire </w:t>
      </w:r>
      <w:r w:rsidR="00ED1187">
        <w:t xml:space="preserve">and </w:t>
      </w:r>
      <w:r>
        <w:t xml:space="preserve">an evaluation of the prices tendered in response to </w:t>
      </w:r>
      <w:r w:rsidR="00691C2A">
        <w:rPr>
          <w:i/>
        </w:rPr>
        <w:t>Attachment 8</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63CFA12A" w:rsidR="00074644" w:rsidRPr="00074644" w:rsidRDefault="00691C2A" w:rsidP="00FB392B">
            <w:pPr>
              <w:pStyle w:val="MarginText"/>
              <w:spacing w:before="60" w:after="60"/>
              <w:jc w:val="center"/>
              <w:rPr>
                <w:rFonts w:ascii="Helvetica Neue" w:hAnsi="Helvetica Neue"/>
                <w:sz w:val="20"/>
              </w:rPr>
            </w:pPr>
            <w:r>
              <w:rPr>
                <w:rFonts w:ascii="Helvetica Neue" w:hAnsi="Helvetica Neue"/>
                <w:sz w:val="20"/>
              </w:rPr>
              <w:t>8</w:t>
            </w:r>
            <w:r w:rsidR="002276BD">
              <w:rPr>
                <w:rFonts w:ascii="Helvetica Neue" w:hAnsi="Helvetica Neue"/>
                <w:sz w:val="20"/>
              </w:rPr>
              <w:t>0</w:t>
            </w:r>
          </w:p>
        </w:tc>
        <w:tc>
          <w:tcPr>
            <w:tcW w:w="1637" w:type="pct"/>
          </w:tcPr>
          <w:p w14:paraId="0A33BE1C" w14:textId="08381949" w:rsidR="00074644" w:rsidRPr="00074644" w:rsidRDefault="00691C2A" w:rsidP="00FB392B">
            <w:pPr>
              <w:pStyle w:val="MarginText"/>
              <w:spacing w:before="60" w:after="60"/>
              <w:jc w:val="center"/>
              <w:rPr>
                <w:rFonts w:ascii="Helvetica Neue" w:hAnsi="Helvetica Neue"/>
                <w:sz w:val="20"/>
              </w:rPr>
            </w:pPr>
            <w:r>
              <w:rPr>
                <w:rFonts w:ascii="Helvetica Neue" w:hAnsi="Helvetica Neue"/>
                <w:sz w:val="20"/>
              </w:rPr>
              <w:t>2</w:t>
            </w:r>
            <w:r w:rsidR="002276BD">
              <w:rPr>
                <w:rFonts w:ascii="Helvetica Neue" w:hAnsi="Helvetica Neue"/>
                <w:sz w:val="20"/>
              </w:rPr>
              <w:t>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80561B"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 xml:space="preserve">Attachment </w:t>
      </w:r>
      <w:r w:rsidR="00691C2A">
        <w:t>7</w:t>
      </w:r>
      <w:r w:rsidRPr="00074644">
        <w:t xml:space="preserve">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7" w:name="_Toc514161907"/>
      <w:r>
        <w:lastRenderedPageBreak/>
        <w:t>Award Questionnaire Assessment</w:t>
      </w:r>
      <w:bookmarkEnd w:id="1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369"/>
        <w:gridCol w:w="3377"/>
        <w:gridCol w:w="3483"/>
        <w:gridCol w:w="1308"/>
        <w:gridCol w:w="1152"/>
      </w:tblGrid>
      <w:tr w:rsidR="005D6FF0" w:rsidRPr="00B60016" w14:paraId="14D07939" w14:textId="289BEDB8" w:rsidTr="00691C2A">
        <w:trPr>
          <w:tblHeader/>
        </w:trPr>
        <w:tc>
          <w:tcPr>
            <w:tcW w:w="450"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08"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1"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49"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9"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3"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691C2A" w:rsidRPr="00D601AC" w14:paraId="1CAF92AF" w14:textId="46EC254E" w:rsidTr="00691C2A">
        <w:tc>
          <w:tcPr>
            <w:tcW w:w="450" w:type="pct"/>
            <w:shd w:val="clear" w:color="auto" w:fill="auto"/>
          </w:tcPr>
          <w:p w14:paraId="1CC73642" w14:textId="7BEA8341" w:rsidR="00691C2A" w:rsidRPr="00074644" w:rsidRDefault="00691C2A" w:rsidP="00691C2A">
            <w:pPr>
              <w:spacing w:after="240"/>
              <w:outlineLvl w:val="2"/>
              <w:rPr>
                <w:color w:val="000000"/>
                <w:szCs w:val="20"/>
              </w:rPr>
            </w:pPr>
            <w:r w:rsidRPr="00074644">
              <w:rPr>
                <w:b/>
              </w:rPr>
              <w:t>AQ1</w:t>
            </w:r>
          </w:p>
        </w:tc>
        <w:tc>
          <w:tcPr>
            <w:tcW w:w="1208" w:type="pct"/>
          </w:tcPr>
          <w:p w14:paraId="40AF9FC0" w14:textId="08FF0481" w:rsidR="00691C2A" w:rsidRPr="001B71CE" w:rsidRDefault="00691C2A" w:rsidP="00691C2A">
            <w:pPr>
              <w:rPr>
                <w:b/>
                <w:color w:val="000000"/>
                <w:szCs w:val="20"/>
                <w:highlight w:val="yellow"/>
              </w:rPr>
            </w:pPr>
            <w:r w:rsidRPr="00174FC5">
              <w:rPr>
                <w:b/>
                <w:color w:val="000000"/>
                <w:szCs w:val="20"/>
              </w:rPr>
              <w:t>Overview / Executive Summary</w:t>
            </w:r>
          </w:p>
        </w:tc>
        <w:tc>
          <w:tcPr>
            <w:tcW w:w="1211" w:type="pct"/>
          </w:tcPr>
          <w:p w14:paraId="21DF1712" w14:textId="3A5C7E6D" w:rsidR="00691C2A" w:rsidRPr="001B71CE" w:rsidRDefault="00691C2A" w:rsidP="00691C2A">
            <w:pPr>
              <w:spacing w:after="240"/>
              <w:outlineLvl w:val="2"/>
              <w:rPr>
                <w:color w:val="000000"/>
                <w:szCs w:val="20"/>
                <w:highlight w:val="yellow"/>
              </w:rPr>
            </w:pPr>
            <w:r w:rsidRPr="009F4B21">
              <w:rPr>
                <w:color w:val="000000"/>
                <w:szCs w:val="20"/>
              </w:rPr>
              <w:t>Please provide a concise summary highlighting the key aspects of the proposal.</w:t>
            </w:r>
          </w:p>
        </w:tc>
        <w:tc>
          <w:tcPr>
            <w:tcW w:w="1249" w:type="pct"/>
            <w:shd w:val="clear" w:color="auto" w:fill="auto"/>
          </w:tcPr>
          <w:p w14:paraId="7103CBD4" w14:textId="096AF0AF" w:rsidR="00691C2A" w:rsidRPr="002276BD" w:rsidRDefault="00691C2A" w:rsidP="00691C2A">
            <w:pPr>
              <w:spacing w:after="240"/>
              <w:outlineLvl w:val="2"/>
              <w:rPr>
                <w:color w:val="000000"/>
                <w:szCs w:val="20"/>
              </w:rPr>
            </w:pPr>
            <w:r w:rsidRPr="009F4B21">
              <w:rPr>
                <w:color w:val="000000"/>
                <w:szCs w:val="20"/>
              </w:rPr>
              <w:t>This response is not evaluated and should be used to contextualise the Tenderer’s response.</w:t>
            </w:r>
          </w:p>
        </w:tc>
        <w:tc>
          <w:tcPr>
            <w:tcW w:w="469" w:type="pct"/>
          </w:tcPr>
          <w:p w14:paraId="39AF7F33" w14:textId="66A01388" w:rsidR="00691C2A" w:rsidRPr="002276BD" w:rsidRDefault="00691C2A" w:rsidP="00691C2A">
            <w:pPr>
              <w:spacing w:after="240"/>
              <w:outlineLvl w:val="2"/>
              <w:rPr>
                <w:color w:val="000000"/>
                <w:szCs w:val="20"/>
              </w:rPr>
            </w:pPr>
            <w:r>
              <w:rPr>
                <w:color w:val="000000"/>
                <w:szCs w:val="20"/>
              </w:rPr>
              <w:t>N/A</w:t>
            </w:r>
          </w:p>
        </w:tc>
        <w:tc>
          <w:tcPr>
            <w:tcW w:w="413" w:type="pct"/>
          </w:tcPr>
          <w:p w14:paraId="6C600E78" w14:textId="261A3DD2" w:rsidR="00691C2A" w:rsidRPr="002276BD" w:rsidRDefault="00691C2A" w:rsidP="00691C2A">
            <w:pPr>
              <w:spacing w:after="240"/>
              <w:outlineLvl w:val="2"/>
              <w:rPr>
                <w:rFonts w:cs="Times New Roman"/>
                <w:bCs/>
              </w:rPr>
            </w:pPr>
            <w:r>
              <w:rPr>
                <w:rFonts w:cs="Times New Roman"/>
                <w:bCs/>
              </w:rPr>
              <w:t>500</w:t>
            </w:r>
          </w:p>
        </w:tc>
      </w:tr>
      <w:tr w:rsidR="00691C2A" w:rsidRPr="00D601AC" w14:paraId="1A6A7115" w14:textId="3C17F938" w:rsidTr="00691C2A">
        <w:tc>
          <w:tcPr>
            <w:tcW w:w="450" w:type="pct"/>
            <w:shd w:val="clear" w:color="auto" w:fill="auto"/>
          </w:tcPr>
          <w:p w14:paraId="7DB96AB1" w14:textId="147E00F1" w:rsidR="00691C2A" w:rsidRPr="005D6FF0" w:rsidRDefault="00691C2A" w:rsidP="00691C2A">
            <w:pPr>
              <w:spacing w:after="240"/>
              <w:outlineLvl w:val="2"/>
              <w:rPr>
                <w:b/>
                <w:highlight w:val="yellow"/>
              </w:rPr>
            </w:pPr>
            <w:r w:rsidRPr="00074644">
              <w:rPr>
                <w:b/>
              </w:rPr>
              <w:t>AQ2</w:t>
            </w:r>
          </w:p>
        </w:tc>
        <w:tc>
          <w:tcPr>
            <w:tcW w:w="1208" w:type="pct"/>
          </w:tcPr>
          <w:p w14:paraId="685779A7" w14:textId="57C26CF7" w:rsidR="00691C2A" w:rsidRPr="001B71CE" w:rsidRDefault="00691C2A" w:rsidP="00691C2A">
            <w:pPr>
              <w:spacing w:after="240"/>
              <w:outlineLvl w:val="2"/>
              <w:rPr>
                <w:color w:val="000000"/>
                <w:szCs w:val="20"/>
                <w:highlight w:val="yellow"/>
              </w:rPr>
            </w:pPr>
            <w:r>
              <w:rPr>
                <w:b/>
              </w:rPr>
              <w:t>Leadership and Resource Plan</w:t>
            </w:r>
          </w:p>
        </w:tc>
        <w:tc>
          <w:tcPr>
            <w:tcW w:w="1211" w:type="pct"/>
          </w:tcPr>
          <w:p w14:paraId="31E5DCA0" w14:textId="58DB2B1A" w:rsidR="00691C2A" w:rsidRPr="002276BD" w:rsidRDefault="00691C2A" w:rsidP="00691C2A">
            <w:r>
              <w:t>Please p</w:t>
            </w:r>
            <w:r w:rsidRPr="00E70D9E">
              <w:t>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tc>
        <w:tc>
          <w:tcPr>
            <w:tcW w:w="1249" w:type="pct"/>
            <w:shd w:val="clear" w:color="auto" w:fill="auto"/>
          </w:tcPr>
          <w:p w14:paraId="6B116972" w14:textId="77777777" w:rsidR="00691C2A" w:rsidRPr="00FF590F" w:rsidRDefault="00691C2A" w:rsidP="00691C2A">
            <w:pPr>
              <w:pStyle w:val="ListParagraph"/>
              <w:ind w:left="90" w:firstLine="0"/>
              <w:rPr>
                <w:color w:val="000000"/>
              </w:rPr>
            </w:pPr>
            <w:r w:rsidRPr="00FF590F">
              <w:rPr>
                <w:color w:val="000000"/>
              </w:rPr>
              <w:t>The Tenderer’s response should show that it:</w:t>
            </w:r>
          </w:p>
          <w:p w14:paraId="160734ED" w14:textId="77777777" w:rsidR="00691C2A" w:rsidRPr="00FF590F" w:rsidRDefault="00691C2A" w:rsidP="00691C2A">
            <w:pPr>
              <w:pStyle w:val="ListParagraph"/>
              <w:ind w:left="360" w:hanging="270"/>
              <w:jc w:val="left"/>
              <w:rPr>
                <w:color w:val="000000"/>
              </w:rPr>
            </w:pPr>
            <w:r w:rsidRPr="00FF590F">
              <w:rPr>
                <w:color w:val="000000"/>
              </w:rPr>
              <w:t>-</w:t>
            </w:r>
            <w:r w:rsidRPr="00FF590F">
              <w:rPr>
                <w:color w:val="000000"/>
              </w:rPr>
              <w:tab/>
              <w:t>Has leadership arrangements, project management and planning proposed is sufficient and suitable to ensure successful delivery.</w:t>
            </w:r>
          </w:p>
          <w:p w14:paraId="2D861AFA" w14:textId="77777777" w:rsidR="00691C2A" w:rsidRPr="00FF590F" w:rsidRDefault="00691C2A" w:rsidP="00691C2A">
            <w:pPr>
              <w:pStyle w:val="ListParagraph"/>
              <w:ind w:left="360" w:hanging="270"/>
              <w:jc w:val="left"/>
              <w:rPr>
                <w:color w:val="000000"/>
              </w:rPr>
            </w:pPr>
            <w:r w:rsidRPr="00FF590F">
              <w:rPr>
                <w:color w:val="000000"/>
              </w:rPr>
              <w:t>-</w:t>
            </w:r>
            <w:r w:rsidRPr="00FF590F">
              <w:rPr>
                <w:color w:val="000000"/>
              </w:rPr>
              <w:tab/>
              <w:t xml:space="preserve">Leadership have relevant qualifications and experience. </w:t>
            </w:r>
          </w:p>
          <w:p w14:paraId="0CC5A91D" w14:textId="77777777" w:rsidR="00691C2A" w:rsidRPr="00FF590F" w:rsidRDefault="00691C2A" w:rsidP="00691C2A">
            <w:pPr>
              <w:pStyle w:val="ListParagraph"/>
              <w:ind w:left="360" w:hanging="270"/>
              <w:jc w:val="left"/>
              <w:rPr>
                <w:color w:val="000000"/>
              </w:rPr>
            </w:pPr>
            <w:r w:rsidRPr="00FF590F">
              <w:rPr>
                <w:color w:val="000000"/>
              </w:rPr>
              <w:t>-</w:t>
            </w:r>
            <w:r w:rsidRPr="00FF590F">
              <w:rPr>
                <w:color w:val="000000"/>
              </w:rPr>
              <w:tab/>
              <w:t>Has provided sufficient resource to deliver the Method Statement proposals.</w:t>
            </w:r>
          </w:p>
          <w:p w14:paraId="15F56B2B" w14:textId="77777777" w:rsidR="00691C2A" w:rsidRPr="00FF590F" w:rsidRDefault="00691C2A" w:rsidP="00691C2A">
            <w:pPr>
              <w:pStyle w:val="ListParagraph"/>
              <w:ind w:left="360" w:hanging="270"/>
              <w:jc w:val="left"/>
              <w:rPr>
                <w:color w:val="000000"/>
              </w:rPr>
            </w:pPr>
            <w:r w:rsidRPr="00FF590F">
              <w:rPr>
                <w:color w:val="000000"/>
              </w:rPr>
              <w:t>-</w:t>
            </w:r>
            <w:r w:rsidRPr="00FF590F">
              <w:rPr>
                <w:color w:val="000000"/>
              </w:rPr>
              <w:tab/>
              <w:t>Has identified appropriate management of these resources with defined roles and responsibilities.</w:t>
            </w:r>
          </w:p>
          <w:p w14:paraId="040E2772" w14:textId="031D1BDA" w:rsidR="00691C2A" w:rsidRPr="002276BD" w:rsidRDefault="00691C2A" w:rsidP="00691C2A">
            <w:pPr>
              <w:pStyle w:val="ListParagraph"/>
              <w:tabs>
                <w:tab w:val="clear" w:pos="1800"/>
              </w:tabs>
              <w:overflowPunct w:val="0"/>
              <w:autoSpaceDE w:val="0"/>
              <w:autoSpaceDN w:val="0"/>
              <w:adjustRightInd/>
              <w:ind w:left="360" w:firstLine="0"/>
              <w:jc w:val="left"/>
              <w:textAlignment w:val="baseline"/>
            </w:pPr>
            <w:r w:rsidRPr="00FF590F">
              <w:rPr>
                <w:color w:val="000000"/>
              </w:rPr>
              <w:lastRenderedPageBreak/>
              <w:t>-</w:t>
            </w:r>
            <w:r w:rsidRPr="00FF590F">
              <w:rPr>
                <w:color w:val="000000"/>
              </w:rPr>
              <w:tab/>
              <w:t>Has assigned suitably qualified and experience resource for service delivery.</w:t>
            </w:r>
          </w:p>
        </w:tc>
        <w:tc>
          <w:tcPr>
            <w:tcW w:w="469" w:type="pct"/>
          </w:tcPr>
          <w:p w14:paraId="2E0BEC06" w14:textId="0EC23BC3" w:rsidR="00691C2A" w:rsidRPr="002276BD" w:rsidRDefault="00691C2A" w:rsidP="00691C2A">
            <w:pPr>
              <w:spacing w:after="240"/>
              <w:outlineLvl w:val="2"/>
              <w:rPr>
                <w:color w:val="000000"/>
                <w:szCs w:val="20"/>
              </w:rPr>
            </w:pPr>
            <w:r>
              <w:rPr>
                <w:color w:val="000000"/>
                <w:szCs w:val="20"/>
              </w:rPr>
              <w:lastRenderedPageBreak/>
              <w:t>20%</w:t>
            </w:r>
          </w:p>
        </w:tc>
        <w:tc>
          <w:tcPr>
            <w:tcW w:w="413" w:type="pct"/>
          </w:tcPr>
          <w:p w14:paraId="7EC0BB46" w14:textId="4C7B58D8" w:rsidR="00691C2A" w:rsidRPr="002276BD" w:rsidRDefault="00691C2A" w:rsidP="00691C2A">
            <w:pPr>
              <w:spacing w:after="240"/>
              <w:outlineLvl w:val="2"/>
              <w:rPr>
                <w:color w:val="000000"/>
                <w:szCs w:val="20"/>
              </w:rPr>
            </w:pPr>
            <w:r>
              <w:rPr>
                <w:color w:val="000000"/>
                <w:szCs w:val="20"/>
              </w:rPr>
              <w:t>1500</w:t>
            </w:r>
          </w:p>
        </w:tc>
      </w:tr>
      <w:tr w:rsidR="00691C2A" w:rsidRPr="00D601AC" w14:paraId="00674FE8" w14:textId="77777777" w:rsidTr="00691C2A">
        <w:tc>
          <w:tcPr>
            <w:tcW w:w="450" w:type="pct"/>
            <w:shd w:val="clear" w:color="auto" w:fill="auto"/>
          </w:tcPr>
          <w:p w14:paraId="0CF0D74A" w14:textId="553FE856" w:rsidR="00691C2A" w:rsidRPr="00074644" w:rsidRDefault="00691C2A" w:rsidP="00691C2A">
            <w:pPr>
              <w:spacing w:after="240"/>
              <w:outlineLvl w:val="2"/>
              <w:rPr>
                <w:b/>
              </w:rPr>
            </w:pPr>
            <w:r>
              <w:rPr>
                <w:b/>
              </w:rPr>
              <w:t>AQ3</w:t>
            </w:r>
          </w:p>
        </w:tc>
        <w:tc>
          <w:tcPr>
            <w:tcW w:w="1208" w:type="pct"/>
          </w:tcPr>
          <w:p w14:paraId="0E7FDB2C" w14:textId="330C3F5F" w:rsidR="00691C2A" w:rsidRPr="001B71CE" w:rsidRDefault="00691C2A" w:rsidP="00691C2A">
            <w:pPr>
              <w:spacing w:after="240"/>
              <w:outlineLvl w:val="2"/>
              <w:rPr>
                <w:color w:val="000000"/>
                <w:szCs w:val="20"/>
                <w:highlight w:val="yellow"/>
              </w:rPr>
            </w:pPr>
            <w:r>
              <w:rPr>
                <w:b/>
                <w:iCs/>
              </w:rPr>
              <w:t>Method Statement</w:t>
            </w:r>
          </w:p>
        </w:tc>
        <w:tc>
          <w:tcPr>
            <w:tcW w:w="1211" w:type="pct"/>
          </w:tcPr>
          <w:p w14:paraId="5A07DDAE" w14:textId="77E7DE60" w:rsidR="00691C2A" w:rsidRPr="001B71CE" w:rsidRDefault="00691C2A" w:rsidP="00691C2A">
            <w:pPr>
              <w:rPr>
                <w:highlight w:val="yellow"/>
              </w:rPr>
            </w:pPr>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tc>
        <w:tc>
          <w:tcPr>
            <w:tcW w:w="1249" w:type="pct"/>
            <w:shd w:val="clear" w:color="auto" w:fill="auto"/>
          </w:tcPr>
          <w:p w14:paraId="154AF1ED" w14:textId="77777777" w:rsidR="00691C2A" w:rsidRPr="00E448BB" w:rsidRDefault="00691C2A" w:rsidP="00691C2A">
            <w:r w:rsidRPr="00E448BB">
              <w:t>The Tenderer’s response shows that it:</w:t>
            </w:r>
          </w:p>
          <w:p w14:paraId="772FDE0C" w14:textId="77777777" w:rsidR="00691C2A" w:rsidRPr="00FF590F" w:rsidRDefault="00691C2A" w:rsidP="00691C2A">
            <w:pPr>
              <w:pStyle w:val="ListParagraph"/>
              <w:numPr>
                <w:ilvl w:val="0"/>
                <w:numId w:val="46"/>
              </w:numPr>
              <w:overflowPunct w:val="0"/>
              <w:autoSpaceDE w:val="0"/>
              <w:autoSpaceDN w:val="0"/>
              <w:ind w:left="360"/>
              <w:jc w:val="left"/>
              <w:textAlignment w:val="baseline"/>
            </w:pPr>
            <w:r w:rsidRPr="00FF590F">
              <w:t>Has a credible solution to ensure successful delivery.</w:t>
            </w:r>
          </w:p>
          <w:p w14:paraId="0266611C" w14:textId="77777777" w:rsidR="00691C2A" w:rsidRPr="00FF590F" w:rsidRDefault="00691C2A" w:rsidP="00691C2A">
            <w:pPr>
              <w:pStyle w:val="ListParagraph"/>
              <w:numPr>
                <w:ilvl w:val="0"/>
                <w:numId w:val="46"/>
              </w:numPr>
              <w:overflowPunct w:val="0"/>
              <w:autoSpaceDE w:val="0"/>
              <w:autoSpaceDN w:val="0"/>
              <w:ind w:left="360"/>
              <w:jc w:val="left"/>
              <w:textAlignment w:val="baseline"/>
            </w:pPr>
            <w:r w:rsidRPr="00FF590F">
              <w:t>Has identified and proposes suitable management of the delivery risks.</w:t>
            </w:r>
          </w:p>
          <w:p w14:paraId="7AD04CFA" w14:textId="2CA80E45" w:rsidR="00691C2A" w:rsidRPr="009F5834" w:rsidRDefault="00691C2A" w:rsidP="00691C2A">
            <w:pPr>
              <w:overflowPunct w:val="0"/>
              <w:autoSpaceDE w:val="0"/>
              <w:autoSpaceDN w:val="0"/>
              <w:ind w:left="601"/>
              <w:textAlignment w:val="baseline"/>
            </w:pPr>
            <w:r w:rsidRPr="00FF590F">
              <w:t xml:space="preserve">Has a quality assurance regime that monitors, measures and assures quality outcomes with standards for analysis, publication of work and data dissemination.  </w:t>
            </w:r>
            <w:r w:rsidRPr="00E23A50">
              <w:rPr>
                <w:b/>
              </w:rPr>
              <w:t xml:space="preserve"> </w:t>
            </w:r>
          </w:p>
        </w:tc>
        <w:tc>
          <w:tcPr>
            <w:tcW w:w="469" w:type="pct"/>
          </w:tcPr>
          <w:p w14:paraId="2425FAD3" w14:textId="46382F28" w:rsidR="00691C2A" w:rsidRPr="009F5834" w:rsidRDefault="00691C2A" w:rsidP="00691C2A">
            <w:pPr>
              <w:spacing w:after="240"/>
              <w:outlineLvl w:val="2"/>
              <w:rPr>
                <w:color w:val="000000"/>
                <w:szCs w:val="20"/>
              </w:rPr>
            </w:pPr>
            <w:r>
              <w:rPr>
                <w:color w:val="000000"/>
                <w:szCs w:val="20"/>
              </w:rPr>
              <w:t>40%</w:t>
            </w:r>
          </w:p>
        </w:tc>
        <w:tc>
          <w:tcPr>
            <w:tcW w:w="413" w:type="pct"/>
          </w:tcPr>
          <w:p w14:paraId="6014289F" w14:textId="7475E3F3" w:rsidR="00691C2A" w:rsidRPr="002276BD" w:rsidRDefault="00691C2A" w:rsidP="00691C2A">
            <w:pPr>
              <w:spacing w:after="240"/>
              <w:outlineLvl w:val="2"/>
              <w:rPr>
                <w:rFonts w:cs="Times New Roman"/>
                <w:bCs/>
              </w:rPr>
            </w:pPr>
            <w:r>
              <w:rPr>
                <w:color w:val="000000"/>
                <w:szCs w:val="20"/>
              </w:rPr>
              <w:t>2000</w:t>
            </w:r>
          </w:p>
        </w:tc>
      </w:tr>
      <w:tr w:rsidR="00691C2A" w:rsidRPr="00D601AC" w14:paraId="031A7ECC" w14:textId="77777777" w:rsidTr="00691C2A">
        <w:tc>
          <w:tcPr>
            <w:tcW w:w="450" w:type="pct"/>
            <w:shd w:val="clear" w:color="auto" w:fill="auto"/>
          </w:tcPr>
          <w:p w14:paraId="6FFB1CAC" w14:textId="0FC0FC9E" w:rsidR="00691C2A" w:rsidRPr="00074644" w:rsidRDefault="00691C2A" w:rsidP="00691C2A">
            <w:pPr>
              <w:spacing w:after="240"/>
              <w:outlineLvl w:val="2"/>
              <w:rPr>
                <w:b/>
              </w:rPr>
            </w:pPr>
            <w:r>
              <w:rPr>
                <w:b/>
              </w:rPr>
              <w:t>AQ4</w:t>
            </w:r>
          </w:p>
        </w:tc>
        <w:tc>
          <w:tcPr>
            <w:tcW w:w="1208" w:type="pct"/>
          </w:tcPr>
          <w:p w14:paraId="0F87EE6B" w14:textId="69B6D9FC" w:rsidR="00691C2A" w:rsidRPr="002276BD" w:rsidRDefault="00691C2A" w:rsidP="00691C2A">
            <w:pPr>
              <w:spacing w:after="240"/>
              <w:outlineLvl w:val="2"/>
              <w:rPr>
                <w:color w:val="000000"/>
                <w:szCs w:val="20"/>
              </w:rPr>
            </w:pPr>
            <w:r w:rsidRPr="006776F0">
              <w:rPr>
                <w:b/>
              </w:rPr>
              <w:t>Timetable and Deliverables</w:t>
            </w:r>
          </w:p>
        </w:tc>
        <w:tc>
          <w:tcPr>
            <w:tcW w:w="1211" w:type="pct"/>
          </w:tcPr>
          <w:p w14:paraId="6CD24321" w14:textId="26D58A5D" w:rsidR="00691C2A" w:rsidRPr="002276BD" w:rsidRDefault="00691C2A" w:rsidP="00691C2A">
            <w:pPr>
              <w:spacing w:after="240"/>
              <w:outlineLvl w:val="2"/>
              <w:rPr>
                <w:color w:val="000000"/>
                <w:szCs w:val="20"/>
              </w:rPr>
            </w:pPr>
            <w:r>
              <w:t>Please p</w:t>
            </w:r>
            <w:r w:rsidRPr="00E70D9E">
              <w:t xml:space="preserve">rovide a complete </w:t>
            </w:r>
            <w:r>
              <w:t>timetable</w:t>
            </w:r>
            <w:r w:rsidRPr="00E70D9E">
              <w:t xml:space="preserve"> for the delivery of the Specification</w:t>
            </w:r>
            <w:r>
              <w:t>.</w:t>
            </w:r>
          </w:p>
        </w:tc>
        <w:tc>
          <w:tcPr>
            <w:tcW w:w="1249" w:type="pct"/>
            <w:shd w:val="clear" w:color="auto" w:fill="auto"/>
          </w:tcPr>
          <w:p w14:paraId="6929E840" w14:textId="77777777" w:rsidR="00691C2A" w:rsidRPr="00EC7A7D" w:rsidRDefault="00691C2A" w:rsidP="00691C2A">
            <w:r w:rsidRPr="00EC7A7D">
              <w:t>The Tenderer’s response shows that it:</w:t>
            </w:r>
          </w:p>
          <w:p w14:paraId="07BFD09F" w14:textId="77777777" w:rsidR="00691C2A" w:rsidRDefault="00691C2A" w:rsidP="00691C2A">
            <w:pPr>
              <w:pStyle w:val="ListParagraph"/>
              <w:numPr>
                <w:ilvl w:val="0"/>
                <w:numId w:val="46"/>
              </w:numPr>
              <w:overflowPunct w:val="0"/>
              <w:autoSpaceDE w:val="0"/>
              <w:autoSpaceDN w:val="0"/>
              <w:ind w:left="360"/>
              <w:jc w:val="left"/>
              <w:textAlignment w:val="baseline"/>
            </w:pPr>
            <w:r>
              <w:t>Has a defined an achievable timeline with progress monitoring.</w:t>
            </w:r>
          </w:p>
          <w:p w14:paraId="59663509" w14:textId="64B3106B" w:rsidR="00691C2A" w:rsidRPr="009F5834" w:rsidRDefault="00691C2A" w:rsidP="00691C2A">
            <w:pPr>
              <w:pStyle w:val="ListParagraph"/>
              <w:tabs>
                <w:tab w:val="clear" w:pos="1800"/>
              </w:tabs>
              <w:overflowPunct w:val="0"/>
              <w:autoSpaceDE w:val="0"/>
              <w:autoSpaceDN w:val="0"/>
              <w:adjustRightInd/>
              <w:ind w:left="363" w:firstLine="0"/>
              <w:jc w:val="left"/>
              <w:textAlignment w:val="baseline"/>
            </w:pPr>
            <w:r>
              <w:t xml:space="preserve">Has defined the required deliverables and an achievable plan for producing them by the required dates. </w:t>
            </w:r>
            <w:r w:rsidRPr="00EC7A7D">
              <w:t xml:space="preserve"> </w:t>
            </w:r>
          </w:p>
        </w:tc>
        <w:tc>
          <w:tcPr>
            <w:tcW w:w="469" w:type="pct"/>
          </w:tcPr>
          <w:p w14:paraId="410D7169" w14:textId="4489BC9A" w:rsidR="00691C2A" w:rsidRPr="009F5834" w:rsidRDefault="00691C2A" w:rsidP="00691C2A">
            <w:pPr>
              <w:spacing w:after="240"/>
              <w:outlineLvl w:val="2"/>
              <w:rPr>
                <w:color w:val="000000"/>
                <w:szCs w:val="20"/>
              </w:rPr>
            </w:pPr>
            <w:r>
              <w:rPr>
                <w:color w:val="000000"/>
                <w:szCs w:val="20"/>
              </w:rPr>
              <w:t>20%</w:t>
            </w:r>
          </w:p>
        </w:tc>
        <w:tc>
          <w:tcPr>
            <w:tcW w:w="413" w:type="pct"/>
          </w:tcPr>
          <w:p w14:paraId="3BC4AC80" w14:textId="731530B7" w:rsidR="00691C2A" w:rsidRPr="002276BD" w:rsidRDefault="00691C2A" w:rsidP="00691C2A">
            <w:pPr>
              <w:spacing w:after="240"/>
              <w:outlineLvl w:val="2"/>
              <w:rPr>
                <w:rFonts w:cs="Times New Roman"/>
                <w:bCs/>
              </w:rPr>
            </w:pPr>
            <w:r>
              <w:rPr>
                <w:color w:val="000000"/>
                <w:szCs w:val="20"/>
              </w:rPr>
              <w:t>1500</w:t>
            </w:r>
          </w:p>
        </w:tc>
      </w:tr>
      <w:tr w:rsidR="00691C2A" w:rsidRPr="00D601AC" w14:paraId="4D955DBD" w14:textId="77777777" w:rsidTr="00691C2A">
        <w:tc>
          <w:tcPr>
            <w:tcW w:w="450" w:type="pct"/>
            <w:shd w:val="clear" w:color="auto" w:fill="auto"/>
          </w:tcPr>
          <w:p w14:paraId="24CE2B84" w14:textId="1317E76D" w:rsidR="00691C2A" w:rsidRPr="00074644" w:rsidRDefault="00691C2A" w:rsidP="00691C2A">
            <w:pPr>
              <w:spacing w:after="240"/>
              <w:outlineLvl w:val="2"/>
              <w:rPr>
                <w:b/>
              </w:rPr>
            </w:pPr>
            <w:r>
              <w:rPr>
                <w:b/>
              </w:rPr>
              <w:lastRenderedPageBreak/>
              <w:t>AQ5</w:t>
            </w:r>
          </w:p>
        </w:tc>
        <w:tc>
          <w:tcPr>
            <w:tcW w:w="1208" w:type="pct"/>
          </w:tcPr>
          <w:p w14:paraId="14683674" w14:textId="0EFAD558" w:rsidR="00691C2A" w:rsidRPr="002276BD" w:rsidRDefault="00691C2A" w:rsidP="00691C2A">
            <w:pPr>
              <w:spacing w:after="240"/>
              <w:outlineLvl w:val="2"/>
              <w:rPr>
                <w:b/>
                <w:color w:val="000000"/>
                <w:szCs w:val="20"/>
              </w:rPr>
            </w:pPr>
            <w:r>
              <w:rPr>
                <w:b/>
              </w:rPr>
              <w:t>Governance and Risk Management</w:t>
            </w:r>
          </w:p>
        </w:tc>
        <w:tc>
          <w:tcPr>
            <w:tcW w:w="1211" w:type="pct"/>
          </w:tcPr>
          <w:p w14:paraId="7CFDCF43" w14:textId="47D743FF" w:rsidR="00691C2A" w:rsidRPr="002276BD" w:rsidRDefault="00691C2A" w:rsidP="00691C2A">
            <w:r w:rsidRPr="00FF590F">
              <w:rPr>
                <w:color w:val="000000"/>
                <w:szCs w:val="20"/>
              </w:rPr>
              <w:t>Please describe the governance and risk management arrangements it would put in place to deliver the services.</w:t>
            </w:r>
          </w:p>
        </w:tc>
        <w:tc>
          <w:tcPr>
            <w:tcW w:w="1249" w:type="pct"/>
            <w:shd w:val="clear" w:color="auto" w:fill="auto"/>
          </w:tcPr>
          <w:p w14:paraId="28585BDD" w14:textId="77777777" w:rsidR="00691C2A" w:rsidRDefault="00691C2A" w:rsidP="00691C2A">
            <w:pPr>
              <w:overflowPunct w:val="0"/>
              <w:autoSpaceDE w:val="0"/>
              <w:autoSpaceDN w:val="0"/>
              <w:textAlignment w:val="baseline"/>
            </w:pPr>
            <w:r>
              <w:t>The Tenderer’s response should show that it:</w:t>
            </w:r>
          </w:p>
          <w:p w14:paraId="60C8F909" w14:textId="77777777" w:rsidR="00691C2A" w:rsidRDefault="00691C2A" w:rsidP="00691C2A">
            <w:pPr>
              <w:pStyle w:val="ListParagraph"/>
              <w:numPr>
                <w:ilvl w:val="0"/>
                <w:numId w:val="49"/>
              </w:numPr>
              <w:overflowPunct w:val="0"/>
              <w:autoSpaceDE w:val="0"/>
              <w:autoSpaceDN w:val="0"/>
              <w:textAlignment w:val="baseline"/>
            </w:pPr>
            <w:r>
              <w:t>is aware of the risks in providing the service</w:t>
            </w:r>
          </w:p>
          <w:p w14:paraId="1906C09D" w14:textId="77777777" w:rsidR="00691C2A" w:rsidRDefault="00691C2A" w:rsidP="00691C2A">
            <w:pPr>
              <w:pStyle w:val="ListParagraph"/>
              <w:numPr>
                <w:ilvl w:val="0"/>
                <w:numId w:val="49"/>
              </w:numPr>
              <w:overflowPunct w:val="0"/>
              <w:autoSpaceDE w:val="0"/>
              <w:autoSpaceDN w:val="0"/>
              <w:textAlignment w:val="baseline"/>
            </w:pPr>
            <w:r>
              <w:t>has sufficient plans in place to oversee the function and mitigate the risks</w:t>
            </w:r>
          </w:p>
          <w:p w14:paraId="3005365A" w14:textId="3318018E" w:rsidR="00691C2A" w:rsidRPr="002276BD" w:rsidRDefault="00691C2A" w:rsidP="00691C2A">
            <w:pPr>
              <w:overflowPunct w:val="0"/>
              <w:autoSpaceDE w:val="0"/>
              <w:autoSpaceDN w:val="0"/>
              <w:textAlignment w:val="baseline"/>
              <w:rPr>
                <w:highlight w:val="yellow"/>
              </w:rPr>
            </w:pPr>
            <w:r>
              <w:t>has a quality assurance regime that monitors, measures and assures quality outcomes</w:t>
            </w:r>
          </w:p>
        </w:tc>
        <w:tc>
          <w:tcPr>
            <w:tcW w:w="469" w:type="pct"/>
          </w:tcPr>
          <w:p w14:paraId="5302DBA8" w14:textId="3B00791B" w:rsidR="00691C2A" w:rsidRPr="001B71CE" w:rsidRDefault="00691C2A" w:rsidP="00691C2A">
            <w:pPr>
              <w:spacing w:after="240"/>
              <w:outlineLvl w:val="2"/>
              <w:rPr>
                <w:color w:val="000000"/>
                <w:szCs w:val="20"/>
                <w:highlight w:val="yellow"/>
              </w:rPr>
            </w:pPr>
            <w:r>
              <w:rPr>
                <w:color w:val="000000"/>
                <w:szCs w:val="20"/>
              </w:rPr>
              <w:t>20%</w:t>
            </w:r>
          </w:p>
        </w:tc>
        <w:tc>
          <w:tcPr>
            <w:tcW w:w="413" w:type="pct"/>
          </w:tcPr>
          <w:p w14:paraId="2FB1A861" w14:textId="1C32D674" w:rsidR="00691C2A" w:rsidRPr="001B71CE" w:rsidRDefault="00691C2A" w:rsidP="00691C2A">
            <w:pPr>
              <w:spacing w:after="240"/>
              <w:outlineLvl w:val="2"/>
              <w:rPr>
                <w:rFonts w:cs="Times New Roman"/>
                <w:bCs/>
                <w:highlight w:val="yellow"/>
              </w:rPr>
            </w:pPr>
            <w:r>
              <w:rPr>
                <w:color w:val="000000"/>
                <w:szCs w:val="20"/>
              </w:rPr>
              <w:t>1500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8" w:name="_Toc514161908"/>
      <w:r w:rsidRPr="005D6FF0">
        <w:lastRenderedPageBreak/>
        <w:t>Scoring Descriptors</w:t>
      </w:r>
      <w:bookmarkEnd w:id="18"/>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691C2A" w:rsidRPr="00DE0CF0" w14:paraId="14A5CC8B" w14:textId="77777777" w:rsidTr="00750F0E">
        <w:trPr>
          <w:cantSplit/>
        </w:trPr>
        <w:tc>
          <w:tcPr>
            <w:tcW w:w="2410" w:type="dxa"/>
          </w:tcPr>
          <w:p w14:paraId="3ECE5765" w14:textId="77777777" w:rsidR="00691C2A" w:rsidRDefault="00691C2A" w:rsidP="00691C2A">
            <w:pPr>
              <w:autoSpaceDE w:val="0"/>
              <w:autoSpaceDN w:val="0"/>
              <w:adjustRightInd w:val="0"/>
              <w:jc w:val="center"/>
              <w:rPr>
                <w:szCs w:val="20"/>
              </w:rPr>
            </w:pPr>
            <w:r w:rsidRPr="00DE0CF0">
              <w:rPr>
                <w:szCs w:val="20"/>
              </w:rPr>
              <w:t>0</w:t>
            </w:r>
          </w:p>
          <w:p w14:paraId="5A30DBB0" w14:textId="0CFB9B81" w:rsidR="00691C2A" w:rsidRPr="00DE0CF0" w:rsidRDefault="00691C2A" w:rsidP="00691C2A">
            <w:pPr>
              <w:autoSpaceDE w:val="0"/>
              <w:autoSpaceDN w:val="0"/>
              <w:adjustRightInd w:val="0"/>
              <w:jc w:val="center"/>
              <w:rPr>
                <w:color w:val="000000"/>
                <w:szCs w:val="20"/>
              </w:rPr>
            </w:pPr>
            <w:r>
              <w:rPr>
                <w:szCs w:val="20"/>
              </w:rPr>
              <w:t>Unacceptable</w:t>
            </w:r>
          </w:p>
        </w:tc>
        <w:tc>
          <w:tcPr>
            <w:tcW w:w="7229" w:type="dxa"/>
          </w:tcPr>
          <w:p w14:paraId="1F68DAFD" w14:textId="0204ECE2" w:rsidR="00691C2A" w:rsidRPr="00D6038A" w:rsidRDefault="00691C2A" w:rsidP="00691C2A">
            <w:r w:rsidRPr="00E17623">
              <w:t>Failure to understand and/or failure to substantial failure to provide and/or provides no confidence that the requirements will be delivered.</w:t>
            </w:r>
          </w:p>
        </w:tc>
      </w:tr>
      <w:tr w:rsidR="00691C2A" w:rsidRPr="00DE0CF0" w14:paraId="5CB4B8D4" w14:textId="77777777" w:rsidTr="00750F0E">
        <w:trPr>
          <w:cantSplit/>
        </w:trPr>
        <w:tc>
          <w:tcPr>
            <w:tcW w:w="2410" w:type="dxa"/>
          </w:tcPr>
          <w:p w14:paraId="5149DADC" w14:textId="77777777" w:rsidR="00691C2A" w:rsidRDefault="00691C2A" w:rsidP="00691C2A">
            <w:pPr>
              <w:autoSpaceDE w:val="0"/>
              <w:autoSpaceDN w:val="0"/>
              <w:adjustRightInd w:val="0"/>
              <w:jc w:val="center"/>
              <w:rPr>
                <w:szCs w:val="20"/>
              </w:rPr>
            </w:pPr>
            <w:r w:rsidRPr="00DE0CF0">
              <w:rPr>
                <w:szCs w:val="20"/>
              </w:rPr>
              <w:t>1</w:t>
            </w:r>
          </w:p>
          <w:p w14:paraId="37A49F8D" w14:textId="195E0C01" w:rsidR="00691C2A" w:rsidRPr="00DE0CF0" w:rsidRDefault="00691C2A" w:rsidP="00691C2A">
            <w:pPr>
              <w:autoSpaceDE w:val="0"/>
              <w:autoSpaceDN w:val="0"/>
              <w:adjustRightInd w:val="0"/>
              <w:jc w:val="center"/>
              <w:rPr>
                <w:color w:val="000000"/>
                <w:szCs w:val="20"/>
              </w:rPr>
            </w:pPr>
            <w:r>
              <w:rPr>
                <w:szCs w:val="20"/>
              </w:rPr>
              <w:t>Weak</w:t>
            </w:r>
          </w:p>
        </w:tc>
        <w:tc>
          <w:tcPr>
            <w:tcW w:w="7229" w:type="dxa"/>
          </w:tcPr>
          <w:p w14:paraId="4189C0C2" w14:textId="2EE3ED01" w:rsidR="00691C2A" w:rsidRPr="00374C9D" w:rsidRDefault="00691C2A" w:rsidP="00691C2A">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691C2A" w:rsidRPr="00DE0CF0" w14:paraId="45DF330B" w14:textId="77777777" w:rsidTr="00750F0E">
        <w:trPr>
          <w:cantSplit/>
        </w:trPr>
        <w:tc>
          <w:tcPr>
            <w:tcW w:w="2410" w:type="dxa"/>
          </w:tcPr>
          <w:p w14:paraId="292AF7F4" w14:textId="77777777" w:rsidR="00691C2A" w:rsidRDefault="00691C2A" w:rsidP="00691C2A">
            <w:pPr>
              <w:autoSpaceDE w:val="0"/>
              <w:autoSpaceDN w:val="0"/>
              <w:adjustRightInd w:val="0"/>
              <w:jc w:val="center"/>
              <w:rPr>
                <w:szCs w:val="20"/>
              </w:rPr>
            </w:pPr>
            <w:r w:rsidRPr="00DE0CF0">
              <w:rPr>
                <w:szCs w:val="20"/>
              </w:rPr>
              <w:t>2</w:t>
            </w:r>
          </w:p>
          <w:p w14:paraId="1C237B81" w14:textId="70771CB6" w:rsidR="00691C2A" w:rsidRPr="00DE0CF0" w:rsidRDefault="00691C2A" w:rsidP="00691C2A">
            <w:pPr>
              <w:autoSpaceDE w:val="0"/>
              <w:autoSpaceDN w:val="0"/>
              <w:adjustRightInd w:val="0"/>
              <w:jc w:val="center"/>
              <w:rPr>
                <w:color w:val="000000"/>
                <w:szCs w:val="20"/>
              </w:rPr>
            </w:pPr>
            <w:r>
              <w:rPr>
                <w:szCs w:val="20"/>
              </w:rPr>
              <w:t>Satisfactory</w:t>
            </w:r>
          </w:p>
        </w:tc>
        <w:tc>
          <w:tcPr>
            <w:tcW w:w="7229" w:type="dxa"/>
          </w:tcPr>
          <w:p w14:paraId="1845B937" w14:textId="44D3078C" w:rsidR="00691C2A" w:rsidRPr="00DE0CF0" w:rsidRDefault="00691C2A" w:rsidP="00691C2A">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691C2A" w:rsidRPr="00DE0CF0" w14:paraId="621805F3" w14:textId="77777777" w:rsidTr="00750F0E">
        <w:trPr>
          <w:cantSplit/>
        </w:trPr>
        <w:tc>
          <w:tcPr>
            <w:tcW w:w="2410" w:type="dxa"/>
          </w:tcPr>
          <w:p w14:paraId="11A36452" w14:textId="77777777" w:rsidR="00691C2A" w:rsidRDefault="00691C2A" w:rsidP="00691C2A">
            <w:pPr>
              <w:autoSpaceDE w:val="0"/>
              <w:autoSpaceDN w:val="0"/>
              <w:adjustRightInd w:val="0"/>
              <w:jc w:val="center"/>
              <w:rPr>
                <w:szCs w:val="20"/>
              </w:rPr>
            </w:pPr>
            <w:r w:rsidRPr="00DE0CF0">
              <w:rPr>
                <w:szCs w:val="20"/>
              </w:rPr>
              <w:t>3</w:t>
            </w:r>
          </w:p>
          <w:p w14:paraId="1EB61274" w14:textId="444C4726" w:rsidR="00691C2A" w:rsidRPr="00DE0CF0" w:rsidRDefault="00691C2A" w:rsidP="00691C2A">
            <w:pPr>
              <w:autoSpaceDE w:val="0"/>
              <w:autoSpaceDN w:val="0"/>
              <w:adjustRightInd w:val="0"/>
              <w:jc w:val="center"/>
              <w:rPr>
                <w:color w:val="000000"/>
                <w:szCs w:val="20"/>
              </w:rPr>
            </w:pPr>
            <w:r>
              <w:rPr>
                <w:szCs w:val="20"/>
              </w:rPr>
              <w:t>Good</w:t>
            </w:r>
          </w:p>
        </w:tc>
        <w:tc>
          <w:tcPr>
            <w:tcW w:w="7229" w:type="dxa"/>
          </w:tcPr>
          <w:p w14:paraId="49EE9D5E" w14:textId="0C351726" w:rsidR="00691C2A" w:rsidRPr="00DE0CF0" w:rsidRDefault="00691C2A" w:rsidP="00691C2A">
            <w:pPr>
              <w:rPr>
                <w:szCs w:val="20"/>
              </w:rPr>
            </w:pPr>
            <w:r w:rsidRPr="00E17623">
              <w:t>Good understanding of the issues, good level of detail, and demonstrated that proposals are feasible so that there is a good level of confidence that they will deliver the requirements.</w:t>
            </w:r>
          </w:p>
        </w:tc>
      </w:tr>
      <w:tr w:rsidR="00691C2A" w:rsidRPr="00DE0CF0" w14:paraId="4A43F39F" w14:textId="77777777" w:rsidTr="00750F0E">
        <w:trPr>
          <w:cantSplit/>
        </w:trPr>
        <w:tc>
          <w:tcPr>
            <w:tcW w:w="2410" w:type="dxa"/>
          </w:tcPr>
          <w:p w14:paraId="1C59B807" w14:textId="77777777" w:rsidR="00691C2A" w:rsidRDefault="00691C2A" w:rsidP="00691C2A">
            <w:pPr>
              <w:autoSpaceDE w:val="0"/>
              <w:autoSpaceDN w:val="0"/>
              <w:adjustRightInd w:val="0"/>
              <w:jc w:val="center"/>
              <w:rPr>
                <w:szCs w:val="20"/>
              </w:rPr>
            </w:pPr>
            <w:r w:rsidRPr="00DE0CF0">
              <w:rPr>
                <w:szCs w:val="20"/>
              </w:rPr>
              <w:t>4</w:t>
            </w:r>
          </w:p>
          <w:p w14:paraId="4EA91D35" w14:textId="38F5A68E" w:rsidR="00691C2A" w:rsidRPr="00DE0CF0" w:rsidRDefault="00691C2A" w:rsidP="00691C2A">
            <w:pPr>
              <w:autoSpaceDE w:val="0"/>
              <w:autoSpaceDN w:val="0"/>
              <w:adjustRightInd w:val="0"/>
              <w:jc w:val="center"/>
              <w:rPr>
                <w:color w:val="000000"/>
                <w:szCs w:val="20"/>
              </w:rPr>
            </w:pPr>
            <w:r>
              <w:rPr>
                <w:szCs w:val="20"/>
              </w:rPr>
              <w:t>Excellent</w:t>
            </w:r>
          </w:p>
        </w:tc>
        <w:tc>
          <w:tcPr>
            <w:tcW w:w="7229" w:type="dxa"/>
          </w:tcPr>
          <w:p w14:paraId="48D2639A" w14:textId="1DCD0C0E" w:rsidR="00691C2A" w:rsidRPr="00DE0CF0" w:rsidRDefault="00691C2A" w:rsidP="00691C2A">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19" w:name="_Toc514161909"/>
      <w:r w:rsidRPr="0040469F">
        <w:t>Consensus Marking</w:t>
      </w:r>
      <w:bookmarkEnd w:id="19"/>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0" w:name="_Toc514161910"/>
      <w:r>
        <w:t>Determining the Quality Score</w:t>
      </w:r>
      <w:bookmarkEnd w:id="20"/>
    </w:p>
    <w:p w14:paraId="06F9062A" w14:textId="3B3B3F0E"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691C2A">
        <w:t xml:space="preserve">four </w:t>
      </w:r>
      <w:r w:rsidRPr="002276BD">
        <w:t>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1" w:name="_Toc467076641"/>
      <w:r w:rsidR="00853201">
        <w:t xml:space="preserve">  Your score for each question will be multiplied by the weighting for each questi</w:t>
      </w:r>
      <w:r w:rsidR="00A5107E">
        <w:t>on to arrive at a score out of 4</w:t>
      </w:r>
      <w:r w:rsidR="00853201">
        <w:t>00.</w:t>
      </w:r>
    </w:p>
    <w:p w14:paraId="378F1F16" w14:textId="09473864" w:rsidR="00853201" w:rsidRDefault="00164458" w:rsidP="002A6AB0">
      <w:pPr>
        <w:pStyle w:val="Heading2"/>
      </w:pPr>
      <w:r>
        <w:t xml:space="preserve">The quality/price ratio for this exercise </w:t>
      </w:r>
      <w:r w:rsidRPr="002276BD">
        <w:t>is</w:t>
      </w:r>
      <w:r w:rsidR="00A5107E" w:rsidRPr="002276BD">
        <w:t xml:space="preserve"> </w:t>
      </w:r>
      <w:r w:rsidR="00691C2A">
        <w:t>80:2</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691C2A">
        <w:t>8</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2" w:name="_Toc514161911"/>
      <w:r>
        <w:t>Minimum Quality Threshold</w:t>
      </w:r>
      <w:bookmarkEnd w:id="22"/>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25C1AB88" w:rsidR="002A6AB0" w:rsidRPr="002276BD" w:rsidRDefault="00F175D7" w:rsidP="002A6AB0">
      <w:pPr>
        <w:pStyle w:val="Heading2"/>
      </w:pPr>
      <w:r w:rsidRPr="00A5107E">
        <w:t>Potential Providers must also meet an overall m</w:t>
      </w:r>
      <w:r w:rsidR="00A5107E" w:rsidRPr="00A5107E">
        <w:t xml:space="preserve">inimum Quality Score of </w:t>
      </w:r>
      <w:r w:rsidR="00691C2A">
        <w:t>40,</w:t>
      </w:r>
      <w:r w:rsidRPr="00A5107E">
        <w:t xml:space="preserve"> consisting of 50% of t</w:t>
      </w:r>
      <w:r w:rsidR="00A5107E" w:rsidRPr="00A5107E">
        <w:t xml:space="preserve">he Maximum Quality Score </w:t>
      </w:r>
      <w:r w:rsidR="00A5107E" w:rsidRPr="002276BD">
        <w:t xml:space="preserve">of </w:t>
      </w:r>
      <w:r w:rsidR="00691C2A">
        <w:t>8</w:t>
      </w:r>
      <w:r w:rsidR="002276BD" w:rsidRPr="002276BD">
        <w:t>0</w:t>
      </w:r>
      <w:r w:rsidRPr="002276BD">
        <w:t xml:space="preserve">.  </w:t>
      </w:r>
    </w:p>
    <w:p w14:paraId="4A7DE80E" w14:textId="2F75B424" w:rsidR="00042F07" w:rsidRPr="00A5107E" w:rsidRDefault="002445A9" w:rsidP="00042F07">
      <w:pPr>
        <w:pStyle w:val="Heading1"/>
      </w:pPr>
      <w:bookmarkStart w:id="23" w:name="_Toc514161912"/>
      <w:r w:rsidRPr="00A5107E">
        <w:t>Tender Clarification Meeting</w:t>
      </w:r>
      <w:bookmarkEnd w:id="21"/>
      <w:bookmarkEnd w:id="23"/>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4" w:name="_Toc514161913"/>
      <w:r>
        <w:t>Clarification</w:t>
      </w:r>
      <w:bookmarkEnd w:id="24"/>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5" w:name="_Toc514161914"/>
      <w:r w:rsidRPr="001F79F8">
        <w:t>Price Evaluation Process</w:t>
      </w:r>
      <w:bookmarkEnd w:id="25"/>
    </w:p>
    <w:p w14:paraId="6E22E712" w14:textId="22750C61" w:rsidR="00ED1187" w:rsidRDefault="00001903" w:rsidP="00ED1187">
      <w:pPr>
        <w:pStyle w:val="Heading2"/>
      </w:pPr>
      <w:r w:rsidRPr="006103D9">
        <w:t xml:space="preserve">You are required to submit a price </w:t>
      </w:r>
      <w:r>
        <w:t xml:space="preserve">as described in </w:t>
      </w:r>
      <w:r w:rsidR="00A5107E">
        <w:rPr>
          <w:i/>
        </w:rPr>
        <w:t xml:space="preserve">Attachment </w:t>
      </w:r>
      <w:r w:rsidR="00691C2A">
        <w:rPr>
          <w:i/>
        </w:rPr>
        <w:t>8</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2CCE1461" w:rsidR="00001903" w:rsidRDefault="00AC59B9" w:rsidP="00ED1187">
      <w:pPr>
        <w:pStyle w:val="Heading2"/>
        <w:numPr>
          <w:ilvl w:val="0"/>
          <w:numId w:val="0"/>
        </w:numPr>
        <w:ind w:firstLine="720"/>
        <w:jc w:val="left"/>
        <w:rPr>
          <w:b/>
        </w:rPr>
      </w:pPr>
      <w:r>
        <w:rPr>
          <w:b/>
        </w:rPr>
        <w:t xml:space="preserve">Price Score    =  </w:t>
      </w:r>
      <w:r w:rsidR="00691C2A">
        <w:rPr>
          <w:b/>
        </w:rPr>
        <w:t>2</w:t>
      </w:r>
      <w:r w:rsidRPr="002276BD">
        <w:rPr>
          <w:b/>
        </w:rPr>
        <w:t xml:space="preserve">0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7A96EF67"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691C2A">
              <w:rPr>
                <w:rFonts w:ascii="Helvetica Neue" w:hAnsi="Helvetica Neue"/>
                <w:sz w:val="20"/>
              </w:rPr>
              <w:t>2</w:t>
            </w:r>
            <w:r w:rsidR="00001903" w:rsidRPr="002276BD">
              <w:rPr>
                <w:rFonts w:ascii="Helvetica Neue" w:hAnsi="Helvetica Neue"/>
                <w:sz w:val="20"/>
              </w:rPr>
              <w:t>0</w:t>
            </w:r>
          </w:p>
        </w:tc>
        <w:tc>
          <w:tcPr>
            <w:tcW w:w="1907" w:type="dxa"/>
          </w:tcPr>
          <w:p w14:paraId="04DB8159" w14:textId="53E0809F" w:rsidR="00001903" w:rsidRPr="002276BD" w:rsidRDefault="00691C2A" w:rsidP="00FB392B">
            <w:pPr>
              <w:pStyle w:val="MarginText"/>
              <w:spacing w:before="60" w:after="60"/>
              <w:jc w:val="center"/>
              <w:rPr>
                <w:rFonts w:ascii="Helvetica Neue" w:hAnsi="Helvetica Neue"/>
                <w:sz w:val="20"/>
              </w:rPr>
            </w:pPr>
            <w:r>
              <w:rPr>
                <w:rFonts w:ascii="Helvetica Neue" w:hAnsi="Helvetica Neue"/>
                <w:sz w:val="20"/>
              </w:rPr>
              <w:t>20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4498A61C"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691C2A">
              <w:rPr>
                <w:rFonts w:ascii="Helvetica Neue" w:hAnsi="Helvetica Neue"/>
                <w:sz w:val="20"/>
              </w:rPr>
              <w:t>2</w:t>
            </w:r>
            <w:r w:rsidR="00001903" w:rsidRPr="002276BD">
              <w:rPr>
                <w:rFonts w:ascii="Helvetica Neue" w:hAnsi="Helvetica Neue"/>
                <w:sz w:val="20"/>
              </w:rPr>
              <w:t>0</w:t>
            </w:r>
          </w:p>
        </w:tc>
        <w:tc>
          <w:tcPr>
            <w:tcW w:w="1907" w:type="dxa"/>
          </w:tcPr>
          <w:p w14:paraId="4362E2E6" w14:textId="2451ABC5" w:rsidR="00001903" w:rsidRPr="002276BD" w:rsidRDefault="00691C2A"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6EF33E53"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691C2A">
              <w:rPr>
                <w:rFonts w:ascii="Helvetica Neue" w:hAnsi="Helvetica Neue"/>
                <w:sz w:val="20"/>
              </w:rPr>
              <w:t>2</w:t>
            </w:r>
            <w:r w:rsidR="00001903" w:rsidRPr="002276BD">
              <w:rPr>
                <w:rFonts w:ascii="Helvetica Neue" w:hAnsi="Helvetica Neue"/>
                <w:sz w:val="20"/>
              </w:rPr>
              <w:t>0</w:t>
            </w:r>
          </w:p>
        </w:tc>
        <w:tc>
          <w:tcPr>
            <w:tcW w:w="1907" w:type="dxa"/>
          </w:tcPr>
          <w:p w14:paraId="75CB4929" w14:textId="52FC21DD" w:rsidR="00001903" w:rsidRPr="002276BD" w:rsidRDefault="00691C2A"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6" w:name="_Toc514161915"/>
      <w:r>
        <w:t xml:space="preserve">Consolidated </w:t>
      </w:r>
      <w:r w:rsidR="00001903" w:rsidRPr="0027360A">
        <w:t>Score</w:t>
      </w:r>
      <w:bookmarkEnd w:id="26"/>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7" w:name="_Toc474764337"/>
      <w:bookmarkStart w:id="28" w:name="_Toc514161916"/>
      <w:r w:rsidRPr="001F70E1">
        <w:t>CONTRACT AWARD</w:t>
      </w:r>
      <w:bookmarkEnd w:id="27"/>
      <w:bookmarkEnd w:id="28"/>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7F14665E"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691C2A">
        <w:t xml:space="preserve">, </w:t>
      </w:r>
      <w:r w:rsidR="00E15652">
        <w:t>providing they meet the minimum requirements</w:t>
      </w:r>
      <w:r w:rsidR="00691C2A">
        <w:t xml:space="preserve"> and the price is deemed affordable</w:t>
      </w:r>
      <w:r w:rsidR="00F175D7">
        <w:t>.</w:t>
      </w:r>
      <w:bookmarkStart w:id="29" w:name="_GoBack"/>
      <w:bookmarkEnd w:id="29"/>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535F93DF"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691C2A">
      <w:rPr>
        <w:noProof/>
      </w:rPr>
      <w:t>1</w:t>
    </w:r>
    <w:r w:rsidRPr="00EE5AE1">
      <w:fldChar w:fldCharType="end"/>
    </w:r>
    <w:r w:rsidRPr="00EE5AE1">
      <w:t xml:space="preserve"> of </w:t>
    </w:r>
    <w:fldSimple w:instr=" NUMPAGES ">
      <w:r w:rsidR="00691C2A">
        <w:rPr>
          <w:noProof/>
        </w:rPr>
        <w:t>12</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080A1D17" w14:textId="77777777" w:rsidR="00691C2A" w:rsidRDefault="00691C2A" w:rsidP="00691C2A">
    <w:pPr>
      <w:pStyle w:val="Header"/>
      <w:jc w:val="center"/>
      <w:rPr>
        <w:rFonts w:ascii="Helvetica Neue" w:hAnsi="Helvetica Neue"/>
        <w:sz w:val="20"/>
        <w:szCs w:val="20"/>
        <w:lang w:eastAsia="en-GB"/>
      </w:rPr>
    </w:pPr>
    <w:r>
      <w:rPr>
        <w:rFonts w:ascii="Helvetica Neue" w:hAnsi="Helvetica Neue"/>
        <w:sz w:val="20"/>
        <w:szCs w:val="20"/>
        <w:lang w:eastAsia="en-GB"/>
      </w:rPr>
      <w:t xml:space="preserve">ITT 240 </w:t>
    </w:r>
    <w:r w:rsidRPr="00FF590F">
      <w:rPr>
        <w:rFonts w:ascii="Helvetica Neue" w:hAnsi="Helvetica Neue"/>
        <w:sz w:val="20"/>
        <w:szCs w:val="20"/>
        <w:lang w:eastAsia="en-GB"/>
      </w:rPr>
      <w:t>– SECURIITY AND CONTROL ENVIRONMENT TESTING OF D365 AND INTERFACES</w:t>
    </w:r>
  </w:p>
  <w:p w14:paraId="65BC44F9" w14:textId="0C3B224C"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BF82" w14:textId="77777777" w:rsidR="00691C2A" w:rsidRDefault="00691C2A" w:rsidP="00691C2A">
    <w:pPr>
      <w:pStyle w:val="Header"/>
      <w:jc w:val="center"/>
      <w:rPr>
        <w:rFonts w:ascii="Helvetica Neue" w:hAnsi="Helvetica Neue"/>
        <w:sz w:val="20"/>
        <w:szCs w:val="20"/>
        <w:lang w:eastAsia="en-GB"/>
      </w:rPr>
    </w:pPr>
    <w:bookmarkStart w:id="30" w:name="_Hlk3447393"/>
    <w:r>
      <w:rPr>
        <w:rFonts w:ascii="Helvetica Neue" w:hAnsi="Helvetica Neue"/>
        <w:sz w:val="20"/>
        <w:szCs w:val="20"/>
        <w:lang w:eastAsia="en-GB"/>
      </w:rPr>
      <w:t xml:space="preserve">ITT 240 </w:t>
    </w:r>
    <w:r w:rsidRPr="00FF590F">
      <w:rPr>
        <w:rFonts w:ascii="Helvetica Neue" w:hAnsi="Helvetica Neue"/>
        <w:sz w:val="20"/>
        <w:szCs w:val="20"/>
        <w:lang w:eastAsia="en-GB"/>
      </w:rPr>
      <w:t>– SECURIITY AND CONTROL ENVIRONMENT TESTING OF D365 AND INTERFACES</w:t>
    </w:r>
  </w:p>
  <w:bookmarkEnd w:id="30"/>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ED82896"/>
    <w:multiLevelType w:val="hybridMultilevel"/>
    <w:tmpl w:val="85BAD39A"/>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30"/>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4"/>
  </w:num>
  <w:num w:numId="14">
    <w:abstractNumId w:val="11"/>
  </w:num>
  <w:num w:numId="15">
    <w:abstractNumId w:val="38"/>
  </w:num>
  <w:num w:numId="16">
    <w:abstractNumId w:val="10"/>
  </w:num>
  <w:num w:numId="17">
    <w:abstractNumId w:val="25"/>
  </w:num>
  <w:num w:numId="18">
    <w:abstractNumId w:val="22"/>
  </w:num>
  <w:num w:numId="19">
    <w:abstractNumId w:val="35"/>
  </w:num>
  <w:num w:numId="20">
    <w:abstractNumId w:val="16"/>
  </w:num>
  <w:num w:numId="21">
    <w:abstractNumId w:val="33"/>
  </w:num>
  <w:num w:numId="22">
    <w:abstractNumId w:val="33"/>
  </w:num>
  <w:num w:numId="23">
    <w:abstractNumId w:val="18"/>
  </w:num>
  <w:num w:numId="24">
    <w:abstractNumId w:val="37"/>
  </w:num>
  <w:num w:numId="25">
    <w:abstractNumId w:val="33"/>
  </w:num>
  <w:num w:numId="26">
    <w:abstractNumId w:val="14"/>
  </w:num>
  <w:num w:numId="27">
    <w:abstractNumId w:val="7"/>
  </w:num>
  <w:num w:numId="28">
    <w:abstractNumId w:val="33"/>
  </w:num>
  <w:num w:numId="29">
    <w:abstractNumId w:val="17"/>
  </w:num>
  <w:num w:numId="30">
    <w:abstractNumId w:val="26"/>
  </w:num>
  <w:num w:numId="31">
    <w:abstractNumId w:val="40"/>
  </w:num>
  <w:num w:numId="32">
    <w:abstractNumId w:val="13"/>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9"/>
  </w:num>
  <w:num w:numId="36">
    <w:abstractNumId w:val="14"/>
  </w:num>
  <w:num w:numId="37">
    <w:abstractNumId w:val="42"/>
  </w:num>
  <w:num w:numId="38">
    <w:abstractNumId w:val="39"/>
  </w:num>
  <w:num w:numId="39">
    <w:abstractNumId w:val="15"/>
  </w:num>
  <w:num w:numId="40">
    <w:abstractNumId w:val="39"/>
  </w:num>
  <w:num w:numId="41">
    <w:abstractNumId w:val="9"/>
  </w:num>
  <w:num w:numId="42">
    <w:abstractNumId w:val="34"/>
  </w:num>
  <w:num w:numId="43">
    <w:abstractNumId w:val="28"/>
  </w:num>
  <w:num w:numId="44">
    <w:abstractNumId w:val="4"/>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4"/>
  </w:num>
  <w:num w:numId="48">
    <w:abstractNumId w:val="29"/>
  </w:num>
  <w:num w:numId="4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1C2A"/>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0F39-AB7E-4E02-9984-F52F6A2B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12</Pages>
  <Words>2722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17978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2016-08-08T13:17:00Z</cp:lastPrinted>
  <dcterms:created xsi:type="dcterms:W3CDTF">2019-03-14T09:22:00Z</dcterms:created>
  <dcterms:modified xsi:type="dcterms:W3CDTF">2019-03-14T09:22:00Z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