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884" w:rsidRDefault="00623884" w:rsidP="0059658C">
      <w:bookmarkStart w:id="0" w:name="_GoBack"/>
      <w:bookmarkEnd w:id="0"/>
    </w:p>
    <w:p w:rsidR="008E0D5D" w:rsidRDefault="008E0D5D" w:rsidP="0059658C">
      <w:pPr>
        <w:spacing w:after="12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1"/>
        <w:gridCol w:w="1795"/>
        <w:gridCol w:w="1886"/>
        <w:gridCol w:w="1886"/>
      </w:tblGrid>
      <w:tr w:rsidR="00623884" w:rsidTr="009260B1">
        <w:tc>
          <w:tcPr>
            <w:tcW w:w="4071" w:type="dxa"/>
          </w:tcPr>
          <w:p w:rsidR="00623884" w:rsidRDefault="00623884" w:rsidP="0059658C">
            <w:pPr>
              <w:rPr>
                <w:b/>
              </w:rPr>
            </w:pPr>
            <w:r w:rsidRPr="0098366F">
              <w:rPr>
                <w:b/>
                <w:noProof/>
                <w:lang w:eastAsia="en-GB"/>
              </w:rPr>
              <mc:AlternateContent>
                <mc:Choice Requires="wps">
                  <w:drawing>
                    <wp:anchor distT="45720" distB="45720" distL="114300" distR="114300" simplePos="0" relativeHeight="251660288" behindDoc="0" locked="0" layoutInCell="1" allowOverlap="1" wp14:anchorId="72062D9C" wp14:editId="7210A784">
                      <wp:simplePos x="0" y="0"/>
                      <wp:positionH relativeFrom="margin">
                        <wp:posOffset>0</wp:posOffset>
                      </wp:positionH>
                      <wp:positionV relativeFrom="paragraph">
                        <wp:posOffset>321310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226C2E" w:rsidRDefault="00226C2E" w:rsidP="00623884"/>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w14:anchorId="72062D9C" id="_x0000_t202" coordsize="21600,21600" o:spt="202" path="m,l,21600r21600,l21600,xe">
                      <v:stroke joinstyle="miter"/>
                      <v:path gradientshapeok="t" o:connecttype="rect"/>
                    </v:shapetype>
                    <v:shape id="Text Box 2" o:spid="_x0000_s1026" type="#_x0000_t202" style="position:absolute;margin-left:0;margin-top:25.3pt;width:185.9pt;height:110.6pt;z-index:25166028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" stroked="f">
                      <v:textbox style="mso-fit-shape-to-text:t">
                        <w:txbxContent>
                          <w:p w:rsidR="00226C2E" w:rsidRDefault="00226C2E" w:rsidP="00623884"/>
                        </w:txbxContent>
                      </v:textbox>
                      <w10:wrap type="square" anchorx="margin"/>
                    </v:shape>
                  </w:pict>
                </mc:Fallback>
              </mc:AlternateContent>
            </w:r>
            <w:r>
              <w:rPr>
                <w:noProof/>
                <w:lang w:eastAsia="en-GB"/>
              </w:rPr>
              <w:drawing>
                <wp:inline distT="0" distB="0" distL="0" distR="0" wp14:anchorId="03F757E3" wp14:editId="42F3465A">
                  <wp:extent cx="1672005" cy="1067384"/>
                  <wp:effectExtent l="0" t="0" r="4445" b="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86926" cy="1076909"/>
                          </a:xfrm>
                          <a:prstGeom prst="rect">
                            <a:avLst/>
                          </a:prstGeom>
                        </pic:spPr>
                      </pic:pic>
                    </a:graphicData>
                  </a:graphic>
                </wp:inline>
              </w:drawing>
            </w:r>
          </w:p>
        </w:tc>
        <w:tc>
          <w:tcPr>
            <w:tcW w:w="1795" w:type="dxa"/>
          </w:tcPr>
          <w:p w:rsidR="00623884" w:rsidRDefault="00623884" w:rsidP="0059658C">
            <w:pPr>
              <w:rPr>
                <w:b/>
              </w:rPr>
            </w:pPr>
            <w:r w:rsidRPr="008F2245">
              <w:rPr>
                <w:noProof/>
                <w:color w:val="000000" w:themeColor="text1"/>
                <w:lang w:eastAsia="en-GB"/>
              </w:rPr>
              <w:drawing>
                <wp:anchor distT="0" distB="0" distL="114300" distR="114300" simplePos="0" relativeHeight="251666432" behindDoc="0" locked="0" layoutInCell="1" allowOverlap="1" wp14:anchorId="09DECEF4" wp14:editId="43B61B77">
                  <wp:simplePos x="0" y="0"/>
                  <wp:positionH relativeFrom="column">
                    <wp:posOffset>222885</wp:posOffset>
                  </wp:positionH>
                  <wp:positionV relativeFrom="paragraph">
                    <wp:posOffset>798195</wp:posOffset>
                  </wp:positionV>
                  <wp:extent cx="1031240" cy="720725"/>
                  <wp:effectExtent l="0" t="0" r="0" b="3175"/>
                  <wp:wrapNone/>
                  <wp:docPr id="15" name="Picture 14" descr="DH_3268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DH_3268_A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1240" cy="720725"/>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tc>
        <w:tc>
          <w:tcPr>
            <w:tcW w:w="1886" w:type="dxa"/>
          </w:tcPr>
          <w:p w:rsidR="00623884" w:rsidRDefault="00623884" w:rsidP="0059658C">
            <w:pPr>
              <w:rPr>
                <w:b/>
              </w:rPr>
            </w:pPr>
            <w:r w:rsidRPr="008F2245">
              <w:rPr>
                <w:noProof/>
                <w:color w:val="000000" w:themeColor="text1"/>
                <w:lang w:eastAsia="en-GB"/>
              </w:rPr>
              <w:drawing>
                <wp:anchor distT="0" distB="0" distL="114300" distR="114300" simplePos="0" relativeHeight="251667456" behindDoc="0" locked="0" layoutInCell="1" allowOverlap="1" wp14:anchorId="3C48803E" wp14:editId="446CA676">
                  <wp:simplePos x="0" y="0"/>
                  <wp:positionH relativeFrom="column">
                    <wp:posOffset>452120</wp:posOffset>
                  </wp:positionH>
                  <wp:positionV relativeFrom="paragraph">
                    <wp:posOffset>798195</wp:posOffset>
                  </wp:positionV>
                  <wp:extent cx="1079500" cy="847090"/>
                  <wp:effectExtent l="0" t="0" r="6350" b="0"/>
                  <wp:wrapNone/>
                  <wp:docPr id="5" name="Picture 8" descr="DWP_3262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8" descr="DWP_3262_SML_A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9500" cy="84709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tc>
        <w:tc>
          <w:tcPr>
            <w:tcW w:w="1886" w:type="dxa"/>
          </w:tcPr>
          <w:p w:rsidR="00623884" w:rsidRPr="008F2245" w:rsidRDefault="00623884" w:rsidP="0059658C">
            <w:pPr>
              <w:rPr>
                <w:noProof/>
                <w:color w:val="000000" w:themeColor="text1"/>
                <w:lang w:eastAsia="en-GB"/>
              </w:rPr>
            </w:pPr>
            <w:r w:rsidRPr="008F2245">
              <w:rPr>
                <w:noProof/>
                <w:color w:val="000000" w:themeColor="text1"/>
                <w:lang w:eastAsia="en-GB"/>
              </w:rPr>
              <w:drawing>
                <wp:anchor distT="0" distB="0" distL="114300" distR="114300" simplePos="0" relativeHeight="251669504" behindDoc="0" locked="0" layoutInCell="1" allowOverlap="1" wp14:anchorId="173AD1D7" wp14:editId="4690D7D5">
                  <wp:simplePos x="0" y="0"/>
                  <wp:positionH relativeFrom="column">
                    <wp:posOffset>544195</wp:posOffset>
                  </wp:positionH>
                  <wp:positionV relativeFrom="paragraph">
                    <wp:posOffset>803910</wp:posOffset>
                  </wp:positionV>
                  <wp:extent cx="753745" cy="508635"/>
                  <wp:effectExtent l="0" t="0" r="8255" b="5715"/>
                  <wp:wrapNone/>
                  <wp:docPr id="13" name="Picture 12" descr="logo-a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logo-a5.png"/>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3745" cy="508635"/>
                          </a:xfrm>
                          <a:prstGeom prst="rect">
                            <a:avLst/>
                          </a:prstGeom>
                        </pic:spPr>
                      </pic:pic>
                    </a:graphicData>
                  </a:graphic>
                  <wp14:sizeRelH relativeFrom="margin">
                    <wp14:pctWidth>0</wp14:pctWidth>
                  </wp14:sizeRelH>
                  <wp14:sizeRelV relativeFrom="margin">
                    <wp14:pctHeight>0</wp14:pctHeight>
                  </wp14:sizeRelV>
                </wp:anchor>
              </w:drawing>
            </w:r>
          </w:p>
        </w:tc>
      </w:tr>
    </w:tbl>
    <w:p w:rsidR="00623884" w:rsidRDefault="00623884" w:rsidP="0059658C">
      <w:pPr>
        <w:rPr>
          <w:rFonts w:cs="Arial"/>
          <w:sz w:val="32"/>
        </w:rPr>
      </w:pPr>
    </w:p>
    <w:p w:rsidR="00623884" w:rsidRDefault="00623884" w:rsidP="0059658C">
      <w:pPr>
        <w:pStyle w:val="HPHeading1"/>
        <w:rPr>
          <w:rFonts w:ascii="Arial" w:hAnsi="Arial" w:cs="Arial"/>
        </w:rPr>
      </w:pPr>
    </w:p>
    <w:p w:rsidR="00623884" w:rsidRPr="0098366F" w:rsidRDefault="00286B37" w:rsidP="0059658C">
      <w:pPr>
        <w:pStyle w:val="HPHeading1"/>
        <w:rPr>
          <w:rFonts w:ascii="Arial" w:hAnsi="Arial" w:cs="Arial"/>
          <w:b/>
          <w:color w:val="538135" w:themeColor="accent6" w:themeShade="BF"/>
        </w:rPr>
      </w:pPr>
      <w:r>
        <w:rPr>
          <w:rFonts w:ascii="Arial" w:hAnsi="Arial" w:cs="Arial"/>
          <w:b/>
          <w:color w:val="538135" w:themeColor="accent6" w:themeShade="BF"/>
        </w:rPr>
        <w:t xml:space="preserve">Sheffield City Region </w:t>
      </w:r>
      <w:r w:rsidR="00623884" w:rsidRPr="0098366F">
        <w:rPr>
          <w:rFonts w:ascii="Arial" w:hAnsi="Arial" w:cs="Arial"/>
          <w:b/>
          <w:color w:val="538135" w:themeColor="accent6" w:themeShade="BF"/>
        </w:rPr>
        <w:t>Health-led Employment Trial</w:t>
      </w:r>
    </w:p>
    <w:p w:rsidR="00623884" w:rsidRDefault="00623884" w:rsidP="0059658C"/>
    <w:p w:rsidR="00623884" w:rsidRPr="00623884" w:rsidRDefault="00623884" w:rsidP="0059658C">
      <w:pPr>
        <w:rPr>
          <w:rFonts w:cs="Arial"/>
          <w:b/>
          <w:sz w:val="28"/>
          <w:u w:val="single"/>
        </w:rPr>
      </w:pPr>
      <w:r w:rsidRPr="00623884">
        <w:rPr>
          <w:rFonts w:cs="Arial"/>
          <w:b/>
          <w:sz w:val="28"/>
          <w:u w:val="single"/>
        </w:rPr>
        <w:t>Service Specification</w:t>
      </w:r>
    </w:p>
    <w:p w:rsidR="00623884" w:rsidRDefault="00623884" w:rsidP="0059658C">
      <w:pPr>
        <w:rPr>
          <w:rFonts w:cs="Arial"/>
          <w:b/>
        </w:rPr>
      </w:pPr>
    </w:p>
    <w:p w:rsidR="00623884" w:rsidRDefault="00623884" w:rsidP="0059658C">
      <w:pPr>
        <w:rPr>
          <w:rFonts w:cs="Arial"/>
          <w:b/>
        </w:rPr>
      </w:pPr>
      <w:r>
        <w:rPr>
          <w:rFonts w:cs="Arial"/>
          <w:b/>
        </w:rPr>
        <w:t>1 September 2017</w:t>
      </w:r>
    </w:p>
    <w:p w:rsidR="00623884" w:rsidRDefault="00623884" w:rsidP="0059658C">
      <w:pPr>
        <w:rPr>
          <w:rFonts w:cs="Arial"/>
          <w:sz w:val="32"/>
        </w:rPr>
      </w:pPr>
      <w:r>
        <w:rPr>
          <w:rFonts w:cs="Arial"/>
          <w:sz w:val="32"/>
        </w:rPr>
        <w:br w:type="page"/>
      </w:r>
    </w:p>
    <w:p w:rsidR="00623884" w:rsidRDefault="00623884" w:rsidP="0059658C">
      <w:pPr>
        <w:rPr>
          <w:rFonts w:cs="Arial"/>
          <w:sz w:val="32"/>
        </w:rPr>
      </w:pPr>
    </w:p>
    <w:p w:rsidR="00623884" w:rsidRDefault="00623884" w:rsidP="0059658C">
      <w:pPr>
        <w:rPr>
          <w:rFonts w:cs="Arial"/>
          <w:sz w:val="32"/>
        </w:rPr>
      </w:pPr>
    </w:p>
    <w:p w:rsidR="004B4AEA" w:rsidRDefault="001421B7" w:rsidP="0059658C">
      <w:pPr>
        <w:pStyle w:val="Subtitle"/>
        <w:spacing w:after="120" w:line="240" w:lineRule="auto"/>
        <w:rPr>
          <w:b w:val="0"/>
        </w:rPr>
      </w:pPr>
      <w:r w:rsidRPr="00871503">
        <w:rPr>
          <w:b w:val="0"/>
        </w:rPr>
        <w:t>Service Spec</w:t>
      </w:r>
      <w:r w:rsidR="0022337A" w:rsidRPr="00871503">
        <w:rPr>
          <w:b w:val="0"/>
        </w:rPr>
        <w:t>ification</w:t>
      </w:r>
      <w:r w:rsidR="006F57DD" w:rsidRPr="00871503">
        <w:rPr>
          <w:b w:val="0"/>
        </w:rPr>
        <w:t xml:space="preserve"> | </w:t>
      </w:r>
      <w:r w:rsidR="00623884">
        <w:rPr>
          <w:b w:val="0"/>
        </w:rPr>
        <w:t xml:space="preserve">September </w:t>
      </w:r>
      <w:r w:rsidR="00AE217F" w:rsidRPr="00871503">
        <w:rPr>
          <w:b w:val="0"/>
        </w:rPr>
        <w:t>2017</w:t>
      </w:r>
      <w:r w:rsidR="00AF1020">
        <w:rPr>
          <w:b w:val="0"/>
        </w:rPr>
        <w:t xml:space="preserve"> </w:t>
      </w:r>
    </w:p>
    <w:sdt>
      <w:sdtPr>
        <w:rPr>
          <w:rFonts w:eastAsiaTheme="minorHAnsi" w:cstheme="minorBidi"/>
          <w:b w:val="0"/>
          <w:sz w:val="22"/>
          <w:szCs w:val="22"/>
          <w:lang w:val="en-GB"/>
        </w:rPr>
        <w:id w:val="-319269509"/>
        <w:docPartObj>
          <w:docPartGallery w:val="Table of Contents"/>
          <w:docPartUnique/>
        </w:docPartObj>
      </w:sdtPr>
      <w:sdtEndPr>
        <w:rPr>
          <w:bCs/>
          <w:noProof/>
        </w:rPr>
      </w:sdtEndPr>
      <w:sdtContent>
        <w:p w:rsidR="004B4AEA" w:rsidRDefault="00C12ED1" w:rsidP="0059658C">
          <w:pPr>
            <w:pStyle w:val="TOCHeading"/>
            <w:numPr>
              <w:ilvl w:val="0"/>
              <w:numId w:val="0"/>
            </w:numPr>
            <w:ind w:left="720"/>
          </w:pPr>
          <w:r>
            <w:rPr>
              <w:rFonts w:eastAsiaTheme="minorHAnsi" w:cstheme="minorBidi"/>
              <w:b w:val="0"/>
              <w:szCs w:val="22"/>
              <w:lang w:val="en-GB"/>
            </w:rPr>
            <w:t xml:space="preserve">Table of </w:t>
          </w:r>
          <w:r w:rsidR="004B4AEA">
            <w:t>Contents</w:t>
          </w:r>
        </w:p>
        <w:p w:rsidR="00623884" w:rsidRDefault="004B4AEA" w:rsidP="0059658C">
          <w:pPr>
            <w:pStyle w:val="TOC1"/>
            <w:rPr>
              <w:rFonts w:asciiTheme="minorHAnsi" w:eastAsiaTheme="minorEastAsia" w:hAnsiTheme="minorHAnsi"/>
              <w:noProof/>
              <w:lang w:eastAsia="en-GB"/>
            </w:rPr>
          </w:pPr>
          <w:r>
            <w:fldChar w:fldCharType="begin"/>
          </w:r>
          <w:r>
            <w:instrText xml:space="preserve"> TOC \o "1-3" \h \z \u </w:instrText>
          </w:r>
          <w:r>
            <w:fldChar w:fldCharType="separate"/>
          </w:r>
          <w:hyperlink w:anchor="_Toc491351916" w:history="1">
            <w:r w:rsidR="00623884" w:rsidRPr="006628A8">
              <w:rPr>
                <w:rStyle w:val="Hyperlink"/>
                <w:noProof/>
              </w:rPr>
              <w:t>1.</w:t>
            </w:r>
            <w:r w:rsidR="00623884">
              <w:rPr>
                <w:rFonts w:asciiTheme="minorHAnsi" w:eastAsiaTheme="minorEastAsia" w:hAnsiTheme="minorHAnsi"/>
                <w:noProof/>
                <w:lang w:eastAsia="en-GB"/>
              </w:rPr>
              <w:tab/>
            </w:r>
            <w:r w:rsidR="00623884" w:rsidRPr="006628A8">
              <w:rPr>
                <w:rStyle w:val="Hyperlink"/>
                <w:noProof/>
              </w:rPr>
              <w:t>Introduction</w:t>
            </w:r>
            <w:r w:rsidR="00623884">
              <w:rPr>
                <w:noProof/>
                <w:webHidden/>
              </w:rPr>
              <w:tab/>
            </w:r>
            <w:r w:rsidR="00623884">
              <w:rPr>
                <w:noProof/>
                <w:webHidden/>
              </w:rPr>
              <w:fldChar w:fldCharType="begin"/>
            </w:r>
            <w:r w:rsidR="00623884">
              <w:rPr>
                <w:noProof/>
                <w:webHidden/>
              </w:rPr>
              <w:instrText xml:space="preserve"> PAGEREF _Toc491351916 \h </w:instrText>
            </w:r>
            <w:r w:rsidR="00623884">
              <w:rPr>
                <w:noProof/>
                <w:webHidden/>
              </w:rPr>
            </w:r>
            <w:r w:rsidR="00623884">
              <w:rPr>
                <w:noProof/>
                <w:webHidden/>
              </w:rPr>
              <w:fldChar w:fldCharType="separate"/>
            </w:r>
            <w:r w:rsidR="00E22113">
              <w:rPr>
                <w:noProof/>
                <w:webHidden/>
              </w:rPr>
              <w:t>3</w:t>
            </w:r>
            <w:r w:rsidR="00623884">
              <w:rPr>
                <w:noProof/>
                <w:webHidden/>
              </w:rPr>
              <w:fldChar w:fldCharType="end"/>
            </w:r>
          </w:hyperlink>
        </w:p>
        <w:p w:rsidR="00623884" w:rsidRDefault="004839AC" w:rsidP="0059658C">
          <w:pPr>
            <w:pStyle w:val="TOC1"/>
            <w:rPr>
              <w:rFonts w:asciiTheme="minorHAnsi" w:eastAsiaTheme="minorEastAsia" w:hAnsiTheme="minorHAnsi"/>
              <w:noProof/>
              <w:lang w:eastAsia="en-GB"/>
            </w:rPr>
          </w:pPr>
          <w:hyperlink w:anchor="_Toc491351917" w:history="1">
            <w:r w:rsidR="00623884" w:rsidRPr="006628A8">
              <w:rPr>
                <w:rStyle w:val="Hyperlink"/>
                <w:noProof/>
              </w:rPr>
              <w:t>2.</w:t>
            </w:r>
            <w:r w:rsidR="00623884">
              <w:rPr>
                <w:rFonts w:asciiTheme="minorHAnsi" w:eastAsiaTheme="minorEastAsia" w:hAnsiTheme="minorHAnsi"/>
                <w:noProof/>
                <w:lang w:eastAsia="en-GB"/>
              </w:rPr>
              <w:tab/>
            </w:r>
            <w:r w:rsidR="00623884" w:rsidRPr="006628A8">
              <w:rPr>
                <w:rStyle w:val="Hyperlink"/>
                <w:noProof/>
              </w:rPr>
              <w:t>Vision</w:t>
            </w:r>
            <w:r w:rsidR="00623884">
              <w:rPr>
                <w:noProof/>
                <w:webHidden/>
              </w:rPr>
              <w:tab/>
            </w:r>
            <w:r w:rsidR="00623884">
              <w:rPr>
                <w:noProof/>
                <w:webHidden/>
              </w:rPr>
              <w:fldChar w:fldCharType="begin"/>
            </w:r>
            <w:r w:rsidR="00623884">
              <w:rPr>
                <w:noProof/>
                <w:webHidden/>
              </w:rPr>
              <w:instrText xml:space="preserve"> PAGEREF _Toc491351917 \h </w:instrText>
            </w:r>
            <w:r w:rsidR="00623884">
              <w:rPr>
                <w:noProof/>
                <w:webHidden/>
              </w:rPr>
            </w:r>
            <w:r w:rsidR="00623884">
              <w:rPr>
                <w:noProof/>
                <w:webHidden/>
              </w:rPr>
              <w:fldChar w:fldCharType="separate"/>
            </w:r>
            <w:r w:rsidR="00E22113">
              <w:rPr>
                <w:noProof/>
                <w:webHidden/>
              </w:rPr>
              <w:t>5</w:t>
            </w:r>
            <w:r w:rsidR="00623884">
              <w:rPr>
                <w:noProof/>
                <w:webHidden/>
              </w:rPr>
              <w:fldChar w:fldCharType="end"/>
            </w:r>
          </w:hyperlink>
        </w:p>
        <w:p w:rsidR="00623884" w:rsidRDefault="004839AC" w:rsidP="0059658C">
          <w:pPr>
            <w:pStyle w:val="TOC1"/>
            <w:rPr>
              <w:rFonts w:asciiTheme="minorHAnsi" w:eastAsiaTheme="minorEastAsia" w:hAnsiTheme="minorHAnsi"/>
              <w:noProof/>
              <w:lang w:eastAsia="en-GB"/>
            </w:rPr>
          </w:pPr>
          <w:hyperlink w:anchor="_Toc491351918" w:history="1">
            <w:r w:rsidR="00623884" w:rsidRPr="006628A8">
              <w:rPr>
                <w:rStyle w:val="Hyperlink"/>
                <w:noProof/>
              </w:rPr>
              <w:t>4.</w:t>
            </w:r>
            <w:r w:rsidR="00623884">
              <w:rPr>
                <w:rFonts w:asciiTheme="minorHAnsi" w:eastAsiaTheme="minorEastAsia" w:hAnsiTheme="minorHAnsi"/>
                <w:noProof/>
                <w:lang w:eastAsia="en-GB"/>
              </w:rPr>
              <w:tab/>
            </w:r>
            <w:r w:rsidR="00623884" w:rsidRPr="006628A8">
              <w:rPr>
                <w:rStyle w:val="Hyperlink"/>
                <w:noProof/>
              </w:rPr>
              <w:t>Aims and objectives of the SCR Health Led Employment Trial</w:t>
            </w:r>
            <w:r w:rsidR="00623884">
              <w:rPr>
                <w:noProof/>
                <w:webHidden/>
              </w:rPr>
              <w:tab/>
            </w:r>
            <w:r w:rsidR="00623884">
              <w:rPr>
                <w:noProof/>
                <w:webHidden/>
              </w:rPr>
              <w:fldChar w:fldCharType="begin"/>
            </w:r>
            <w:r w:rsidR="00623884">
              <w:rPr>
                <w:noProof/>
                <w:webHidden/>
              </w:rPr>
              <w:instrText xml:space="preserve"> PAGEREF _Toc491351918 \h </w:instrText>
            </w:r>
            <w:r w:rsidR="00623884">
              <w:rPr>
                <w:noProof/>
                <w:webHidden/>
              </w:rPr>
            </w:r>
            <w:r w:rsidR="00623884">
              <w:rPr>
                <w:noProof/>
                <w:webHidden/>
              </w:rPr>
              <w:fldChar w:fldCharType="separate"/>
            </w:r>
            <w:r w:rsidR="00E22113">
              <w:rPr>
                <w:noProof/>
                <w:webHidden/>
              </w:rPr>
              <w:t>6</w:t>
            </w:r>
            <w:r w:rsidR="00623884">
              <w:rPr>
                <w:noProof/>
                <w:webHidden/>
              </w:rPr>
              <w:fldChar w:fldCharType="end"/>
            </w:r>
          </w:hyperlink>
        </w:p>
        <w:p w:rsidR="00623884" w:rsidRDefault="004839AC" w:rsidP="0059658C">
          <w:pPr>
            <w:pStyle w:val="TOC1"/>
            <w:rPr>
              <w:rFonts w:asciiTheme="minorHAnsi" w:eastAsiaTheme="minorEastAsia" w:hAnsiTheme="minorHAnsi"/>
              <w:noProof/>
              <w:lang w:eastAsia="en-GB"/>
            </w:rPr>
          </w:pPr>
          <w:hyperlink w:anchor="_Toc491351919" w:history="1">
            <w:r w:rsidR="00623884" w:rsidRPr="006628A8">
              <w:rPr>
                <w:rStyle w:val="Hyperlink"/>
                <w:noProof/>
              </w:rPr>
              <w:t>5.</w:t>
            </w:r>
            <w:r w:rsidR="00623884">
              <w:rPr>
                <w:rFonts w:asciiTheme="minorHAnsi" w:eastAsiaTheme="minorEastAsia" w:hAnsiTheme="minorHAnsi"/>
                <w:noProof/>
                <w:lang w:eastAsia="en-GB"/>
              </w:rPr>
              <w:tab/>
            </w:r>
            <w:r w:rsidR="00623884" w:rsidRPr="006628A8">
              <w:rPr>
                <w:rStyle w:val="Hyperlink"/>
                <w:noProof/>
              </w:rPr>
              <w:t>Individual Placement Support (IPS)</w:t>
            </w:r>
            <w:r w:rsidR="00623884">
              <w:rPr>
                <w:noProof/>
                <w:webHidden/>
              </w:rPr>
              <w:tab/>
            </w:r>
            <w:r w:rsidR="00623884">
              <w:rPr>
                <w:noProof/>
                <w:webHidden/>
              </w:rPr>
              <w:fldChar w:fldCharType="begin"/>
            </w:r>
            <w:r w:rsidR="00623884">
              <w:rPr>
                <w:noProof/>
                <w:webHidden/>
              </w:rPr>
              <w:instrText xml:space="preserve"> PAGEREF _Toc491351919 \h </w:instrText>
            </w:r>
            <w:r w:rsidR="00623884">
              <w:rPr>
                <w:noProof/>
                <w:webHidden/>
              </w:rPr>
            </w:r>
            <w:r w:rsidR="00623884">
              <w:rPr>
                <w:noProof/>
                <w:webHidden/>
              </w:rPr>
              <w:fldChar w:fldCharType="separate"/>
            </w:r>
            <w:r w:rsidR="00E22113">
              <w:rPr>
                <w:noProof/>
                <w:webHidden/>
              </w:rPr>
              <w:t>6</w:t>
            </w:r>
            <w:r w:rsidR="00623884">
              <w:rPr>
                <w:noProof/>
                <w:webHidden/>
              </w:rPr>
              <w:fldChar w:fldCharType="end"/>
            </w:r>
          </w:hyperlink>
        </w:p>
        <w:p w:rsidR="00623884" w:rsidRDefault="004839AC" w:rsidP="0059658C">
          <w:pPr>
            <w:pStyle w:val="TOC1"/>
            <w:rPr>
              <w:rFonts w:asciiTheme="minorHAnsi" w:eastAsiaTheme="minorEastAsia" w:hAnsiTheme="minorHAnsi"/>
              <w:noProof/>
              <w:lang w:eastAsia="en-GB"/>
            </w:rPr>
          </w:pPr>
          <w:hyperlink w:anchor="_Toc491351920" w:history="1">
            <w:r w:rsidR="00623884" w:rsidRPr="006628A8">
              <w:rPr>
                <w:rStyle w:val="Hyperlink"/>
                <w:noProof/>
              </w:rPr>
              <w:t>6.</w:t>
            </w:r>
            <w:r w:rsidR="00623884">
              <w:rPr>
                <w:rFonts w:asciiTheme="minorHAnsi" w:eastAsiaTheme="minorEastAsia" w:hAnsiTheme="minorHAnsi"/>
                <w:noProof/>
                <w:lang w:eastAsia="en-GB"/>
              </w:rPr>
              <w:tab/>
            </w:r>
            <w:r w:rsidR="00623884" w:rsidRPr="006628A8">
              <w:rPr>
                <w:rStyle w:val="Hyperlink"/>
                <w:noProof/>
              </w:rPr>
              <w:t>Service description overview</w:t>
            </w:r>
            <w:r w:rsidR="00623884">
              <w:rPr>
                <w:noProof/>
                <w:webHidden/>
              </w:rPr>
              <w:tab/>
            </w:r>
            <w:r w:rsidR="00623884">
              <w:rPr>
                <w:noProof/>
                <w:webHidden/>
              </w:rPr>
              <w:fldChar w:fldCharType="begin"/>
            </w:r>
            <w:r w:rsidR="00623884">
              <w:rPr>
                <w:noProof/>
                <w:webHidden/>
              </w:rPr>
              <w:instrText xml:space="preserve"> PAGEREF _Toc491351920 \h </w:instrText>
            </w:r>
            <w:r w:rsidR="00623884">
              <w:rPr>
                <w:noProof/>
                <w:webHidden/>
              </w:rPr>
            </w:r>
            <w:r w:rsidR="00623884">
              <w:rPr>
                <w:noProof/>
                <w:webHidden/>
              </w:rPr>
              <w:fldChar w:fldCharType="separate"/>
            </w:r>
            <w:r w:rsidR="00E22113">
              <w:rPr>
                <w:noProof/>
                <w:webHidden/>
              </w:rPr>
              <w:t>7</w:t>
            </w:r>
            <w:r w:rsidR="00623884">
              <w:rPr>
                <w:noProof/>
                <w:webHidden/>
              </w:rPr>
              <w:fldChar w:fldCharType="end"/>
            </w:r>
          </w:hyperlink>
        </w:p>
        <w:p w:rsidR="00623884" w:rsidRDefault="004839AC" w:rsidP="0059658C">
          <w:pPr>
            <w:pStyle w:val="TOC1"/>
            <w:rPr>
              <w:rFonts w:asciiTheme="minorHAnsi" w:eastAsiaTheme="minorEastAsia" w:hAnsiTheme="minorHAnsi"/>
              <w:noProof/>
              <w:lang w:eastAsia="en-GB"/>
            </w:rPr>
          </w:pPr>
          <w:hyperlink w:anchor="_Toc491351921" w:history="1">
            <w:r w:rsidR="00623884" w:rsidRPr="006628A8">
              <w:rPr>
                <w:rStyle w:val="Hyperlink"/>
                <w:noProof/>
              </w:rPr>
              <w:t>7.</w:t>
            </w:r>
            <w:r w:rsidR="00623884">
              <w:rPr>
                <w:rFonts w:asciiTheme="minorHAnsi" w:eastAsiaTheme="minorEastAsia" w:hAnsiTheme="minorHAnsi"/>
                <w:noProof/>
                <w:lang w:eastAsia="en-GB"/>
              </w:rPr>
              <w:tab/>
            </w:r>
            <w:r w:rsidR="00623884" w:rsidRPr="006628A8">
              <w:rPr>
                <w:rStyle w:val="Hyperlink"/>
                <w:noProof/>
              </w:rPr>
              <w:t>Service model – Referral sources and volumes</w:t>
            </w:r>
            <w:r w:rsidR="00623884">
              <w:rPr>
                <w:noProof/>
                <w:webHidden/>
              </w:rPr>
              <w:tab/>
            </w:r>
            <w:r w:rsidR="00623884">
              <w:rPr>
                <w:noProof/>
                <w:webHidden/>
              </w:rPr>
              <w:fldChar w:fldCharType="begin"/>
            </w:r>
            <w:r w:rsidR="00623884">
              <w:rPr>
                <w:noProof/>
                <w:webHidden/>
              </w:rPr>
              <w:instrText xml:space="preserve"> PAGEREF _Toc491351921 \h </w:instrText>
            </w:r>
            <w:r w:rsidR="00623884">
              <w:rPr>
                <w:noProof/>
                <w:webHidden/>
              </w:rPr>
            </w:r>
            <w:r w:rsidR="00623884">
              <w:rPr>
                <w:noProof/>
                <w:webHidden/>
              </w:rPr>
              <w:fldChar w:fldCharType="separate"/>
            </w:r>
            <w:r w:rsidR="00E22113">
              <w:rPr>
                <w:noProof/>
                <w:webHidden/>
              </w:rPr>
              <w:t>9</w:t>
            </w:r>
            <w:r w:rsidR="00623884">
              <w:rPr>
                <w:noProof/>
                <w:webHidden/>
              </w:rPr>
              <w:fldChar w:fldCharType="end"/>
            </w:r>
          </w:hyperlink>
        </w:p>
        <w:p w:rsidR="00623884" w:rsidRDefault="004839AC" w:rsidP="0059658C">
          <w:pPr>
            <w:pStyle w:val="TOC1"/>
            <w:rPr>
              <w:rFonts w:asciiTheme="minorHAnsi" w:eastAsiaTheme="minorEastAsia" w:hAnsiTheme="minorHAnsi"/>
              <w:noProof/>
              <w:lang w:eastAsia="en-GB"/>
            </w:rPr>
          </w:pPr>
          <w:hyperlink w:anchor="_Toc491351922" w:history="1">
            <w:r w:rsidR="00623884" w:rsidRPr="006628A8">
              <w:rPr>
                <w:rStyle w:val="Hyperlink"/>
                <w:noProof/>
              </w:rPr>
              <w:t>8.</w:t>
            </w:r>
            <w:r w:rsidR="00623884">
              <w:rPr>
                <w:rFonts w:asciiTheme="minorHAnsi" w:eastAsiaTheme="minorEastAsia" w:hAnsiTheme="minorHAnsi"/>
                <w:noProof/>
                <w:lang w:eastAsia="en-GB"/>
              </w:rPr>
              <w:tab/>
            </w:r>
            <w:r w:rsidR="00623884" w:rsidRPr="006628A8">
              <w:rPr>
                <w:rStyle w:val="Hyperlink"/>
                <w:noProof/>
              </w:rPr>
              <w:t>Service model – Initial meeting: Overview</w:t>
            </w:r>
            <w:r w:rsidR="00623884">
              <w:rPr>
                <w:noProof/>
                <w:webHidden/>
              </w:rPr>
              <w:tab/>
            </w:r>
            <w:r w:rsidR="00623884">
              <w:rPr>
                <w:noProof/>
                <w:webHidden/>
              </w:rPr>
              <w:fldChar w:fldCharType="begin"/>
            </w:r>
            <w:r w:rsidR="00623884">
              <w:rPr>
                <w:noProof/>
                <w:webHidden/>
              </w:rPr>
              <w:instrText xml:space="preserve"> PAGEREF _Toc491351922 \h </w:instrText>
            </w:r>
            <w:r w:rsidR="00623884">
              <w:rPr>
                <w:noProof/>
                <w:webHidden/>
              </w:rPr>
            </w:r>
            <w:r w:rsidR="00623884">
              <w:rPr>
                <w:noProof/>
                <w:webHidden/>
              </w:rPr>
              <w:fldChar w:fldCharType="separate"/>
            </w:r>
            <w:r w:rsidR="00E22113">
              <w:rPr>
                <w:noProof/>
                <w:webHidden/>
              </w:rPr>
              <w:t>9</w:t>
            </w:r>
            <w:r w:rsidR="00623884">
              <w:rPr>
                <w:noProof/>
                <w:webHidden/>
              </w:rPr>
              <w:fldChar w:fldCharType="end"/>
            </w:r>
          </w:hyperlink>
        </w:p>
        <w:p w:rsidR="00623884" w:rsidRDefault="004839AC" w:rsidP="0059658C">
          <w:pPr>
            <w:pStyle w:val="TOC1"/>
            <w:rPr>
              <w:rFonts w:asciiTheme="minorHAnsi" w:eastAsiaTheme="minorEastAsia" w:hAnsiTheme="minorHAnsi"/>
              <w:noProof/>
              <w:lang w:eastAsia="en-GB"/>
            </w:rPr>
          </w:pPr>
          <w:hyperlink w:anchor="_Toc491351923" w:history="1">
            <w:r w:rsidR="00623884" w:rsidRPr="006628A8">
              <w:rPr>
                <w:rStyle w:val="Hyperlink"/>
                <w:noProof/>
              </w:rPr>
              <w:t>9.</w:t>
            </w:r>
            <w:r w:rsidR="00623884">
              <w:rPr>
                <w:rFonts w:asciiTheme="minorHAnsi" w:eastAsiaTheme="minorEastAsia" w:hAnsiTheme="minorHAnsi"/>
                <w:noProof/>
                <w:lang w:eastAsia="en-GB"/>
              </w:rPr>
              <w:tab/>
            </w:r>
            <w:r w:rsidR="00623884" w:rsidRPr="006628A8">
              <w:rPr>
                <w:rStyle w:val="Hyperlink"/>
                <w:noProof/>
              </w:rPr>
              <w:t>Service model - Initial meeting (1): Eligibility check</w:t>
            </w:r>
            <w:r w:rsidR="00623884">
              <w:rPr>
                <w:noProof/>
                <w:webHidden/>
              </w:rPr>
              <w:tab/>
            </w:r>
            <w:r w:rsidR="00623884">
              <w:rPr>
                <w:noProof/>
                <w:webHidden/>
              </w:rPr>
              <w:fldChar w:fldCharType="begin"/>
            </w:r>
            <w:r w:rsidR="00623884">
              <w:rPr>
                <w:noProof/>
                <w:webHidden/>
              </w:rPr>
              <w:instrText xml:space="preserve"> PAGEREF _Toc491351923 \h </w:instrText>
            </w:r>
            <w:r w:rsidR="00623884">
              <w:rPr>
                <w:noProof/>
                <w:webHidden/>
              </w:rPr>
            </w:r>
            <w:r w:rsidR="00623884">
              <w:rPr>
                <w:noProof/>
                <w:webHidden/>
              </w:rPr>
              <w:fldChar w:fldCharType="separate"/>
            </w:r>
            <w:r w:rsidR="00E22113">
              <w:rPr>
                <w:noProof/>
                <w:webHidden/>
              </w:rPr>
              <w:t>10</w:t>
            </w:r>
            <w:r w:rsidR="00623884">
              <w:rPr>
                <w:noProof/>
                <w:webHidden/>
              </w:rPr>
              <w:fldChar w:fldCharType="end"/>
            </w:r>
          </w:hyperlink>
        </w:p>
        <w:p w:rsidR="00623884" w:rsidRDefault="004839AC" w:rsidP="0059658C">
          <w:pPr>
            <w:pStyle w:val="TOC1"/>
            <w:rPr>
              <w:rFonts w:asciiTheme="minorHAnsi" w:eastAsiaTheme="minorEastAsia" w:hAnsiTheme="minorHAnsi"/>
              <w:noProof/>
              <w:lang w:eastAsia="en-GB"/>
            </w:rPr>
          </w:pPr>
          <w:hyperlink w:anchor="_Toc491351924" w:history="1">
            <w:r w:rsidR="00623884" w:rsidRPr="006628A8">
              <w:rPr>
                <w:rStyle w:val="Hyperlink"/>
                <w:noProof/>
              </w:rPr>
              <w:t>10.</w:t>
            </w:r>
            <w:r w:rsidR="00623884">
              <w:rPr>
                <w:rFonts w:asciiTheme="minorHAnsi" w:eastAsiaTheme="minorEastAsia" w:hAnsiTheme="minorHAnsi"/>
                <w:noProof/>
                <w:lang w:eastAsia="en-GB"/>
              </w:rPr>
              <w:tab/>
            </w:r>
            <w:r w:rsidR="00623884" w:rsidRPr="006628A8">
              <w:rPr>
                <w:rStyle w:val="Hyperlink"/>
                <w:noProof/>
              </w:rPr>
              <w:t>Service model – Initial meeting (2): Informed consent</w:t>
            </w:r>
            <w:r w:rsidR="00623884">
              <w:rPr>
                <w:noProof/>
                <w:webHidden/>
              </w:rPr>
              <w:tab/>
            </w:r>
            <w:r w:rsidR="00623884">
              <w:rPr>
                <w:noProof/>
                <w:webHidden/>
              </w:rPr>
              <w:fldChar w:fldCharType="begin"/>
            </w:r>
            <w:r w:rsidR="00623884">
              <w:rPr>
                <w:noProof/>
                <w:webHidden/>
              </w:rPr>
              <w:instrText xml:space="preserve"> PAGEREF _Toc491351924 \h </w:instrText>
            </w:r>
            <w:r w:rsidR="00623884">
              <w:rPr>
                <w:noProof/>
                <w:webHidden/>
              </w:rPr>
            </w:r>
            <w:r w:rsidR="00623884">
              <w:rPr>
                <w:noProof/>
                <w:webHidden/>
              </w:rPr>
              <w:fldChar w:fldCharType="separate"/>
            </w:r>
            <w:r w:rsidR="00E22113">
              <w:rPr>
                <w:noProof/>
                <w:webHidden/>
              </w:rPr>
              <w:t>11</w:t>
            </w:r>
            <w:r w:rsidR="00623884">
              <w:rPr>
                <w:noProof/>
                <w:webHidden/>
              </w:rPr>
              <w:fldChar w:fldCharType="end"/>
            </w:r>
          </w:hyperlink>
        </w:p>
        <w:p w:rsidR="00623884" w:rsidRDefault="004839AC" w:rsidP="0059658C">
          <w:pPr>
            <w:pStyle w:val="TOC1"/>
            <w:rPr>
              <w:rFonts w:asciiTheme="minorHAnsi" w:eastAsiaTheme="minorEastAsia" w:hAnsiTheme="minorHAnsi"/>
              <w:noProof/>
              <w:lang w:eastAsia="en-GB"/>
            </w:rPr>
          </w:pPr>
          <w:hyperlink w:anchor="_Toc491351925" w:history="1">
            <w:r w:rsidR="00623884" w:rsidRPr="006628A8">
              <w:rPr>
                <w:rStyle w:val="Hyperlink"/>
                <w:noProof/>
              </w:rPr>
              <w:t>11.</w:t>
            </w:r>
            <w:r w:rsidR="00623884">
              <w:rPr>
                <w:rFonts w:asciiTheme="minorHAnsi" w:eastAsiaTheme="minorEastAsia" w:hAnsiTheme="minorHAnsi"/>
                <w:noProof/>
                <w:lang w:eastAsia="en-GB"/>
              </w:rPr>
              <w:tab/>
            </w:r>
            <w:r w:rsidR="00623884" w:rsidRPr="006628A8">
              <w:rPr>
                <w:rStyle w:val="Hyperlink"/>
                <w:noProof/>
              </w:rPr>
              <w:t>Service model – Initial meeting (3): Baseline data</w:t>
            </w:r>
            <w:r w:rsidR="00623884">
              <w:rPr>
                <w:noProof/>
                <w:webHidden/>
              </w:rPr>
              <w:tab/>
            </w:r>
            <w:r w:rsidR="00623884">
              <w:rPr>
                <w:noProof/>
                <w:webHidden/>
              </w:rPr>
              <w:fldChar w:fldCharType="begin"/>
            </w:r>
            <w:r w:rsidR="00623884">
              <w:rPr>
                <w:noProof/>
                <w:webHidden/>
              </w:rPr>
              <w:instrText xml:space="preserve"> PAGEREF _Toc491351925 \h </w:instrText>
            </w:r>
            <w:r w:rsidR="00623884">
              <w:rPr>
                <w:noProof/>
                <w:webHidden/>
              </w:rPr>
            </w:r>
            <w:r w:rsidR="00623884">
              <w:rPr>
                <w:noProof/>
                <w:webHidden/>
              </w:rPr>
              <w:fldChar w:fldCharType="separate"/>
            </w:r>
            <w:r w:rsidR="00E22113">
              <w:rPr>
                <w:noProof/>
                <w:webHidden/>
              </w:rPr>
              <w:t>11</w:t>
            </w:r>
            <w:r w:rsidR="00623884">
              <w:rPr>
                <w:noProof/>
                <w:webHidden/>
              </w:rPr>
              <w:fldChar w:fldCharType="end"/>
            </w:r>
          </w:hyperlink>
        </w:p>
        <w:p w:rsidR="00623884" w:rsidRDefault="004839AC" w:rsidP="0059658C">
          <w:pPr>
            <w:pStyle w:val="TOC1"/>
            <w:rPr>
              <w:rFonts w:asciiTheme="minorHAnsi" w:eastAsiaTheme="minorEastAsia" w:hAnsiTheme="minorHAnsi"/>
              <w:noProof/>
              <w:lang w:eastAsia="en-GB"/>
            </w:rPr>
          </w:pPr>
          <w:hyperlink w:anchor="_Toc491351926" w:history="1">
            <w:r w:rsidR="00623884" w:rsidRPr="006628A8">
              <w:rPr>
                <w:rStyle w:val="Hyperlink"/>
                <w:noProof/>
              </w:rPr>
              <w:t>12.</w:t>
            </w:r>
            <w:r w:rsidR="00623884">
              <w:rPr>
                <w:rFonts w:asciiTheme="minorHAnsi" w:eastAsiaTheme="minorEastAsia" w:hAnsiTheme="minorHAnsi"/>
                <w:noProof/>
                <w:lang w:eastAsia="en-GB"/>
              </w:rPr>
              <w:tab/>
            </w:r>
            <w:r w:rsidR="00623884" w:rsidRPr="006628A8">
              <w:rPr>
                <w:rStyle w:val="Hyperlink"/>
                <w:noProof/>
              </w:rPr>
              <w:t>Service model – Initial meeting (4): Randomisation</w:t>
            </w:r>
            <w:r w:rsidR="00623884">
              <w:rPr>
                <w:noProof/>
                <w:webHidden/>
              </w:rPr>
              <w:tab/>
            </w:r>
            <w:r w:rsidR="00623884">
              <w:rPr>
                <w:noProof/>
                <w:webHidden/>
              </w:rPr>
              <w:fldChar w:fldCharType="begin"/>
            </w:r>
            <w:r w:rsidR="00623884">
              <w:rPr>
                <w:noProof/>
                <w:webHidden/>
              </w:rPr>
              <w:instrText xml:space="preserve"> PAGEREF _Toc491351926 \h </w:instrText>
            </w:r>
            <w:r w:rsidR="00623884">
              <w:rPr>
                <w:noProof/>
                <w:webHidden/>
              </w:rPr>
            </w:r>
            <w:r w:rsidR="00623884">
              <w:rPr>
                <w:noProof/>
                <w:webHidden/>
              </w:rPr>
              <w:fldChar w:fldCharType="separate"/>
            </w:r>
            <w:r w:rsidR="00E22113">
              <w:rPr>
                <w:noProof/>
                <w:webHidden/>
              </w:rPr>
              <w:t>12</w:t>
            </w:r>
            <w:r w:rsidR="00623884">
              <w:rPr>
                <w:noProof/>
                <w:webHidden/>
              </w:rPr>
              <w:fldChar w:fldCharType="end"/>
            </w:r>
          </w:hyperlink>
        </w:p>
        <w:p w:rsidR="00623884" w:rsidRDefault="004839AC" w:rsidP="0059658C">
          <w:pPr>
            <w:pStyle w:val="TOC1"/>
            <w:rPr>
              <w:rFonts w:asciiTheme="minorHAnsi" w:eastAsiaTheme="minorEastAsia" w:hAnsiTheme="minorHAnsi"/>
              <w:noProof/>
              <w:lang w:eastAsia="en-GB"/>
            </w:rPr>
          </w:pPr>
          <w:hyperlink w:anchor="_Toc491351927" w:history="1">
            <w:r w:rsidR="00623884" w:rsidRPr="006628A8">
              <w:rPr>
                <w:rStyle w:val="Hyperlink"/>
                <w:noProof/>
              </w:rPr>
              <w:t>13.</w:t>
            </w:r>
            <w:r w:rsidR="00623884">
              <w:rPr>
                <w:rFonts w:asciiTheme="minorHAnsi" w:eastAsiaTheme="minorEastAsia" w:hAnsiTheme="minorHAnsi"/>
                <w:noProof/>
                <w:lang w:eastAsia="en-GB"/>
              </w:rPr>
              <w:tab/>
            </w:r>
            <w:r w:rsidR="00623884" w:rsidRPr="006628A8">
              <w:rPr>
                <w:rStyle w:val="Hyperlink"/>
                <w:noProof/>
              </w:rPr>
              <w:t>Service model – Delivery of moderated IPS service</w:t>
            </w:r>
            <w:r w:rsidR="00623884">
              <w:rPr>
                <w:noProof/>
                <w:webHidden/>
              </w:rPr>
              <w:tab/>
            </w:r>
            <w:r w:rsidR="00623884">
              <w:rPr>
                <w:noProof/>
                <w:webHidden/>
              </w:rPr>
              <w:fldChar w:fldCharType="begin"/>
            </w:r>
            <w:r w:rsidR="00623884">
              <w:rPr>
                <w:noProof/>
                <w:webHidden/>
              </w:rPr>
              <w:instrText xml:space="preserve"> PAGEREF _Toc491351927 \h </w:instrText>
            </w:r>
            <w:r w:rsidR="00623884">
              <w:rPr>
                <w:noProof/>
                <w:webHidden/>
              </w:rPr>
            </w:r>
            <w:r w:rsidR="00623884">
              <w:rPr>
                <w:noProof/>
                <w:webHidden/>
              </w:rPr>
              <w:fldChar w:fldCharType="separate"/>
            </w:r>
            <w:r w:rsidR="00E22113">
              <w:rPr>
                <w:noProof/>
                <w:webHidden/>
              </w:rPr>
              <w:t>12</w:t>
            </w:r>
            <w:r w:rsidR="00623884">
              <w:rPr>
                <w:noProof/>
                <w:webHidden/>
              </w:rPr>
              <w:fldChar w:fldCharType="end"/>
            </w:r>
          </w:hyperlink>
        </w:p>
        <w:p w:rsidR="00623884" w:rsidRDefault="004839AC" w:rsidP="0059658C">
          <w:pPr>
            <w:pStyle w:val="TOC1"/>
            <w:rPr>
              <w:rFonts w:asciiTheme="minorHAnsi" w:eastAsiaTheme="minorEastAsia" w:hAnsiTheme="minorHAnsi"/>
              <w:noProof/>
              <w:lang w:eastAsia="en-GB"/>
            </w:rPr>
          </w:pPr>
          <w:hyperlink w:anchor="_Toc491351928" w:history="1">
            <w:r w:rsidR="00623884" w:rsidRPr="006628A8">
              <w:rPr>
                <w:rStyle w:val="Hyperlink"/>
                <w:noProof/>
              </w:rPr>
              <w:t>14.</w:t>
            </w:r>
            <w:r w:rsidR="00623884">
              <w:rPr>
                <w:rFonts w:asciiTheme="minorHAnsi" w:eastAsiaTheme="minorEastAsia" w:hAnsiTheme="minorHAnsi"/>
                <w:noProof/>
                <w:lang w:eastAsia="en-GB"/>
              </w:rPr>
              <w:tab/>
            </w:r>
            <w:r w:rsidR="00623884" w:rsidRPr="006628A8">
              <w:rPr>
                <w:rStyle w:val="Hyperlink"/>
                <w:noProof/>
              </w:rPr>
              <w:t>Staffing, caseloads, and recruitment</w:t>
            </w:r>
            <w:r w:rsidR="00623884">
              <w:rPr>
                <w:noProof/>
                <w:webHidden/>
              </w:rPr>
              <w:tab/>
            </w:r>
            <w:r w:rsidR="00623884">
              <w:rPr>
                <w:noProof/>
                <w:webHidden/>
              </w:rPr>
              <w:fldChar w:fldCharType="begin"/>
            </w:r>
            <w:r w:rsidR="00623884">
              <w:rPr>
                <w:noProof/>
                <w:webHidden/>
              </w:rPr>
              <w:instrText xml:space="preserve"> PAGEREF _Toc491351928 \h </w:instrText>
            </w:r>
            <w:r w:rsidR="00623884">
              <w:rPr>
                <w:noProof/>
                <w:webHidden/>
              </w:rPr>
            </w:r>
            <w:r w:rsidR="00623884">
              <w:rPr>
                <w:noProof/>
                <w:webHidden/>
              </w:rPr>
              <w:fldChar w:fldCharType="separate"/>
            </w:r>
            <w:r w:rsidR="00E22113">
              <w:rPr>
                <w:noProof/>
                <w:webHidden/>
              </w:rPr>
              <w:t>13</w:t>
            </w:r>
            <w:r w:rsidR="00623884">
              <w:rPr>
                <w:noProof/>
                <w:webHidden/>
              </w:rPr>
              <w:fldChar w:fldCharType="end"/>
            </w:r>
          </w:hyperlink>
        </w:p>
        <w:p w:rsidR="00623884" w:rsidRDefault="004839AC" w:rsidP="0059658C">
          <w:pPr>
            <w:pStyle w:val="TOC1"/>
            <w:rPr>
              <w:rFonts w:asciiTheme="minorHAnsi" w:eastAsiaTheme="minorEastAsia" w:hAnsiTheme="minorHAnsi"/>
              <w:noProof/>
              <w:lang w:eastAsia="en-GB"/>
            </w:rPr>
          </w:pPr>
          <w:hyperlink w:anchor="_Toc491351929" w:history="1">
            <w:r w:rsidR="00623884" w:rsidRPr="006628A8">
              <w:rPr>
                <w:rStyle w:val="Hyperlink"/>
                <w:noProof/>
              </w:rPr>
              <w:t>15.</w:t>
            </w:r>
            <w:r w:rsidR="00623884">
              <w:rPr>
                <w:rFonts w:asciiTheme="minorHAnsi" w:eastAsiaTheme="minorEastAsia" w:hAnsiTheme="minorHAnsi"/>
                <w:noProof/>
                <w:lang w:eastAsia="en-GB"/>
              </w:rPr>
              <w:tab/>
            </w:r>
            <w:r w:rsidR="00623884" w:rsidRPr="006628A8">
              <w:rPr>
                <w:rStyle w:val="Hyperlink"/>
                <w:noProof/>
              </w:rPr>
              <w:t>Trial evaluation</w:t>
            </w:r>
            <w:r w:rsidR="00623884">
              <w:rPr>
                <w:noProof/>
                <w:webHidden/>
              </w:rPr>
              <w:tab/>
            </w:r>
            <w:r w:rsidR="00623884">
              <w:rPr>
                <w:noProof/>
                <w:webHidden/>
              </w:rPr>
              <w:fldChar w:fldCharType="begin"/>
            </w:r>
            <w:r w:rsidR="00623884">
              <w:rPr>
                <w:noProof/>
                <w:webHidden/>
              </w:rPr>
              <w:instrText xml:space="preserve"> PAGEREF _Toc491351929 \h </w:instrText>
            </w:r>
            <w:r w:rsidR="00623884">
              <w:rPr>
                <w:noProof/>
                <w:webHidden/>
              </w:rPr>
            </w:r>
            <w:r w:rsidR="00623884">
              <w:rPr>
                <w:noProof/>
                <w:webHidden/>
              </w:rPr>
              <w:fldChar w:fldCharType="separate"/>
            </w:r>
            <w:r w:rsidR="00E22113">
              <w:rPr>
                <w:noProof/>
                <w:webHidden/>
              </w:rPr>
              <w:t>14</w:t>
            </w:r>
            <w:r w:rsidR="00623884">
              <w:rPr>
                <w:noProof/>
                <w:webHidden/>
              </w:rPr>
              <w:fldChar w:fldCharType="end"/>
            </w:r>
          </w:hyperlink>
        </w:p>
        <w:p w:rsidR="00623884" w:rsidRDefault="004839AC" w:rsidP="0059658C">
          <w:pPr>
            <w:pStyle w:val="TOC1"/>
            <w:rPr>
              <w:rFonts w:asciiTheme="minorHAnsi" w:eastAsiaTheme="minorEastAsia" w:hAnsiTheme="minorHAnsi"/>
              <w:noProof/>
              <w:lang w:eastAsia="en-GB"/>
            </w:rPr>
          </w:pPr>
          <w:hyperlink w:anchor="_Toc491351930" w:history="1">
            <w:r w:rsidR="00623884" w:rsidRPr="006628A8">
              <w:rPr>
                <w:rStyle w:val="Hyperlink"/>
                <w:noProof/>
              </w:rPr>
              <w:t>16.</w:t>
            </w:r>
            <w:r w:rsidR="00623884">
              <w:rPr>
                <w:rFonts w:asciiTheme="minorHAnsi" w:eastAsiaTheme="minorEastAsia" w:hAnsiTheme="minorHAnsi"/>
                <w:noProof/>
                <w:lang w:eastAsia="en-GB"/>
              </w:rPr>
              <w:tab/>
            </w:r>
            <w:r w:rsidR="00623884" w:rsidRPr="006628A8">
              <w:rPr>
                <w:rStyle w:val="Hyperlink"/>
                <w:noProof/>
              </w:rPr>
              <w:t>Timeline</w:t>
            </w:r>
            <w:r w:rsidR="00623884">
              <w:rPr>
                <w:noProof/>
                <w:webHidden/>
              </w:rPr>
              <w:tab/>
            </w:r>
            <w:r w:rsidR="00623884">
              <w:rPr>
                <w:noProof/>
                <w:webHidden/>
              </w:rPr>
              <w:fldChar w:fldCharType="begin"/>
            </w:r>
            <w:r w:rsidR="00623884">
              <w:rPr>
                <w:noProof/>
                <w:webHidden/>
              </w:rPr>
              <w:instrText xml:space="preserve"> PAGEREF _Toc491351930 \h </w:instrText>
            </w:r>
            <w:r w:rsidR="00623884">
              <w:rPr>
                <w:noProof/>
                <w:webHidden/>
              </w:rPr>
            </w:r>
            <w:r w:rsidR="00623884">
              <w:rPr>
                <w:noProof/>
                <w:webHidden/>
              </w:rPr>
              <w:fldChar w:fldCharType="separate"/>
            </w:r>
            <w:r w:rsidR="00E22113">
              <w:rPr>
                <w:noProof/>
                <w:webHidden/>
              </w:rPr>
              <w:t>15</w:t>
            </w:r>
            <w:r w:rsidR="00623884">
              <w:rPr>
                <w:noProof/>
                <w:webHidden/>
              </w:rPr>
              <w:fldChar w:fldCharType="end"/>
            </w:r>
          </w:hyperlink>
        </w:p>
        <w:p w:rsidR="00623884" w:rsidRDefault="004839AC" w:rsidP="0059658C">
          <w:pPr>
            <w:pStyle w:val="TOC2"/>
            <w:rPr>
              <w:rFonts w:asciiTheme="minorHAnsi" w:hAnsiTheme="minorHAnsi" w:cstheme="minorBidi"/>
              <w:noProof/>
              <w:lang w:val="en-GB" w:eastAsia="en-GB"/>
            </w:rPr>
          </w:pPr>
          <w:hyperlink w:anchor="_Toc491351931" w:history="1">
            <w:r w:rsidR="00623884" w:rsidRPr="006628A8">
              <w:rPr>
                <w:rStyle w:val="Hyperlink"/>
                <w:rFonts w:cs="Arial"/>
                <w:noProof/>
              </w:rPr>
              <w:t>17.</w:t>
            </w:r>
            <w:r w:rsidR="00623884" w:rsidRPr="00623884">
              <w:rPr>
                <w:rFonts w:asciiTheme="minorHAnsi" w:hAnsiTheme="minorHAnsi" w:cstheme="minorBidi"/>
                <w:noProof/>
                <w:lang w:val="en-GB" w:eastAsia="en-GB"/>
              </w:rPr>
              <w:tab/>
            </w:r>
            <w:r w:rsidR="00623884" w:rsidRPr="00623884">
              <w:rPr>
                <w:rStyle w:val="Hyperlink"/>
                <w:rFonts w:cs="Arial"/>
                <w:noProof/>
              </w:rPr>
              <w:t>Contract Lots</w:t>
            </w:r>
            <w:r w:rsidR="00623884">
              <w:rPr>
                <w:noProof/>
                <w:webHidden/>
              </w:rPr>
              <w:tab/>
            </w:r>
            <w:r w:rsidR="00623884">
              <w:rPr>
                <w:noProof/>
                <w:webHidden/>
              </w:rPr>
              <w:fldChar w:fldCharType="begin"/>
            </w:r>
            <w:r w:rsidR="00623884">
              <w:rPr>
                <w:noProof/>
                <w:webHidden/>
              </w:rPr>
              <w:instrText xml:space="preserve"> PAGEREF _Toc491351931 \h </w:instrText>
            </w:r>
            <w:r w:rsidR="00623884">
              <w:rPr>
                <w:noProof/>
                <w:webHidden/>
              </w:rPr>
            </w:r>
            <w:r w:rsidR="00623884">
              <w:rPr>
                <w:noProof/>
                <w:webHidden/>
              </w:rPr>
              <w:fldChar w:fldCharType="separate"/>
            </w:r>
            <w:r w:rsidR="00E22113">
              <w:rPr>
                <w:noProof/>
                <w:webHidden/>
              </w:rPr>
              <w:t>15</w:t>
            </w:r>
            <w:r w:rsidR="00623884">
              <w:rPr>
                <w:noProof/>
                <w:webHidden/>
              </w:rPr>
              <w:fldChar w:fldCharType="end"/>
            </w:r>
          </w:hyperlink>
        </w:p>
        <w:p w:rsidR="00623884" w:rsidRDefault="004839AC" w:rsidP="0059658C">
          <w:pPr>
            <w:pStyle w:val="TOC1"/>
            <w:rPr>
              <w:rFonts w:asciiTheme="minorHAnsi" w:eastAsiaTheme="minorEastAsia" w:hAnsiTheme="minorHAnsi"/>
              <w:noProof/>
              <w:lang w:eastAsia="en-GB"/>
            </w:rPr>
          </w:pPr>
          <w:hyperlink w:anchor="_Toc491351932" w:history="1">
            <w:r w:rsidR="00623884" w:rsidRPr="006628A8">
              <w:rPr>
                <w:rStyle w:val="Hyperlink"/>
                <w:noProof/>
              </w:rPr>
              <w:t>18.</w:t>
            </w:r>
            <w:r w:rsidR="00623884">
              <w:rPr>
                <w:rFonts w:asciiTheme="minorHAnsi" w:eastAsiaTheme="minorEastAsia" w:hAnsiTheme="minorHAnsi"/>
                <w:noProof/>
                <w:lang w:eastAsia="en-GB"/>
              </w:rPr>
              <w:tab/>
            </w:r>
            <w:r w:rsidR="00623884" w:rsidRPr="006628A8">
              <w:rPr>
                <w:rStyle w:val="Hyperlink"/>
                <w:noProof/>
              </w:rPr>
              <w:t>Finance</w:t>
            </w:r>
            <w:r w:rsidR="00623884">
              <w:rPr>
                <w:noProof/>
                <w:webHidden/>
              </w:rPr>
              <w:tab/>
            </w:r>
            <w:r w:rsidR="00623884">
              <w:rPr>
                <w:noProof/>
                <w:webHidden/>
              </w:rPr>
              <w:fldChar w:fldCharType="begin"/>
            </w:r>
            <w:r w:rsidR="00623884">
              <w:rPr>
                <w:noProof/>
                <w:webHidden/>
              </w:rPr>
              <w:instrText xml:space="preserve"> PAGEREF _Toc491351932 \h </w:instrText>
            </w:r>
            <w:r w:rsidR="00623884">
              <w:rPr>
                <w:noProof/>
                <w:webHidden/>
              </w:rPr>
            </w:r>
            <w:r w:rsidR="00623884">
              <w:rPr>
                <w:noProof/>
                <w:webHidden/>
              </w:rPr>
              <w:fldChar w:fldCharType="separate"/>
            </w:r>
            <w:r w:rsidR="00E22113">
              <w:rPr>
                <w:noProof/>
                <w:webHidden/>
              </w:rPr>
              <w:t>15</w:t>
            </w:r>
            <w:r w:rsidR="00623884">
              <w:rPr>
                <w:noProof/>
                <w:webHidden/>
              </w:rPr>
              <w:fldChar w:fldCharType="end"/>
            </w:r>
          </w:hyperlink>
        </w:p>
        <w:p w:rsidR="00623884" w:rsidRDefault="004839AC" w:rsidP="0059658C">
          <w:pPr>
            <w:pStyle w:val="TOC1"/>
            <w:rPr>
              <w:rFonts w:asciiTheme="minorHAnsi" w:eastAsiaTheme="minorEastAsia" w:hAnsiTheme="minorHAnsi"/>
              <w:noProof/>
              <w:lang w:eastAsia="en-GB"/>
            </w:rPr>
          </w:pPr>
          <w:hyperlink w:anchor="_Toc491351933" w:history="1">
            <w:r w:rsidR="00623884" w:rsidRPr="006628A8">
              <w:rPr>
                <w:rStyle w:val="Hyperlink"/>
                <w:noProof/>
              </w:rPr>
              <w:t>19.</w:t>
            </w:r>
            <w:r w:rsidR="00623884">
              <w:rPr>
                <w:rFonts w:asciiTheme="minorHAnsi" w:eastAsiaTheme="minorEastAsia" w:hAnsiTheme="minorHAnsi"/>
                <w:noProof/>
                <w:lang w:eastAsia="en-GB"/>
              </w:rPr>
              <w:tab/>
            </w:r>
            <w:r w:rsidR="00623884" w:rsidRPr="006628A8">
              <w:rPr>
                <w:rStyle w:val="Hyperlink"/>
                <w:noProof/>
              </w:rPr>
              <w:t>Target outcomes and referral numbers</w:t>
            </w:r>
            <w:r w:rsidR="00623884">
              <w:rPr>
                <w:noProof/>
                <w:webHidden/>
              </w:rPr>
              <w:tab/>
            </w:r>
            <w:r w:rsidR="00623884">
              <w:rPr>
                <w:noProof/>
                <w:webHidden/>
              </w:rPr>
              <w:fldChar w:fldCharType="begin"/>
            </w:r>
            <w:r w:rsidR="00623884">
              <w:rPr>
                <w:noProof/>
                <w:webHidden/>
              </w:rPr>
              <w:instrText xml:space="preserve"> PAGEREF _Toc491351933 \h </w:instrText>
            </w:r>
            <w:r w:rsidR="00623884">
              <w:rPr>
                <w:noProof/>
                <w:webHidden/>
              </w:rPr>
            </w:r>
            <w:r w:rsidR="00623884">
              <w:rPr>
                <w:noProof/>
                <w:webHidden/>
              </w:rPr>
              <w:fldChar w:fldCharType="separate"/>
            </w:r>
            <w:r w:rsidR="00E22113">
              <w:rPr>
                <w:noProof/>
                <w:webHidden/>
              </w:rPr>
              <w:t>17</w:t>
            </w:r>
            <w:r w:rsidR="00623884">
              <w:rPr>
                <w:noProof/>
                <w:webHidden/>
              </w:rPr>
              <w:fldChar w:fldCharType="end"/>
            </w:r>
          </w:hyperlink>
        </w:p>
        <w:p w:rsidR="00623884" w:rsidRDefault="004839AC" w:rsidP="0059658C">
          <w:pPr>
            <w:pStyle w:val="TOC1"/>
            <w:rPr>
              <w:rFonts w:asciiTheme="minorHAnsi" w:eastAsiaTheme="minorEastAsia" w:hAnsiTheme="minorHAnsi"/>
              <w:noProof/>
              <w:lang w:eastAsia="en-GB"/>
            </w:rPr>
          </w:pPr>
          <w:hyperlink w:anchor="_Toc491351934" w:history="1">
            <w:r w:rsidR="00623884" w:rsidRPr="006628A8">
              <w:rPr>
                <w:rStyle w:val="Hyperlink"/>
                <w:noProof/>
              </w:rPr>
              <w:t>20.</w:t>
            </w:r>
            <w:r w:rsidR="00623884">
              <w:rPr>
                <w:rFonts w:asciiTheme="minorHAnsi" w:eastAsiaTheme="minorEastAsia" w:hAnsiTheme="minorHAnsi"/>
                <w:noProof/>
                <w:lang w:eastAsia="en-GB"/>
              </w:rPr>
              <w:tab/>
            </w:r>
            <w:r w:rsidR="00623884" w:rsidRPr="006628A8">
              <w:rPr>
                <w:rStyle w:val="Hyperlink"/>
                <w:noProof/>
              </w:rPr>
              <w:t>Other programmes and trials in the region</w:t>
            </w:r>
            <w:r w:rsidR="00623884">
              <w:rPr>
                <w:noProof/>
                <w:webHidden/>
              </w:rPr>
              <w:tab/>
            </w:r>
            <w:r w:rsidR="00623884">
              <w:rPr>
                <w:noProof/>
                <w:webHidden/>
              </w:rPr>
              <w:fldChar w:fldCharType="begin"/>
            </w:r>
            <w:r w:rsidR="00623884">
              <w:rPr>
                <w:noProof/>
                <w:webHidden/>
              </w:rPr>
              <w:instrText xml:space="preserve"> PAGEREF _Toc491351934 \h </w:instrText>
            </w:r>
            <w:r w:rsidR="00623884">
              <w:rPr>
                <w:noProof/>
                <w:webHidden/>
              </w:rPr>
            </w:r>
            <w:r w:rsidR="00623884">
              <w:rPr>
                <w:noProof/>
                <w:webHidden/>
              </w:rPr>
              <w:fldChar w:fldCharType="separate"/>
            </w:r>
            <w:r w:rsidR="00E22113">
              <w:rPr>
                <w:noProof/>
                <w:webHidden/>
              </w:rPr>
              <w:t>17</w:t>
            </w:r>
            <w:r w:rsidR="00623884">
              <w:rPr>
                <w:noProof/>
                <w:webHidden/>
              </w:rPr>
              <w:fldChar w:fldCharType="end"/>
            </w:r>
          </w:hyperlink>
        </w:p>
        <w:p w:rsidR="00623884" w:rsidRDefault="004839AC" w:rsidP="0059658C">
          <w:pPr>
            <w:pStyle w:val="TOC1"/>
            <w:rPr>
              <w:rFonts w:asciiTheme="minorHAnsi" w:eastAsiaTheme="minorEastAsia" w:hAnsiTheme="minorHAnsi"/>
              <w:noProof/>
              <w:lang w:eastAsia="en-GB"/>
            </w:rPr>
          </w:pPr>
          <w:hyperlink w:anchor="_Toc491351935" w:history="1">
            <w:r w:rsidR="00623884" w:rsidRPr="006628A8">
              <w:rPr>
                <w:rStyle w:val="Hyperlink"/>
                <w:noProof/>
              </w:rPr>
              <w:t>21.</w:t>
            </w:r>
            <w:r w:rsidR="00623884">
              <w:rPr>
                <w:rFonts w:asciiTheme="minorHAnsi" w:eastAsiaTheme="minorEastAsia" w:hAnsiTheme="minorHAnsi"/>
                <w:noProof/>
                <w:lang w:eastAsia="en-GB"/>
              </w:rPr>
              <w:tab/>
            </w:r>
            <w:r w:rsidR="00623884" w:rsidRPr="006628A8">
              <w:rPr>
                <w:rStyle w:val="Hyperlink"/>
                <w:noProof/>
              </w:rPr>
              <w:t>Promotion of the trial</w:t>
            </w:r>
            <w:r w:rsidR="00623884">
              <w:rPr>
                <w:noProof/>
                <w:webHidden/>
              </w:rPr>
              <w:tab/>
            </w:r>
            <w:r w:rsidR="00623884">
              <w:rPr>
                <w:noProof/>
                <w:webHidden/>
              </w:rPr>
              <w:fldChar w:fldCharType="begin"/>
            </w:r>
            <w:r w:rsidR="00623884">
              <w:rPr>
                <w:noProof/>
                <w:webHidden/>
              </w:rPr>
              <w:instrText xml:space="preserve"> PAGEREF _Toc491351935 \h </w:instrText>
            </w:r>
            <w:r w:rsidR="00623884">
              <w:rPr>
                <w:noProof/>
                <w:webHidden/>
              </w:rPr>
            </w:r>
            <w:r w:rsidR="00623884">
              <w:rPr>
                <w:noProof/>
                <w:webHidden/>
              </w:rPr>
              <w:fldChar w:fldCharType="separate"/>
            </w:r>
            <w:r w:rsidR="00E22113">
              <w:rPr>
                <w:noProof/>
                <w:webHidden/>
              </w:rPr>
              <w:t>18</w:t>
            </w:r>
            <w:r w:rsidR="00623884">
              <w:rPr>
                <w:noProof/>
                <w:webHidden/>
              </w:rPr>
              <w:fldChar w:fldCharType="end"/>
            </w:r>
          </w:hyperlink>
        </w:p>
        <w:p w:rsidR="00623884" w:rsidRDefault="004839AC" w:rsidP="0059658C">
          <w:pPr>
            <w:pStyle w:val="TOC1"/>
            <w:rPr>
              <w:rFonts w:asciiTheme="minorHAnsi" w:eastAsiaTheme="minorEastAsia" w:hAnsiTheme="minorHAnsi"/>
              <w:noProof/>
              <w:lang w:eastAsia="en-GB"/>
            </w:rPr>
          </w:pPr>
          <w:hyperlink w:anchor="_Toc491351936" w:history="1">
            <w:r w:rsidR="00623884" w:rsidRPr="006628A8">
              <w:rPr>
                <w:rStyle w:val="Hyperlink"/>
                <w:noProof/>
              </w:rPr>
              <w:t>22.</w:t>
            </w:r>
            <w:r w:rsidR="00623884">
              <w:rPr>
                <w:rFonts w:asciiTheme="minorHAnsi" w:eastAsiaTheme="minorEastAsia" w:hAnsiTheme="minorHAnsi"/>
                <w:noProof/>
                <w:lang w:eastAsia="en-GB"/>
              </w:rPr>
              <w:tab/>
            </w:r>
            <w:r w:rsidR="00623884" w:rsidRPr="006628A8">
              <w:rPr>
                <w:rStyle w:val="Hyperlink"/>
                <w:noProof/>
              </w:rPr>
              <w:t>Working with hard-to-reach communities</w:t>
            </w:r>
            <w:r w:rsidR="00623884">
              <w:rPr>
                <w:noProof/>
                <w:webHidden/>
              </w:rPr>
              <w:tab/>
            </w:r>
            <w:r w:rsidR="00623884">
              <w:rPr>
                <w:noProof/>
                <w:webHidden/>
              </w:rPr>
              <w:fldChar w:fldCharType="begin"/>
            </w:r>
            <w:r w:rsidR="00623884">
              <w:rPr>
                <w:noProof/>
                <w:webHidden/>
              </w:rPr>
              <w:instrText xml:space="preserve"> PAGEREF _Toc491351936 \h </w:instrText>
            </w:r>
            <w:r w:rsidR="00623884">
              <w:rPr>
                <w:noProof/>
                <w:webHidden/>
              </w:rPr>
            </w:r>
            <w:r w:rsidR="00623884">
              <w:rPr>
                <w:noProof/>
                <w:webHidden/>
              </w:rPr>
              <w:fldChar w:fldCharType="separate"/>
            </w:r>
            <w:r w:rsidR="00E22113">
              <w:rPr>
                <w:noProof/>
                <w:webHidden/>
              </w:rPr>
              <w:t>18</w:t>
            </w:r>
            <w:r w:rsidR="00623884">
              <w:rPr>
                <w:noProof/>
                <w:webHidden/>
              </w:rPr>
              <w:fldChar w:fldCharType="end"/>
            </w:r>
          </w:hyperlink>
        </w:p>
        <w:p w:rsidR="00623884" w:rsidRDefault="004839AC" w:rsidP="0059658C">
          <w:pPr>
            <w:pStyle w:val="TOC1"/>
            <w:rPr>
              <w:rFonts w:asciiTheme="minorHAnsi" w:eastAsiaTheme="minorEastAsia" w:hAnsiTheme="minorHAnsi"/>
              <w:noProof/>
              <w:lang w:eastAsia="en-GB"/>
            </w:rPr>
          </w:pPr>
          <w:hyperlink w:anchor="_Toc491351937" w:history="1">
            <w:r w:rsidR="00623884" w:rsidRPr="006628A8">
              <w:rPr>
                <w:rStyle w:val="Hyperlink"/>
                <w:noProof/>
              </w:rPr>
              <w:t>23.</w:t>
            </w:r>
            <w:r w:rsidR="00623884">
              <w:rPr>
                <w:rFonts w:asciiTheme="minorHAnsi" w:eastAsiaTheme="minorEastAsia" w:hAnsiTheme="minorHAnsi"/>
                <w:noProof/>
                <w:lang w:eastAsia="en-GB"/>
              </w:rPr>
              <w:tab/>
            </w:r>
            <w:r w:rsidR="00623884" w:rsidRPr="006628A8">
              <w:rPr>
                <w:rStyle w:val="Hyperlink"/>
                <w:noProof/>
              </w:rPr>
              <w:t>Co-production with service users</w:t>
            </w:r>
            <w:r w:rsidR="00623884">
              <w:rPr>
                <w:noProof/>
                <w:webHidden/>
              </w:rPr>
              <w:tab/>
            </w:r>
            <w:r w:rsidR="00623884">
              <w:rPr>
                <w:noProof/>
                <w:webHidden/>
              </w:rPr>
              <w:fldChar w:fldCharType="begin"/>
            </w:r>
            <w:r w:rsidR="00623884">
              <w:rPr>
                <w:noProof/>
                <w:webHidden/>
              </w:rPr>
              <w:instrText xml:space="preserve"> PAGEREF _Toc491351937 \h </w:instrText>
            </w:r>
            <w:r w:rsidR="00623884">
              <w:rPr>
                <w:noProof/>
                <w:webHidden/>
              </w:rPr>
            </w:r>
            <w:r w:rsidR="00623884">
              <w:rPr>
                <w:noProof/>
                <w:webHidden/>
              </w:rPr>
              <w:fldChar w:fldCharType="separate"/>
            </w:r>
            <w:r w:rsidR="00E22113">
              <w:rPr>
                <w:noProof/>
                <w:webHidden/>
              </w:rPr>
              <w:t>18</w:t>
            </w:r>
            <w:r w:rsidR="00623884">
              <w:rPr>
                <w:noProof/>
                <w:webHidden/>
              </w:rPr>
              <w:fldChar w:fldCharType="end"/>
            </w:r>
          </w:hyperlink>
        </w:p>
        <w:p w:rsidR="00623884" w:rsidRDefault="004839AC" w:rsidP="0059658C">
          <w:pPr>
            <w:pStyle w:val="TOC1"/>
            <w:rPr>
              <w:rFonts w:asciiTheme="minorHAnsi" w:eastAsiaTheme="minorEastAsia" w:hAnsiTheme="minorHAnsi"/>
              <w:noProof/>
              <w:lang w:eastAsia="en-GB"/>
            </w:rPr>
          </w:pPr>
          <w:hyperlink w:anchor="_Toc491351938" w:history="1">
            <w:r w:rsidR="00623884" w:rsidRPr="006628A8">
              <w:rPr>
                <w:rStyle w:val="Hyperlink"/>
                <w:noProof/>
              </w:rPr>
              <w:t>24.</w:t>
            </w:r>
            <w:r w:rsidR="00623884">
              <w:rPr>
                <w:rFonts w:asciiTheme="minorHAnsi" w:eastAsiaTheme="minorEastAsia" w:hAnsiTheme="minorHAnsi"/>
                <w:noProof/>
                <w:lang w:eastAsia="en-GB"/>
              </w:rPr>
              <w:tab/>
            </w:r>
            <w:r w:rsidR="00623884" w:rsidRPr="006628A8">
              <w:rPr>
                <w:rStyle w:val="Hyperlink"/>
                <w:noProof/>
              </w:rPr>
              <w:t>Partnerships and networks</w:t>
            </w:r>
            <w:r w:rsidR="00623884">
              <w:rPr>
                <w:noProof/>
                <w:webHidden/>
              </w:rPr>
              <w:tab/>
            </w:r>
            <w:r w:rsidR="00623884">
              <w:rPr>
                <w:noProof/>
                <w:webHidden/>
              </w:rPr>
              <w:fldChar w:fldCharType="begin"/>
            </w:r>
            <w:r w:rsidR="00623884">
              <w:rPr>
                <w:noProof/>
                <w:webHidden/>
              </w:rPr>
              <w:instrText xml:space="preserve"> PAGEREF _Toc491351938 \h </w:instrText>
            </w:r>
            <w:r w:rsidR="00623884">
              <w:rPr>
                <w:noProof/>
                <w:webHidden/>
              </w:rPr>
            </w:r>
            <w:r w:rsidR="00623884">
              <w:rPr>
                <w:noProof/>
                <w:webHidden/>
              </w:rPr>
              <w:fldChar w:fldCharType="separate"/>
            </w:r>
            <w:r w:rsidR="00E22113">
              <w:rPr>
                <w:noProof/>
                <w:webHidden/>
              </w:rPr>
              <w:t>19</w:t>
            </w:r>
            <w:r w:rsidR="00623884">
              <w:rPr>
                <w:noProof/>
                <w:webHidden/>
              </w:rPr>
              <w:fldChar w:fldCharType="end"/>
            </w:r>
          </w:hyperlink>
        </w:p>
        <w:p w:rsidR="00623884" w:rsidRDefault="004839AC" w:rsidP="0059658C">
          <w:pPr>
            <w:pStyle w:val="TOC1"/>
            <w:rPr>
              <w:rFonts w:asciiTheme="minorHAnsi" w:eastAsiaTheme="minorEastAsia" w:hAnsiTheme="minorHAnsi"/>
              <w:noProof/>
              <w:lang w:eastAsia="en-GB"/>
            </w:rPr>
          </w:pPr>
          <w:hyperlink w:anchor="_Toc491351939" w:history="1">
            <w:r w:rsidR="00623884" w:rsidRPr="006628A8">
              <w:rPr>
                <w:rStyle w:val="Hyperlink"/>
                <w:noProof/>
              </w:rPr>
              <w:t>25.</w:t>
            </w:r>
            <w:r w:rsidR="00623884">
              <w:rPr>
                <w:rFonts w:asciiTheme="minorHAnsi" w:eastAsiaTheme="minorEastAsia" w:hAnsiTheme="minorHAnsi"/>
                <w:noProof/>
                <w:lang w:eastAsia="en-GB"/>
              </w:rPr>
              <w:tab/>
            </w:r>
            <w:r w:rsidR="00623884" w:rsidRPr="006628A8">
              <w:rPr>
                <w:rStyle w:val="Hyperlink"/>
                <w:noProof/>
              </w:rPr>
              <w:t>Data collection, reporting, and contract monitoring</w:t>
            </w:r>
            <w:r w:rsidR="00623884">
              <w:rPr>
                <w:noProof/>
                <w:webHidden/>
              </w:rPr>
              <w:tab/>
            </w:r>
            <w:r w:rsidR="00623884">
              <w:rPr>
                <w:noProof/>
                <w:webHidden/>
              </w:rPr>
              <w:fldChar w:fldCharType="begin"/>
            </w:r>
            <w:r w:rsidR="00623884">
              <w:rPr>
                <w:noProof/>
                <w:webHidden/>
              </w:rPr>
              <w:instrText xml:space="preserve"> PAGEREF _Toc491351939 \h </w:instrText>
            </w:r>
            <w:r w:rsidR="00623884">
              <w:rPr>
                <w:noProof/>
                <w:webHidden/>
              </w:rPr>
            </w:r>
            <w:r w:rsidR="00623884">
              <w:rPr>
                <w:noProof/>
                <w:webHidden/>
              </w:rPr>
              <w:fldChar w:fldCharType="separate"/>
            </w:r>
            <w:r w:rsidR="00E22113">
              <w:rPr>
                <w:noProof/>
                <w:webHidden/>
              </w:rPr>
              <w:t>19</w:t>
            </w:r>
            <w:r w:rsidR="00623884">
              <w:rPr>
                <w:noProof/>
                <w:webHidden/>
              </w:rPr>
              <w:fldChar w:fldCharType="end"/>
            </w:r>
          </w:hyperlink>
        </w:p>
        <w:p w:rsidR="00623884" w:rsidRDefault="004839AC" w:rsidP="0059658C">
          <w:pPr>
            <w:pStyle w:val="TOC1"/>
            <w:rPr>
              <w:rFonts w:asciiTheme="minorHAnsi" w:eastAsiaTheme="minorEastAsia" w:hAnsiTheme="minorHAnsi"/>
              <w:noProof/>
              <w:lang w:eastAsia="en-GB"/>
            </w:rPr>
          </w:pPr>
          <w:hyperlink w:anchor="_Toc491351940" w:history="1">
            <w:r w:rsidR="00623884" w:rsidRPr="006628A8">
              <w:rPr>
                <w:rStyle w:val="Hyperlink"/>
                <w:noProof/>
              </w:rPr>
              <w:t>26.</w:t>
            </w:r>
            <w:r w:rsidR="00623884">
              <w:rPr>
                <w:rFonts w:asciiTheme="minorHAnsi" w:eastAsiaTheme="minorEastAsia" w:hAnsiTheme="minorHAnsi"/>
                <w:noProof/>
                <w:lang w:eastAsia="en-GB"/>
              </w:rPr>
              <w:tab/>
            </w:r>
            <w:r w:rsidR="00623884" w:rsidRPr="006628A8">
              <w:rPr>
                <w:rStyle w:val="Hyperlink"/>
                <w:noProof/>
              </w:rPr>
              <w:t>Policies and procedures</w:t>
            </w:r>
            <w:r w:rsidR="00623884">
              <w:rPr>
                <w:noProof/>
                <w:webHidden/>
              </w:rPr>
              <w:tab/>
            </w:r>
            <w:r w:rsidR="00623884">
              <w:rPr>
                <w:noProof/>
                <w:webHidden/>
              </w:rPr>
              <w:fldChar w:fldCharType="begin"/>
            </w:r>
            <w:r w:rsidR="00623884">
              <w:rPr>
                <w:noProof/>
                <w:webHidden/>
              </w:rPr>
              <w:instrText xml:space="preserve"> PAGEREF _Toc491351940 \h </w:instrText>
            </w:r>
            <w:r w:rsidR="00623884">
              <w:rPr>
                <w:noProof/>
                <w:webHidden/>
              </w:rPr>
            </w:r>
            <w:r w:rsidR="00623884">
              <w:rPr>
                <w:noProof/>
                <w:webHidden/>
              </w:rPr>
              <w:fldChar w:fldCharType="separate"/>
            </w:r>
            <w:r w:rsidR="00E22113">
              <w:rPr>
                <w:noProof/>
                <w:webHidden/>
              </w:rPr>
              <w:t>21</w:t>
            </w:r>
            <w:r w:rsidR="00623884">
              <w:rPr>
                <w:noProof/>
                <w:webHidden/>
              </w:rPr>
              <w:fldChar w:fldCharType="end"/>
            </w:r>
          </w:hyperlink>
        </w:p>
        <w:p w:rsidR="00623884" w:rsidRDefault="004839AC" w:rsidP="0059658C">
          <w:pPr>
            <w:pStyle w:val="TOC1"/>
            <w:rPr>
              <w:rFonts w:asciiTheme="minorHAnsi" w:eastAsiaTheme="minorEastAsia" w:hAnsiTheme="minorHAnsi"/>
              <w:noProof/>
              <w:lang w:eastAsia="en-GB"/>
            </w:rPr>
          </w:pPr>
          <w:hyperlink w:anchor="_Toc491351941" w:history="1">
            <w:r w:rsidR="00623884" w:rsidRPr="006628A8">
              <w:rPr>
                <w:rStyle w:val="Hyperlink"/>
                <w:noProof/>
              </w:rPr>
              <w:t>27.</w:t>
            </w:r>
            <w:r w:rsidR="00623884">
              <w:rPr>
                <w:rFonts w:asciiTheme="minorHAnsi" w:eastAsiaTheme="minorEastAsia" w:hAnsiTheme="minorHAnsi"/>
                <w:noProof/>
                <w:lang w:eastAsia="en-GB"/>
              </w:rPr>
              <w:tab/>
            </w:r>
            <w:r w:rsidR="00623884" w:rsidRPr="006628A8">
              <w:rPr>
                <w:rStyle w:val="Hyperlink"/>
                <w:noProof/>
              </w:rPr>
              <w:t>Workforce standards</w:t>
            </w:r>
            <w:r w:rsidR="00623884">
              <w:rPr>
                <w:noProof/>
                <w:webHidden/>
              </w:rPr>
              <w:tab/>
            </w:r>
            <w:r w:rsidR="00623884">
              <w:rPr>
                <w:noProof/>
                <w:webHidden/>
              </w:rPr>
              <w:fldChar w:fldCharType="begin"/>
            </w:r>
            <w:r w:rsidR="00623884">
              <w:rPr>
                <w:noProof/>
                <w:webHidden/>
              </w:rPr>
              <w:instrText xml:space="preserve"> PAGEREF _Toc491351941 \h </w:instrText>
            </w:r>
            <w:r w:rsidR="00623884">
              <w:rPr>
                <w:noProof/>
                <w:webHidden/>
              </w:rPr>
            </w:r>
            <w:r w:rsidR="00623884">
              <w:rPr>
                <w:noProof/>
                <w:webHidden/>
              </w:rPr>
              <w:fldChar w:fldCharType="separate"/>
            </w:r>
            <w:r w:rsidR="00E22113">
              <w:rPr>
                <w:noProof/>
                <w:webHidden/>
              </w:rPr>
              <w:t>21</w:t>
            </w:r>
            <w:r w:rsidR="00623884">
              <w:rPr>
                <w:noProof/>
                <w:webHidden/>
              </w:rPr>
              <w:fldChar w:fldCharType="end"/>
            </w:r>
          </w:hyperlink>
        </w:p>
        <w:p w:rsidR="00623884" w:rsidRDefault="004839AC" w:rsidP="0059658C">
          <w:pPr>
            <w:pStyle w:val="TOC1"/>
            <w:rPr>
              <w:rFonts w:asciiTheme="minorHAnsi" w:eastAsiaTheme="minorEastAsia" w:hAnsiTheme="minorHAnsi"/>
              <w:noProof/>
              <w:lang w:eastAsia="en-GB"/>
            </w:rPr>
          </w:pPr>
          <w:hyperlink w:anchor="_Toc491351942" w:history="1">
            <w:r w:rsidR="00623884" w:rsidRPr="006628A8">
              <w:rPr>
                <w:rStyle w:val="Hyperlink"/>
                <w:noProof/>
              </w:rPr>
              <w:t>Appendix 1 – Summary of existing service provision</w:t>
            </w:r>
            <w:r w:rsidR="00623884">
              <w:rPr>
                <w:noProof/>
                <w:webHidden/>
              </w:rPr>
              <w:tab/>
            </w:r>
            <w:r w:rsidR="00623884">
              <w:rPr>
                <w:noProof/>
                <w:webHidden/>
              </w:rPr>
              <w:fldChar w:fldCharType="begin"/>
            </w:r>
            <w:r w:rsidR="00623884">
              <w:rPr>
                <w:noProof/>
                <w:webHidden/>
              </w:rPr>
              <w:instrText xml:space="preserve"> PAGEREF _Toc491351942 \h </w:instrText>
            </w:r>
            <w:r w:rsidR="00623884">
              <w:rPr>
                <w:noProof/>
                <w:webHidden/>
              </w:rPr>
            </w:r>
            <w:r w:rsidR="00623884">
              <w:rPr>
                <w:noProof/>
                <w:webHidden/>
              </w:rPr>
              <w:fldChar w:fldCharType="separate"/>
            </w:r>
            <w:r w:rsidR="00E22113">
              <w:rPr>
                <w:noProof/>
                <w:webHidden/>
              </w:rPr>
              <w:t>22</w:t>
            </w:r>
            <w:r w:rsidR="00623884">
              <w:rPr>
                <w:noProof/>
                <w:webHidden/>
              </w:rPr>
              <w:fldChar w:fldCharType="end"/>
            </w:r>
          </w:hyperlink>
        </w:p>
        <w:p w:rsidR="00623884" w:rsidRDefault="004839AC" w:rsidP="0059658C">
          <w:pPr>
            <w:pStyle w:val="TOC1"/>
            <w:rPr>
              <w:rFonts w:asciiTheme="minorHAnsi" w:eastAsiaTheme="minorEastAsia" w:hAnsiTheme="minorHAnsi"/>
              <w:noProof/>
              <w:lang w:eastAsia="en-GB"/>
            </w:rPr>
          </w:pPr>
          <w:hyperlink w:anchor="_Toc491351943" w:history="1">
            <w:r w:rsidR="00623884" w:rsidRPr="006628A8">
              <w:rPr>
                <w:rStyle w:val="Hyperlink"/>
                <w:noProof/>
              </w:rPr>
              <w:t>Appendix 2 – Complaints</w:t>
            </w:r>
            <w:r w:rsidR="00623884">
              <w:rPr>
                <w:noProof/>
                <w:webHidden/>
              </w:rPr>
              <w:tab/>
            </w:r>
            <w:r w:rsidR="00623884">
              <w:rPr>
                <w:noProof/>
                <w:webHidden/>
              </w:rPr>
              <w:fldChar w:fldCharType="begin"/>
            </w:r>
            <w:r w:rsidR="00623884">
              <w:rPr>
                <w:noProof/>
                <w:webHidden/>
              </w:rPr>
              <w:instrText xml:space="preserve"> PAGEREF _Toc491351943 \h </w:instrText>
            </w:r>
            <w:r w:rsidR="00623884">
              <w:rPr>
                <w:noProof/>
                <w:webHidden/>
              </w:rPr>
            </w:r>
            <w:r w:rsidR="00623884">
              <w:rPr>
                <w:noProof/>
                <w:webHidden/>
              </w:rPr>
              <w:fldChar w:fldCharType="separate"/>
            </w:r>
            <w:r w:rsidR="00E22113">
              <w:rPr>
                <w:noProof/>
                <w:webHidden/>
              </w:rPr>
              <w:t>23</w:t>
            </w:r>
            <w:r w:rsidR="00623884">
              <w:rPr>
                <w:noProof/>
                <w:webHidden/>
              </w:rPr>
              <w:fldChar w:fldCharType="end"/>
            </w:r>
          </w:hyperlink>
        </w:p>
        <w:p w:rsidR="00623884" w:rsidRDefault="004839AC" w:rsidP="0059658C">
          <w:pPr>
            <w:pStyle w:val="TOC1"/>
            <w:rPr>
              <w:rFonts w:asciiTheme="minorHAnsi" w:eastAsiaTheme="minorEastAsia" w:hAnsiTheme="minorHAnsi"/>
              <w:noProof/>
              <w:lang w:eastAsia="en-GB"/>
            </w:rPr>
          </w:pPr>
          <w:hyperlink w:anchor="_Toc491351944" w:history="1">
            <w:r w:rsidR="00623884" w:rsidRPr="006628A8">
              <w:rPr>
                <w:rStyle w:val="Hyperlink"/>
                <w:noProof/>
              </w:rPr>
              <w:t>Appendix 3 – Risk management and serious incidents</w:t>
            </w:r>
            <w:r w:rsidR="00623884">
              <w:rPr>
                <w:noProof/>
                <w:webHidden/>
              </w:rPr>
              <w:tab/>
            </w:r>
            <w:r w:rsidR="00623884">
              <w:rPr>
                <w:noProof/>
                <w:webHidden/>
              </w:rPr>
              <w:fldChar w:fldCharType="begin"/>
            </w:r>
            <w:r w:rsidR="00623884">
              <w:rPr>
                <w:noProof/>
                <w:webHidden/>
              </w:rPr>
              <w:instrText xml:space="preserve"> PAGEREF _Toc491351944 \h </w:instrText>
            </w:r>
            <w:r w:rsidR="00623884">
              <w:rPr>
                <w:noProof/>
                <w:webHidden/>
              </w:rPr>
            </w:r>
            <w:r w:rsidR="00623884">
              <w:rPr>
                <w:noProof/>
                <w:webHidden/>
              </w:rPr>
              <w:fldChar w:fldCharType="separate"/>
            </w:r>
            <w:r w:rsidR="00E22113">
              <w:rPr>
                <w:noProof/>
                <w:webHidden/>
              </w:rPr>
              <w:t>24</w:t>
            </w:r>
            <w:r w:rsidR="00623884">
              <w:rPr>
                <w:noProof/>
                <w:webHidden/>
              </w:rPr>
              <w:fldChar w:fldCharType="end"/>
            </w:r>
          </w:hyperlink>
        </w:p>
        <w:p w:rsidR="00623884" w:rsidRDefault="004839AC" w:rsidP="0059658C">
          <w:pPr>
            <w:pStyle w:val="TOC1"/>
            <w:rPr>
              <w:rFonts w:asciiTheme="minorHAnsi" w:eastAsiaTheme="minorEastAsia" w:hAnsiTheme="minorHAnsi"/>
              <w:noProof/>
              <w:lang w:eastAsia="en-GB"/>
            </w:rPr>
          </w:pPr>
          <w:hyperlink w:anchor="_Toc491351945" w:history="1">
            <w:r w:rsidR="00623884" w:rsidRPr="006628A8">
              <w:rPr>
                <w:rStyle w:val="Hyperlink"/>
                <w:noProof/>
              </w:rPr>
              <w:t>Appendix 4 – Workforce Standards</w:t>
            </w:r>
            <w:r w:rsidR="00623884">
              <w:rPr>
                <w:noProof/>
                <w:webHidden/>
              </w:rPr>
              <w:tab/>
            </w:r>
            <w:r w:rsidR="00623884">
              <w:rPr>
                <w:noProof/>
                <w:webHidden/>
              </w:rPr>
              <w:fldChar w:fldCharType="begin"/>
            </w:r>
            <w:r w:rsidR="00623884">
              <w:rPr>
                <w:noProof/>
                <w:webHidden/>
              </w:rPr>
              <w:instrText xml:space="preserve"> PAGEREF _Toc491351945 \h </w:instrText>
            </w:r>
            <w:r w:rsidR="00623884">
              <w:rPr>
                <w:noProof/>
                <w:webHidden/>
              </w:rPr>
            </w:r>
            <w:r w:rsidR="00623884">
              <w:rPr>
                <w:noProof/>
                <w:webHidden/>
              </w:rPr>
              <w:fldChar w:fldCharType="separate"/>
            </w:r>
            <w:r w:rsidR="00E22113">
              <w:rPr>
                <w:noProof/>
                <w:webHidden/>
              </w:rPr>
              <w:t>25</w:t>
            </w:r>
            <w:r w:rsidR="00623884">
              <w:rPr>
                <w:noProof/>
                <w:webHidden/>
              </w:rPr>
              <w:fldChar w:fldCharType="end"/>
            </w:r>
          </w:hyperlink>
        </w:p>
        <w:p w:rsidR="00623884" w:rsidRDefault="004839AC" w:rsidP="0059658C">
          <w:pPr>
            <w:pStyle w:val="TOC1"/>
            <w:rPr>
              <w:rFonts w:asciiTheme="minorHAnsi" w:eastAsiaTheme="minorEastAsia" w:hAnsiTheme="minorHAnsi"/>
              <w:noProof/>
              <w:lang w:eastAsia="en-GB"/>
            </w:rPr>
          </w:pPr>
          <w:hyperlink w:anchor="_Toc491351946" w:history="1">
            <w:r w:rsidR="00623884" w:rsidRPr="006628A8">
              <w:rPr>
                <w:rStyle w:val="Hyperlink"/>
                <w:noProof/>
              </w:rPr>
              <w:t>Appendix 5 – Key Performance Indicators</w:t>
            </w:r>
            <w:r w:rsidR="00623884">
              <w:rPr>
                <w:noProof/>
                <w:webHidden/>
              </w:rPr>
              <w:tab/>
            </w:r>
            <w:r w:rsidR="00623884">
              <w:rPr>
                <w:noProof/>
                <w:webHidden/>
              </w:rPr>
              <w:fldChar w:fldCharType="begin"/>
            </w:r>
            <w:r w:rsidR="00623884">
              <w:rPr>
                <w:noProof/>
                <w:webHidden/>
              </w:rPr>
              <w:instrText xml:space="preserve"> PAGEREF _Toc491351946 \h </w:instrText>
            </w:r>
            <w:r w:rsidR="00623884">
              <w:rPr>
                <w:noProof/>
                <w:webHidden/>
              </w:rPr>
            </w:r>
            <w:r w:rsidR="00623884">
              <w:rPr>
                <w:noProof/>
                <w:webHidden/>
              </w:rPr>
              <w:fldChar w:fldCharType="separate"/>
            </w:r>
            <w:r w:rsidR="00E22113">
              <w:rPr>
                <w:noProof/>
                <w:webHidden/>
              </w:rPr>
              <w:t>28</w:t>
            </w:r>
            <w:r w:rsidR="00623884">
              <w:rPr>
                <w:noProof/>
                <w:webHidden/>
              </w:rPr>
              <w:fldChar w:fldCharType="end"/>
            </w:r>
          </w:hyperlink>
        </w:p>
        <w:p w:rsidR="00623884" w:rsidRDefault="004839AC" w:rsidP="0059658C">
          <w:pPr>
            <w:pStyle w:val="TOC1"/>
            <w:rPr>
              <w:rFonts w:asciiTheme="minorHAnsi" w:eastAsiaTheme="minorEastAsia" w:hAnsiTheme="minorHAnsi"/>
              <w:noProof/>
              <w:lang w:eastAsia="en-GB"/>
            </w:rPr>
          </w:pPr>
          <w:hyperlink w:anchor="_Toc491351947" w:history="1">
            <w:r w:rsidR="00623884" w:rsidRPr="006628A8">
              <w:rPr>
                <w:rStyle w:val="Hyperlink"/>
                <w:noProof/>
              </w:rPr>
              <w:t>Appendix 6 – Service Description: Key Features</w:t>
            </w:r>
            <w:r w:rsidR="00623884">
              <w:rPr>
                <w:noProof/>
                <w:webHidden/>
              </w:rPr>
              <w:tab/>
            </w:r>
            <w:r w:rsidR="00623884">
              <w:rPr>
                <w:noProof/>
                <w:webHidden/>
              </w:rPr>
              <w:fldChar w:fldCharType="begin"/>
            </w:r>
            <w:r w:rsidR="00623884">
              <w:rPr>
                <w:noProof/>
                <w:webHidden/>
              </w:rPr>
              <w:instrText xml:space="preserve"> PAGEREF _Toc491351947 \h </w:instrText>
            </w:r>
            <w:r w:rsidR="00623884">
              <w:rPr>
                <w:noProof/>
                <w:webHidden/>
              </w:rPr>
            </w:r>
            <w:r w:rsidR="00623884">
              <w:rPr>
                <w:noProof/>
                <w:webHidden/>
              </w:rPr>
              <w:fldChar w:fldCharType="separate"/>
            </w:r>
            <w:r w:rsidR="00E22113">
              <w:rPr>
                <w:noProof/>
                <w:webHidden/>
              </w:rPr>
              <w:t>31</w:t>
            </w:r>
            <w:r w:rsidR="00623884">
              <w:rPr>
                <w:noProof/>
                <w:webHidden/>
              </w:rPr>
              <w:fldChar w:fldCharType="end"/>
            </w:r>
          </w:hyperlink>
        </w:p>
        <w:p w:rsidR="00623884" w:rsidRDefault="004839AC" w:rsidP="0059658C">
          <w:pPr>
            <w:pStyle w:val="TOC1"/>
            <w:rPr>
              <w:rFonts w:asciiTheme="minorHAnsi" w:eastAsiaTheme="minorEastAsia" w:hAnsiTheme="minorHAnsi"/>
              <w:noProof/>
              <w:lang w:eastAsia="en-GB"/>
            </w:rPr>
          </w:pPr>
          <w:hyperlink w:anchor="_Toc491351948" w:history="1">
            <w:r w:rsidR="00623884" w:rsidRPr="006628A8">
              <w:rPr>
                <w:rStyle w:val="Hyperlink"/>
                <w:noProof/>
              </w:rPr>
              <w:t>Appendix 7 – Client Journey</w:t>
            </w:r>
            <w:r w:rsidR="00623884">
              <w:rPr>
                <w:noProof/>
                <w:webHidden/>
              </w:rPr>
              <w:tab/>
            </w:r>
            <w:r w:rsidR="00623884">
              <w:rPr>
                <w:noProof/>
                <w:webHidden/>
              </w:rPr>
              <w:fldChar w:fldCharType="begin"/>
            </w:r>
            <w:r w:rsidR="00623884">
              <w:rPr>
                <w:noProof/>
                <w:webHidden/>
              </w:rPr>
              <w:instrText xml:space="preserve"> PAGEREF _Toc491351948 \h </w:instrText>
            </w:r>
            <w:r w:rsidR="00623884">
              <w:rPr>
                <w:noProof/>
                <w:webHidden/>
              </w:rPr>
            </w:r>
            <w:r w:rsidR="00623884">
              <w:rPr>
                <w:noProof/>
                <w:webHidden/>
              </w:rPr>
              <w:fldChar w:fldCharType="separate"/>
            </w:r>
            <w:r w:rsidR="00E22113">
              <w:rPr>
                <w:noProof/>
                <w:webHidden/>
              </w:rPr>
              <w:t>34</w:t>
            </w:r>
            <w:r w:rsidR="00623884">
              <w:rPr>
                <w:noProof/>
                <w:webHidden/>
              </w:rPr>
              <w:fldChar w:fldCharType="end"/>
            </w:r>
          </w:hyperlink>
        </w:p>
        <w:p w:rsidR="008E504B" w:rsidRPr="00F9470F" w:rsidRDefault="004B4AEA" w:rsidP="0059658C">
          <w:pPr>
            <w:sectPr w:rsidR="008E504B" w:rsidRPr="00F9470F" w:rsidSect="00623884">
              <w:footerReference w:type="even" r:id="rId13"/>
              <w:footerReference w:type="default" r:id="rId14"/>
              <w:footerReference w:type="first" r:id="rId15"/>
              <w:pgSz w:w="11906" w:h="16838" w:code="9"/>
              <w:pgMar w:top="567" w:right="1134" w:bottom="851" w:left="1134" w:header="284" w:footer="764" w:gutter="0"/>
              <w:cols w:space="708"/>
              <w:titlePg/>
              <w:docGrid w:linePitch="360"/>
            </w:sectPr>
          </w:pPr>
          <w:r>
            <w:rPr>
              <w:b/>
              <w:bCs/>
              <w:noProof/>
            </w:rPr>
            <w:fldChar w:fldCharType="end"/>
          </w:r>
        </w:p>
      </w:sdtContent>
    </w:sdt>
    <w:p w:rsidR="00C12ED1" w:rsidRDefault="00C12ED1" w:rsidP="0059658C">
      <w:pPr>
        <w:pStyle w:val="Heading1"/>
        <w:numPr>
          <w:ilvl w:val="0"/>
          <w:numId w:val="0"/>
        </w:numPr>
        <w:ind w:left="720"/>
      </w:pPr>
      <w:bookmarkStart w:id="1" w:name="_Toc491351915"/>
      <w:r>
        <w:lastRenderedPageBreak/>
        <w:t>Section A: Context</w:t>
      </w:r>
      <w:bookmarkEnd w:id="1"/>
    </w:p>
    <w:p w:rsidR="009A7442" w:rsidRPr="00C12ED1" w:rsidRDefault="009A7442" w:rsidP="0059658C">
      <w:pPr>
        <w:pStyle w:val="Heading1"/>
      </w:pPr>
      <w:bookmarkStart w:id="2" w:name="_Toc491351916"/>
      <w:r w:rsidRPr="00C12ED1">
        <w:t>Introduction</w:t>
      </w:r>
      <w:bookmarkEnd w:id="2"/>
    </w:p>
    <w:p w:rsidR="0029170C" w:rsidRDefault="0029170C" w:rsidP="0059658C">
      <w:pPr>
        <w:pStyle w:val="ListParagraph"/>
        <w:numPr>
          <w:ilvl w:val="1"/>
          <w:numId w:val="19"/>
        </w:numPr>
        <w:spacing w:after="120" w:line="240" w:lineRule="auto"/>
        <w:jc w:val="both"/>
      </w:pPr>
      <w:r>
        <w:t>The Sheffield City Region</w:t>
      </w:r>
      <w:r w:rsidRPr="00D20B55">
        <w:t xml:space="preserve"> Combined Authority </w:t>
      </w:r>
      <w:r>
        <w:t xml:space="preserve">(SCR) </w:t>
      </w:r>
      <w:r w:rsidRPr="00D20B55">
        <w:t xml:space="preserve">is working with </w:t>
      </w:r>
      <w:r>
        <w:t xml:space="preserve">NHS England and </w:t>
      </w:r>
      <w:r w:rsidRPr="00F1283A">
        <w:t>the Work and Health Unit (a partnership between the Department of Work and Pensions and the Department of Health)</w:t>
      </w:r>
      <w:r>
        <w:t xml:space="preserve"> and the 5 Clinical Commissioning Groups (CCG’s) (Fig 1 below)</w:t>
      </w:r>
      <w:r w:rsidRPr="00D20B55">
        <w:t xml:space="preserve"> to trial a new model of integrated health and employment support at scale.</w:t>
      </w:r>
      <w:r>
        <w:t xml:space="preserve">  </w:t>
      </w:r>
    </w:p>
    <w:p w:rsidR="00F25671" w:rsidRDefault="00F25671" w:rsidP="0059658C">
      <w:pPr>
        <w:pStyle w:val="ListParagraph"/>
        <w:numPr>
          <w:ilvl w:val="0"/>
          <w:numId w:val="0"/>
        </w:numPr>
        <w:spacing w:after="120" w:line="240" w:lineRule="auto"/>
        <w:ind w:left="360"/>
        <w:rPr>
          <w:b/>
          <w:i/>
          <w:szCs w:val="24"/>
        </w:rPr>
      </w:pPr>
      <w:r w:rsidRPr="00625ECE">
        <w:rPr>
          <w:b/>
          <w:i/>
          <w:szCs w:val="24"/>
        </w:rPr>
        <w:t xml:space="preserve">Fig 1 </w:t>
      </w:r>
      <w:r w:rsidR="00625ECE">
        <w:rPr>
          <w:b/>
          <w:i/>
          <w:szCs w:val="24"/>
        </w:rPr>
        <w:t>The 5 CCGs in our trial geography</w:t>
      </w:r>
    </w:p>
    <w:p w:rsidR="00625ECE" w:rsidRDefault="00866625" w:rsidP="0059658C">
      <w:pPr>
        <w:pStyle w:val="ListParagraph"/>
        <w:numPr>
          <w:ilvl w:val="0"/>
          <w:numId w:val="0"/>
        </w:numPr>
        <w:spacing w:after="120" w:line="240" w:lineRule="auto"/>
        <w:ind w:left="360"/>
        <w:rPr>
          <w:b/>
          <w:i/>
          <w:szCs w:val="24"/>
        </w:rPr>
      </w:pPr>
      <w:r>
        <w:rPr>
          <w:b/>
          <w:i/>
          <w:noProof/>
          <w:szCs w:val="24"/>
          <w:lang w:eastAsia="en-GB"/>
        </w:rPr>
        <w:drawing>
          <wp:anchor distT="0" distB="0" distL="114300" distR="114300" simplePos="0" relativeHeight="251658240" behindDoc="0" locked="0" layoutInCell="1" allowOverlap="1" wp14:anchorId="3DB4DF18" wp14:editId="5EDF77F4">
            <wp:simplePos x="0" y="0"/>
            <wp:positionH relativeFrom="column">
              <wp:posOffset>289560</wp:posOffset>
            </wp:positionH>
            <wp:positionV relativeFrom="paragraph">
              <wp:posOffset>43815</wp:posOffset>
            </wp:positionV>
            <wp:extent cx="3895725" cy="2543810"/>
            <wp:effectExtent l="19050" t="19050" r="28575" b="279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gmap.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895725" cy="254381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p>
    <w:p w:rsidR="00625ECE" w:rsidRDefault="00053761" w:rsidP="0059658C">
      <w:pPr>
        <w:pStyle w:val="ListParagraph"/>
        <w:numPr>
          <w:ilvl w:val="0"/>
          <w:numId w:val="0"/>
        </w:numPr>
        <w:spacing w:after="120" w:line="240" w:lineRule="auto"/>
        <w:ind w:left="567" w:hanging="567"/>
      </w:pPr>
      <w:r>
        <w:rPr>
          <w:b/>
          <w:i/>
          <w:szCs w:val="24"/>
        </w:rPr>
        <w:br w:type="textWrapping" w:clear="all"/>
      </w:r>
    </w:p>
    <w:p w:rsidR="000B7892" w:rsidRDefault="00897318" w:rsidP="0059658C">
      <w:pPr>
        <w:pStyle w:val="ListParagraph"/>
        <w:numPr>
          <w:ilvl w:val="1"/>
          <w:numId w:val="19"/>
        </w:numPr>
        <w:spacing w:after="120" w:line="240" w:lineRule="auto"/>
        <w:ind w:left="567" w:hanging="567"/>
        <w:jc w:val="both"/>
      </w:pPr>
      <w:r>
        <w:t>The SCR trial builds on the core principles and fidelity scale of the established</w:t>
      </w:r>
      <w:r w:rsidR="00B06C58">
        <w:t xml:space="preserve"> Individual Placement and Support (</w:t>
      </w:r>
      <w:r>
        <w:t>IPS</w:t>
      </w:r>
      <w:r w:rsidR="00B06C58">
        <w:t>)</w:t>
      </w:r>
      <w:r>
        <w:t xml:space="preserve"> model but flexes those to take into account the differing cohort that the SCR trial caters for and the corresponding differing support needs of that cohort.</w:t>
      </w:r>
      <w:r w:rsidR="000B7892">
        <w:t xml:space="preserve">  The aim of this trial is to test whether this </w:t>
      </w:r>
      <w:r w:rsidR="000346D5">
        <w:t xml:space="preserve">modified IPS </w:t>
      </w:r>
      <w:r w:rsidR="000B7892">
        <w:t>model can deliver a transformational improvement in employment, health and wellbeing outcomes for people who have a self-defined mild/moderate mental health and/or physical health condition.</w:t>
      </w:r>
      <w:r>
        <w:t xml:space="preserve"> </w:t>
      </w:r>
    </w:p>
    <w:p w:rsidR="00F834A5" w:rsidRDefault="00897318" w:rsidP="0059658C">
      <w:pPr>
        <w:pStyle w:val="ListParagraph"/>
        <w:numPr>
          <w:ilvl w:val="1"/>
          <w:numId w:val="19"/>
        </w:numPr>
        <w:spacing w:after="120" w:line="240" w:lineRule="auto"/>
        <w:ind w:left="567" w:hanging="567"/>
        <w:jc w:val="both"/>
      </w:pPr>
      <w:r>
        <w:t>Specifically, the SCR trial is based on a hypothesis that a modified version of the IPS model will be effective:</w:t>
      </w:r>
    </w:p>
    <w:p w:rsidR="000B1ACF" w:rsidRDefault="00897318" w:rsidP="0059658C">
      <w:pPr>
        <w:pStyle w:val="ListParagraph"/>
        <w:numPr>
          <w:ilvl w:val="0"/>
          <w:numId w:val="95"/>
        </w:numPr>
        <w:spacing w:after="120" w:line="240" w:lineRule="auto"/>
        <w:ind w:left="851" w:hanging="284"/>
        <w:jc w:val="both"/>
      </w:pPr>
      <w:r>
        <w:t xml:space="preserve">For individuals with low to moderate mental health and/or </w:t>
      </w:r>
      <w:r w:rsidR="000B7892">
        <w:t>physical health</w:t>
      </w:r>
      <w:r>
        <w:t xml:space="preserve"> conditions, in contrast to the traditional IPS focus on severe mental health conditions;</w:t>
      </w:r>
    </w:p>
    <w:p w:rsidR="000B1ACF" w:rsidRDefault="00897318" w:rsidP="0059658C">
      <w:pPr>
        <w:pStyle w:val="ListParagraph"/>
        <w:numPr>
          <w:ilvl w:val="0"/>
          <w:numId w:val="95"/>
        </w:numPr>
        <w:spacing w:after="120" w:line="240" w:lineRule="auto"/>
        <w:ind w:left="851" w:hanging="284"/>
        <w:jc w:val="both"/>
      </w:pPr>
      <w:r w:rsidRPr="000B1ACF">
        <w:t xml:space="preserve">For individuals in work but </w:t>
      </w:r>
      <w:r w:rsidR="000B7892">
        <w:t xml:space="preserve">off sick or in work but struggling </w:t>
      </w:r>
      <w:r w:rsidRPr="000B1ACF">
        <w:t xml:space="preserve">as well as for those out of work but wishing to move into work, in contrast to the </w:t>
      </w:r>
      <w:r w:rsidR="000346D5">
        <w:t>traditional</w:t>
      </w:r>
      <w:r w:rsidRPr="000B1ACF">
        <w:t xml:space="preserve"> IPS focus on the out of work cohort exclusively; </w:t>
      </w:r>
    </w:p>
    <w:p w:rsidR="000B1ACF" w:rsidRDefault="00897318" w:rsidP="0059658C">
      <w:pPr>
        <w:pStyle w:val="ListParagraph"/>
        <w:numPr>
          <w:ilvl w:val="0"/>
          <w:numId w:val="95"/>
        </w:numPr>
        <w:spacing w:after="120" w:line="240" w:lineRule="auto"/>
        <w:ind w:left="851" w:hanging="284"/>
        <w:jc w:val="both"/>
      </w:pPr>
      <w:r w:rsidRPr="000B1ACF">
        <w:t>In primary care settings, in contrast to the traditional IPS focus on services inside secondary mental health settings;</w:t>
      </w:r>
    </w:p>
    <w:p w:rsidR="000B1ACF" w:rsidRDefault="00897318" w:rsidP="0059658C">
      <w:pPr>
        <w:pStyle w:val="ListParagraph"/>
        <w:numPr>
          <w:ilvl w:val="0"/>
          <w:numId w:val="95"/>
        </w:numPr>
        <w:spacing w:after="120" w:line="240" w:lineRule="auto"/>
        <w:ind w:left="851" w:hanging="284"/>
        <w:jc w:val="both"/>
      </w:pPr>
      <w:r w:rsidRPr="001E1C40">
        <w:t xml:space="preserve">At significantly higher volumes than </w:t>
      </w:r>
      <w:r w:rsidR="000346D5">
        <w:t>traditional</w:t>
      </w:r>
      <w:r w:rsidRPr="001E1C40">
        <w:t xml:space="preserve"> IPS provision</w:t>
      </w:r>
      <w:r w:rsidR="00A41C64">
        <w:t>;</w:t>
      </w:r>
    </w:p>
    <w:p w:rsidR="00FC7917" w:rsidRDefault="000B7892" w:rsidP="0059658C">
      <w:pPr>
        <w:pStyle w:val="ListParagraph"/>
        <w:numPr>
          <w:ilvl w:val="0"/>
          <w:numId w:val="95"/>
        </w:numPr>
        <w:spacing w:after="120" w:line="240" w:lineRule="auto"/>
        <w:ind w:left="851" w:hanging="284"/>
        <w:jc w:val="both"/>
      </w:pPr>
      <w:r>
        <w:t>Following Burns et al, (2015) on a time-limited basis rather than time unlimited.</w:t>
      </w:r>
    </w:p>
    <w:p w:rsidR="00C0660D" w:rsidRDefault="005548EA" w:rsidP="0059658C">
      <w:pPr>
        <w:pStyle w:val="ListParagraph"/>
        <w:numPr>
          <w:ilvl w:val="1"/>
          <w:numId w:val="134"/>
        </w:numPr>
        <w:spacing w:after="120" w:line="240" w:lineRule="auto"/>
        <w:ind w:left="567" w:hanging="567"/>
        <w:jc w:val="both"/>
      </w:pPr>
      <w:r w:rsidRPr="008255E1">
        <w:t xml:space="preserve">The trial will deploy </w:t>
      </w:r>
      <w:r w:rsidR="008D59CF">
        <w:t>IPS Employment Specialist</w:t>
      </w:r>
      <w:r w:rsidR="00EA461C" w:rsidRPr="008255E1">
        <w:t>s across primary and community NHS services in the region</w:t>
      </w:r>
      <w:r w:rsidR="00DB2D0E" w:rsidRPr="00EF7F62">
        <w:t xml:space="preserve">, focused on </w:t>
      </w:r>
      <w:r w:rsidR="00454197" w:rsidRPr="00EF7F62">
        <w:t>five</w:t>
      </w:r>
      <w:r w:rsidR="00DB2D0E" w:rsidRPr="00EF7F62">
        <w:t xml:space="preserve"> </w:t>
      </w:r>
      <w:r w:rsidR="006F57DD" w:rsidRPr="00EF7F62">
        <w:t xml:space="preserve">geographic </w:t>
      </w:r>
      <w:r w:rsidR="00DB2D0E" w:rsidRPr="001E1C40">
        <w:t xml:space="preserve">areas: </w:t>
      </w:r>
      <w:r w:rsidR="00454197" w:rsidRPr="001E1C40">
        <w:t>Barnsley, Bassetlaw, Doncaster, Rotherham and Sheffield</w:t>
      </w:r>
      <w:r w:rsidR="00EA461C" w:rsidRPr="001E1C40">
        <w:t>.</w:t>
      </w:r>
      <w:r w:rsidR="005B16C9" w:rsidRPr="001E1C40">
        <w:t xml:space="preserve"> It</w:t>
      </w:r>
      <w:r w:rsidR="00B06C58">
        <w:t xml:space="preserve"> i</w:t>
      </w:r>
      <w:r w:rsidR="003B264F" w:rsidRPr="001E1C40">
        <w:t>s our intention</w:t>
      </w:r>
      <w:r w:rsidR="005B16C9" w:rsidRPr="001E1C40">
        <w:t xml:space="preserve"> </w:t>
      </w:r>
      <w:r w:rsidR="006F0BAF">
        <w:t xml:space="preserve">that </w:t>
      </w:r>
      <w:r w:rsidR="001E1C40" w:rsidRPr="001E1C40">
        <w:t xml:space="preserve">the trial </w:t>
      </w:r>
      <w:r w:rsidR="005B16C9" w:rsidRPr="001E1C40">
        <w:t xml:space="preserve">will run from </w:t>
      </w:r>
      <w:r w:rsidR="00E56410">
        <w:t>December</w:t>
      </w:r>
      <w:r w:rsidR="005B16C9" w:rsidRPr="00F14501">
        <w:t xml:space="preserve"> 2017 to </w:t>
      </w:r>
      <w:r w:rsidR="0032304E" w:rsidRPr="00F14501">
        <w:t xml:space="preserve">March </w:t>
      </w:r>
      <w:r w:rsidR="005B16C9" w:rsidRPr="00F14501">
        <w:t>2020.</w:t>
      </w:r>
    </w:p>
    <w:p w:rsidR="00C0660D" w:rsidRDefault="00C0660D" w:rsidP="0059658C">
      <w:pPr>
        <w:rPr>
          <w:rFonts w:cs="Arial"/>
        </w:rPr>
      </w:pPr>
      <w:r>
        <w:br w:type="page"/>
      </w:r>
    </w:p>
    <w:p w:rsidR="00C0660D" w:rsidRDefault="00C0660D" w:rsidP="0059658C">
      <w:pPr>
        <w:pStyle w:val="ListParagraph"/>
        <w:numPr>
          <w:ilvl w:val="0"/>
          <w:numId w:val="0"/>
        </w:numPr>
        <w:spacing w:after="120" w:line="240" w:lineRule="auto"/>
        <w:ind w:left="567"/>
        <w:jc w:val="both"/>
      </w:pPr>
    </w:p>
    <w:p w:rsidR="00FC7917" w:rsidRDefault="008D59CF" w:rsidP="0059658C">
      <w:pPr>
        <w:pStyle w:val="ListParagraph"/>
        <w:numPr>
          <w:ilvl w:val="1"/>
          <w:numId w:val="134"/>
        </w:numPr>
        <w:spacing w:after="120" w:line="240" w:lineRule="auto"/>
        <w:ind w:left="567" w:hanging="567"/>
        <w:jc w:val="both"/>
      </w:pPr>
      <w:r>
        <w:t>IPS Employment Specialist</w:t>
      </w:r>
      <w:r w:rsidR="005548EA" w:rsidRPr="00F14501">
        <w:t xml:space="preserve">s will apply </w:t>
      </w:r>
      <w:r w:rsidR="00F83F29">
        <w:t xml:space="preserve">a modified version of </w:t>
      </w:r>
      <w:r w:rsidR="005548EA" w:rsidRPr="00F14501">
        <w:t>the eight principles of Individual Placement and Support (IPS)</w:t>
      </w:r>
      <w:r w:rsidR="00F83F29">
        <w:t>, a</w:t>
      </w:r>
      <w:r w:rsidR="005548EA" w:rsidRPr="00F14501">
        <w:t xml:space="preserve"> model</w:t>
      </w:r>
      <w:r w:rsidR="00481832" w:rsidRPr="00F14501">
        <w:t xml:space="preserve"> </w:t>
      </w:r>
      <w:r w:rsidR="000346D5">
        <w:t>of employment support that</w:t>
      </w:r>
      <w:r w:rsidR="00481832" w:rsidRPr="00F14501">
        <w:t xml:space="preserve"> </w:t>
      </w:r>
      <w:r w:rsidR="00F83F29">
        <w:t xml:space="preserve">is </w:t>
      </w:r>
      <w:r w:rsidR="005548EA" w:rsidRPr="00596239">
        <w:t>already well-evidenced internationally</w:t>
      </w:r>
      <w:r w:rsidR="000346D5">
        <w:t xml:space="preserve"> to be effective</w:t>
      </w:r>
      <w:r w:rsidR="005548EA" w:rsidRPr="00596239">
        <w:t xml:space="preserve"> for people with severe mental illness, to provide a “place then train” supported employment service</w:t>
      </w:r>
      <w:r w:rsidR="0095529B" w:rsidRPr="00596239">
        <w:t xml:space="preserve"> for people with a broader range of health conditions</w:t>
      </w:r>
      <w:r w:rsidR="00F1283A" w:rsidRPr="00596239">
        <w:t xml:space="preserve"> (see Section </w:t>
      </w:r>
      <w:r w:rsidR="00973A6E" w:rsidRPr="00596239">
        <w:t xml:space="preserve">5 </w:t>
      </w:r>
      <w:r w:rsidR="00F1283A" w:rsidRPr="00596239">
        <w:t>for details)</w:t>
      </w:r>
      <w:r w:rsidR="0095529B" w:rsidRPr="00596239">
        <w:t>. Th</w:t>
      </w:r>
      <w:r w:rsidR="00F83F29">
        <w:t>e modified IPS service will be integrated with an individual</w:t>
      </w:r>
      <w:r w:rsidR="00A559C9">
        <w:t xml:space="preserve">’s normal NHS </w:t>
      </w:r>
      <w:r w:rsidR="00F83F29">
        <w:t xml:space="preserve">health treatment (as required) </w:t>
      </w:r>
      <w:r w:rsidR="005548EA" w:rsidRPr="000B1ACF">
        <w:t>As</w:t>
      </w:r>
      <w:r w:rsidR="00A559C9">
        <w:t xml:space="preserve"> we</w:t>
      </w:r>
      <w:r w:rsidR="006C4D2F">
        <w:t>ll</w:t>
      </w:r>
      <w:r w:rsidR="00A559C9">
        <w:t xml:space="preserve"> as providing tailored support to </w:t>
      </w:r>
      <w:r w:rsidR="005548EA" w:rsidRPr="000B1ACF">
        <w:t xml:space="preserve">trial participants, the </w:t>
      </w:r>
      <w:r>
        <w:t>IPS Employment Specialist</w:t>
      </w:r>
      <w:r w:rsidR="005548EA" w:rsidRPr="000B1ACF">
        <w:t xml:space="preserve">s will also engage with clinicians to </w:t>
      </w:r>
      <w:r w:rsidR="00A559C9">
        <w:t>encourage them to recognise</w:t>
      </w:r>
      <w:r w:rsidR="005548EA" w:rsidRPr="00596239">
        <w:t xml:space="preserve"> employment as a driver of </w:t>
      </w:r>
      <w:r w:rsidR="000346D5">
        <w:t xml:space="preserve">patients’ </w:t>
      </w:r>
      <w:r w:rsidR="005548EA" w:rsidRPr="00596239">
        <w:t>health and wellbeing</w:t>
      </w:r>
      <w:r w:rsidR="000B1ACF">
        <w:t>.</w:t>
      </w:r>
      <w:r w:rsidR="008667C8">
        <w:t xml:space="preserve">  </w:t>
      </w:r>
    </w:p>
    <w:p w:rsidR="00FC7917" w:rsidRDefault="00157AC8" w:rsidP="0059658C">
      <w:pPr>
        <w:pStyle w:val="ListParagraph"/>
        <w:numPr>
          <w:ilvl w:val="1"/>
          <w:numId w:val="134"/>
        </w:numPr>
        <w:spacing w:after="120" w:line="240" w:lineRule="auto"/>
        <w:ind w:left="567" w:hanging="567"/>
        <w:jc w:val="both"/>
      </w:pPr>
      <w:r w:rsidRPr="00F14501">
        <w:t xml:space="preserve">The contract is being procured in </w:t>
      </w:r>
      <w:r w:rsidR="00F23BAE" w:rsidRPr="00F14501">
        <w:t>five lots</w:t>
      </w:r>
      <w:r w:rsidR="006F57DD" w:rsidRPr="00F14501">
        <w:t>, one for each</w:t>
      </w:r>
      <w:r w:rsidR="0066497D">
        <w:t xml:space="preserve"> of the 5 local areas</w:t>
      </w:r>
      <w:r w:rsidRPr="00F14501">
        <w:t>.</w:t>
      </w:r>
      <w:r w:rsidR="006F57DD" w:rsidRPr="00F14501">
        <w:t xml:space="preserve"> The service specification is identical in each area. As this service is being run as a trial it </w:t>
      </w:r>
      <w:r w:rsidR="000346D5">
        <w:t>is important</w:t>
      </w:r>
      <w:r w:rsidR="006F57DD" w:rsidRPr="00F14501">
        <w:t xml:space="preserve"> that services in each area conform to the trial protocol.</w:t>
      </w:r>
      <w:r w:rsidRPr="00F14501">
        <w:t xml:space="preserve"> Please see </w:t>
      </w:r>
      <w:r w:rsidR="00915D37" w:rsidRPr="00F14501">
        <w:t xml:space="preserve">Section </w:t>
      </w:r>
      <w:r w:rsidR="008E2ACC" w:rsidRPr="00F14501">
        <w:t>1</w:t>
      </w:r>
      <w:r w:rsidR="000346D5">
        <w:t>7</w:t>
      </w:r>
      <w:r w:rsidR="008E2ACC" w:rsidRPr="00F14501">
        <w:t xml:space="preserve"> </w:t>
      </w:r>
      <w:r w:rsidRPr="00F14501">
        <w:t>for more details</w:t>
      </w:r>
      <w:r w:rsidR="006F57DD" w:rsidRPr="00F14501">
        <w:t xml:space="preserve"> on the contract</w:t>
      </w:r>
      <w:r w:rsidR="00F1283A" w:rsidRPr="00F14501">
        <w:t xml:space="preserve"> lots</w:t>
      </w:r>
      <w:r w:rsidR="006F57DD" w:rsidRPr="00F14501">
        <w:t xml:space="preserve">. </w:t>
      </w:r>
      <w:r w:rsidR="00F16AA0">
        <w:t xml:space="preserve">  </w:t>
      </w:r>
      <w:r w:rsidR="00F16AA0" w:rsidRPr="00F92DE9">
        <w:t xml:space="preserve">The expected </w:t>
      </w:r>
      <w:r w:rsidR="00A11CF2">
        <w:t>service starts</w:t>
      </w:r>
      <w:r w:rsidR="00A11CF2" w:rsidRPr="00F92DE9">
        <w:t xml:space="preserve"> </w:t>
      </w:r>
      <w:r w:rsidR="00F16AA0" w:rsidRPr="00F92DE9">
        <w:t xml:space="preserve">and outcomes in each area are detailed in Section </w:t>
      </w:r>
      <w:r w:rsidR="000346D5">
        <w:t>19</w:t>
      </w:r>
      <w:r w:rsidR="00F16AA0" w:rsidRPr="00F92DE9">
        <w:t>.</w:t>
      </w:r>
    </w:p>
    <w:p w:rsidR="009260B1" w:rsidRDefault="00592C57" w:rsidP="0059658C">
      <w:pPr>
        <w:pStyle w:val="ListParagraph"/>
        <w:numPr>
          <w:ilvl w:val="1"/>
          <w:numId w:val="134"/>
        </w:numPr>
        <w:spacing w:after="120" w:line="240" w:lineRule="auto"/>
        <w:ind w:left="567" w:hanging="567"/>
        <w:jc w:val="both"/>
      </w:pPr>
      <w:r w:rsidRPr="00596239">
        <w:t>The programme</w:t>
      </w:r>
      <w:r w:rsidR="005548EA" w:rsidRPr="00596239">
        <w:t xml:space="preserve"> will be </w:t>
      </w:r>
      <w:r w:rsidR="00F1283A" w:rsidRPr="00596239">
        <w:t xml:space="preserve">operated and </w:t>
      </w:r>
      <w:r w:rsidR="005548EA" w:rsidRPr="00596239">
        <w:t xml:space="preserve">evaluated using a Randomised Control Trial (RCT) which means that all individuals referred into the </w:t>
      </w:r>
      <w:r w:rsidR="00BB5F19" w:rsidRPr="00596239">
        <w:t>trial</w:t>
      </w:r>
      <w:r w:rsidR="005548EA" w:rsidRPr="00596239">
        <w:t xml:space="preserve"> will be randomly allocated to either a treatment group or a control group</w:t>
      </w:r>
      <w:r w:rsidR="005D4B70">
        <w:t>.  A randomisation tool is being developed for this trial for use by appointed providers</w:t>
      </w:r>
      <w:r w:rsidR="005548EA" w:rsidRPr="00596239">
        <w:t xml:space="preserve">. </w:t>
      </w:r>
      <w:r w:rsidR="00E7588F" w:rsidRPr="00596239">
        <w:t xml:space="preserve">A national </w:t>
      </w:r>
      <w:r w:rsidR="00E7588F">
        <w:t>evaluation consortium</w:t>
      </w:r>
      <w:r w:rsidR="00F065EC" w:rsidRPr="00596239">
        <w:t xml:space="preserve"> </w:t>
      </w:r>
      <w:r w:rsidR="005548EA" w:rsidRPr="00596239">
        <w:t xml:space="preserve">has been appointed to support the </w:t>
      </w:r>
      <w:r w:rsidR="00F065EC">
        <w:t xml:space="preserve">evaluation of the </w:t>
      </w:r>
      <w:r w:rsidR="005548EA" w:rsidRPr="00596239">
        <w:t>trial</w:t>
      </w:r>
      <w:r w:rsidR="00F065EC">
        <w:t>, working to contract with DWP</w:t>
      </w:r>
      <w:r w:rsidR="005548EA" w:rsidRPr="00596239">
        <w:t>.</w:t>
      </w:r>
      <w:r w:rsidR="00F065EC">
        <w:t xml:space="preserve"> </w:t>
      </w:r>
      <w:r w:rsidR="005548EA" w:rsidRPr="00596239">
        <w:t xml:space="preserve"> </w:t>
      </w:r>
      <w:r w:rsidR="00F1283A" w:rsidRPr="00F14501">
        <w:t xml:space="preserve">The RCT methodology is one of the most robust evaluation approaches available and will support a rigorous evaluation of the effectiveness of </w:t>
      </w:r>
      <w:r w:rsidR="00A802FC">
        <w:t xml:space="preserve">this trial’s modified IPS approach.  </w:t>
      </w:r>
      <w:r w:rsidR="00A559C9">
        <w:t>The national evaluator will also conduct a process and economic evaluation of the trial.</w:t>
      </w:r>
      <w:r w:rsidR="000346D5">
        <w:t xml:space="preserve"> </w:t>
      </w:r>
      <w:r w:rsidR="00AA681B">
        <w:t>The provider</w:t>
      </w:r>
      <w:r w:rsidR="000346D5">
        <w:t>(</w:t>
      </w:r>
      <w:r w:rsidR="00AA681B">
        <w:t>s</w:t>
      </w:r>
      <w:r w:rsidR="000346D5">
        <w:t>)</w:t>
      </w:r>
      <w:r w:rsidR="00AA681B">
        <w:t xml:space="preserve"> will need support the evaluation with the collection of required data and MI.</w:t>
      </w:r>
    </w:p>
    <w:p w:rsidR="009260B1" w:rsidRDefault="007C4F65" w:rsidP="0059658C">
      <w:pPr>
        <w:pStyle w:val="ListParagraph"/>
        <w:numPr>
          <w:ilvl w:val="1"/>
          <w:numId w:val="134"/>
        </w:numPr>
        <w:spacing w:after="120" w:line="240" w:lineRule="auto"/>
        <w:ind w:left="567" w:hanging="567"/>
        <w:jc w:val="both"/>
      </w:pPr>
      <w:r w:rsidRPr="00D20B55">
        <w:t xml:space="preserve">This programme </w:t>
      </w:r>
      <w:r w:rsidR="005548EA" w:rsidRPr="00D20B55">
        <w:t xml:space="preserve">is </w:t>
      </w:r>
      <w:r w:rsidRPr="00D20B55">
        <w:t xml:space="preserve">funded by </w:t>
      </w:r>
      <w:r w:rsidR="005548EA" w:rsidRPr="00D20B55">
        <w:t xml:space="preserve">NHS England, the Department of Work and Pensions (DWP), and the Department of Health (DH). It forms part of a national Innovation </w:t>
      </w:r>
      <w:r w:rsidR="00A559C9">
        <w:t>Fund programme</w:t>
      </w:r>
      <w:r w:rsidR="00A559C9" w:rsidRPr="00D20B55">
        <w:t xml:space="preserve"> </w:t>
      </w:r>
      <w:r w:rsidR="005548EA" w:rsidRPr="00D20B55">
        <w:t xml:space="preserve">to build the evidence for approaches that support people with health conditions and disabilities into paid employment. </w:t>
      </w:r>
    </w:p>
    <w:p w:rsidR="009260B1" w:rsidRDefault="008667C8" w:rsidP="0059658C">
      <w:pPr>
        <w:pStyle w:val="ListParagraph"/>
        <w:numPr>
          <w:ilvl w:val="1"/>
          <w:numId w:val="134"/>
        </w:numPr>
        <w:spacing w:after="120" w:line="240" w:lineRule="auto"/>
        <w:ind w:left="567" w:hanging="567"/>
        <w:jc w:val="both"/>
      </w:pPr>
      <w:r>
        <w:t>T</w:t>
      </w:r>
      <w:r w:rsidR="00862DE1" w:rsidRPr="00F14501">
        <w:t xml:space="preserve">his programme </w:t>
      </w:r>
      <w:r w:rsidR="005B16C9" w:rsidRPr="00F14501">
        <w:t xml:space="preserve">is </w:t>
      </w:r>
      <w:r w:rsidR="002E2791">
        <w:t>led</w:t>
      </w:r>
      <w:r w:rsidR="002E2791" w:rsidRPr="00F14501">
        <w:t xml:space="preserve"> </w:t>
      </w:r>
      <w:r w:rsidR="005B16C9" w:rsidRPr="00F14501">
        <w:t>by the</w:t>
      </w:r>
      <w:r w:rsidR="00F23BAE" w:rsidRPr="00F14501">
        <w:t xml:space="preserve"> Sheffield City Region </w:t>
      </w:r>
      <w:r w:rsidR="005B16C9" w:rsidRPr="00F14501">
        <w:t xml:space="preserve">Combined Authority, with procurement led by </w:t>
      </w:r>
      <w:r w:rsidR="004D3FEB" w:rsidRPr="00F14501">
        <w:t xml:space="preserve">Sheffield </w:t>
      </w:r>
      <w:r w:rsidR="000346D5">
        <w:t>Clinical Commissioning Group (</w:t>
      </w:r>
      <w:r w:rsidR="004D3FEB" w:rsidRPr="00F14501">
        <w:t>CCG</w:t>
      </w:r>
      <w:r w:rsidR="000346D5">
        <w:t>)</w:t>
      </w:r>
      <w:r w:rsidR="00BF3FF2" w:rsidRPr="00F14501">
        <w:t xml:space="preserve"> on behalf the 5 local CCGs</w:t>
      </w:r>
      <w:r w:rsidR="001E1C40" w:rsidRPr="00F14501">
        <w:t xml:space="preserve"> within the </w:t>
      </w:r>
      <w:r w:rsidR="0082635B">
        <w:t>t</w:t>
      </w:r>
      <w:r w:rsidR="001E1C40" w:rsidRPr="00F14501">
        <w:t>rial geography</w:t>
      </w:r>
      <w:r w:rsidR="004D3FEB" w:rsidRPr="00F14501">
        <w:t xml:space="preserve">.  </w:t>
      </w:r>
      <w:r w:rsidR="00481832" w:rsidRPr="00F14501">
        <w:t>T</w:t>
      </w:r>
      <w:r w:rsidR="00A2515C" w:rsidRPr="00F14501">
        <w:t xml:space="preserve">he overall </w:t>
      </w:r>
      <w:r w:rsidR="00481832" w:rsidRPr="00F14501">
        <w:t>Strategic Responsible Officer</w:t>
      </w:r>
      <w:r w:rsidR="00A2515C" w:rsidRPr="00F14501">
        <w:t xml:space="preserve"> is </w:t>
      </w:r>
      <w:r w:rsidR="004D3FEB" w:rsidRPr="00F14501">
        <w:t>Deputy Managing Director of the Combined Authority</w:t>
      </w:r>
      <w:r w:rsidR="005B16C9" w:rsidRPr="00F14501">
        <w:t xml:space="preserve"> and </w:t>
      </w:r>
      <w:r w:rsidR="000346D5">
        <w:t xml:space="preserve">it is </w:t>
      </w:r>
      <w:r w:rsidR="00862DE1" w:rsidRPr="00F14501">
        <w:t xml:space="preserve">governed by the </w:t>
      </w:r>
      <w:r w:rsidR="004D3FEB" w:rsidRPr="00F14501">
        <w:t xml:space="preserve">Skills, Employment and Education </w:t>
      </w:r>
      <w:r w:rsidR="00862DE1" w:rsidRPr="00F14501">
        <w:t>Board of the Combined Authority</w:t>
      </w:r>
      <w:r w:rsidR="005B16C9" w:rsidRPr="00F14501">
        <w:t>. S</w:t>
      </w:r>
      <w:r w:rsidR="00862DE1" w:rsidRPr="00F14501">
        <w:t xml:space="preserve">trategic leadership </w:t>
      </w:r>
      <w:r w:rsidR="005B16C9" w:rsidRPr="00F14501">
        <w:t>will be provided</w:t>
      </w:r>
      <w:r w:rsidR="006F0BAF">
        <w:t xml:space="preserve"> by the </w:t>
      </w:r>
      <w:r w:rsidR="004D3FEB" w:rsidRPr="00F14501">
        <w:t xml:space="preserve">Assistant </w:t>
      </w:r>
      <w:r w:rsidR="00862DE1" w:rsidRPr="00F14501">
        <w:t xml:space="preserve">Director of </w:t>
      </w:r>
      <w:r w:rsidR="004D3FEB" w:rsidRPr="00F14501">
        <w:t>Skills Employment and Education for the Combined Authority.</w:t>
      </w:r>
      <w:r>
        <w:t xml:space="preserve">  </w:t>
      </w:r>
    </w:p>
    <w:p w:rsidR="009260B1" w:rsidRDefault="007E5E9A" w:rsidP="0059658C">
      <w:pPr>
        <w:pStyle w:val="ListParagraph"/>
        <w:numPr>
          <w:ilvl w:val="1"/>
          <w:numId w:val="134"/>
        </w:numPr>
        <w:spacing w:after="120" w:line="240" w:lineRule="auto"/>
        <w:ind w:left="567" w:hanging="567"/>
        <w:jc w:val="both"/>
      </w:pPr>
      <w:r w:rsidRPr="00D20B55">
        <w:t>The development of this service specification has been informed by the commissioning and policy guidance within the ‘The Five Year Forward View’ (2014), The Five Year Forward View for Mental Health’ (2016)</w:t>
      </w:r>
      <w:r w:rsidR="002E2791">
        <w:t xml:space="preserve">, </w:t>
      </w:r>
      <w:r w:rsidRPr="00D20B55">
        <w:t>the ‘General Practice Forward View’ (2016)</w:t>
      </w:r>
      <w:r w:rsidR="002E2791">
        <w:t xml:space="preserve"> and the </w:t>
      </w:r>
      <w:r w:rsidR="00AA4C82">
        <w:t>‘</w:t>
      </w:r>
      <w:r w:rsidR="002E2791">
        <w:t>Improving Lives</w:t>
      </w:r>
      <w:r w:rsidR="00AA4C82">
        <w:t>’</w:t>
      </w:r>
      <w:r w:rsidR="002E2791">
        <w:t xml:space="preserve"> Work, Health and Disability Green Paper (2016)</w:t>
      </w:r>
      <w:r w:rsidRPr="00D20B55">
        <w:t xml:space="preserve">.  </w:t>
      </w:r>
      <w:r w:rsidR="00DB6DE3">
        <w:t xml:space="preserve">Important strands of these strategies focus on better supporting </w:t>
      </w:r>
      <w:r w:rsidRPr="00D20B55">
        <w:t xml:space="preserve">people of all ages to </w:t>
      </w:r>
      <w:r w:rsidR="00DB6DE3">
        <w:t xml:space="preserve">manage their condition and sustain employment. </w:t>
      </w:r>
    </w:p>
    <w:p w:rsidR="005E0E2F" w:rsidRDefault="00DF12E0" w:rsidP="0059658C">
      <w:pPr>
        <w:pStyle w:val="ListParagraph"/>
        <w:numPr>
          <w:ilvl w:val="1"/>
          <w:numId w:val="134"/>
        </w:numPr>
        <w:spacing w:after="120" w:line="240" w:lineRule="auto"/>
        <w:ind w:left="567" w:hanging="567"/>
        <w:jc w:val="both"/>
      </w:pPr>
      <w:r>
        <w:t>Recognising that individuals face multiple obstacles in their lives which may need to be addressed in order for people to sustain and progress in work each of the 9 authorities making up the functional economic area of the Sheffield City Region are bui</w:t>
      </w:r>
      <w:r w:rsidR="00707E03">
        <w:t>lding</w:t>
      </w:r>
      <w:r>
        <w:t xml:space="preserve"> Local Integration Board</w:t>
      </w:r>
      <w:r w:rsidR="00707E03">
        <w:t>s</w:t>
      </w:r>
      <w:r>
        <w:t>.  These boards will bring together key services which support individuals in that authority area (</w:t>
      </w:r>
      <w:r w:rsidR="00894167">
        <w:t xml:space="preserve">health services, </w:t>
      </w:r>
      <w:r>
        <w:t xml:space="preserve">housing support, debt advice, </w:t>
      </w:r>
      <w:r w:rsidR="00894167">
        <w:t>skills support</w:t>
      </w:r>
      <w:r>
        <w:t xml:space="preserve"> etc</w:t>
      </w:r>
      <w:r w:rsidR="0092695A">
        <w:t>.</w:t>
      </w:r>
      <w:r>
        <w:t>) in order to better co-ordinate those resources and align services</w:t>
      </w:r>
      <w:r w:rsidR="00894167">
        <w:t xml:space="preserve"> for practitioners and residents</w:t>
      </w:r>
      <w:r>
        <w:t xml:space="preserve">.  </w:t>
      </w:r>
    </w:p>
    <w:p w:rsidR="00866625" w:rsidRDefault="00866625" w:rsidP="0059658C">
      <w:pPr>
        <w:rPr>
          <w:rFonts w:eastAsiaTheme="majorEastAsia" w:cs="Arial"/>
          <w:b/>
          <w:szCs w:val="32"/>
        </w:rPr>
      </w:pPr>
      <w:r>
        <w:br w:type="page"/>
      </w:r>
    </w:p>
    <w:p w:rsidR="00866625" w:rsidRDefault="00866625" w:rsidP="0059658C">
      <w:pPr>
        <w:pStyle w:val="ListParagraph"/>
        <w:numPr>
          <w:ilvl w:val="0"/>
          <w:numId w:val="0"/>
        </w:numPr>
        <w:spacing w:after="120" w:line="240" w:lineRule="auto"/>
        <w:ind w:left="567"/>
        <w:jc w:val="both"/>
      </w:pPr>
    </w:p>
    <w:p w:rsidR="002E38CA" w:rsidRPr="00C12ED1" w:rsidRDefault="00481832" w:rsidP="0059658C">
      <w:pPr>
        <w:pStyle w:val="Heading1"/>
      </w:pPr>
      <w:r>
        <w:t xml:space="preserve">     </w:t>
      </w:r>
      <w:bookmarkStart w:id="3" w:name="_Toc491351917"/>
      <w:r w:rsidR="002E38CA" w:rsidRPr="00C12ED1">
        <w:t>Vision</w:t>
      </w:r>
      <w:bookmarkEnd w:id="3"/>
    </w:p>
    <w:p w:rsidR="0029170C" w:rsidRDefault="00E41224" w:rsidP="0059658C">
      <w:pPr>
        <w:spacing w:after="120" w:line="240" w:lineRule="auto"/>
        <w:ind w:left="680" w:hanging="680"/>
        <w:jc w:val="both"/>
      </w:pPr>
      <w:r>
        <w:t>2.1.</w:t>
      </w:r>
      <w:r>
        <w:tab/>
      </w:r>
      <w:r w:rsidR="0029170C">
        <w:t>We recognise a social model of disability which states that disability is caused by the way society is organised rather than by a person’s impairment or difference and that recognises the strengths and assets of all people.  It looks at ways of removing obstacles that restrict life choices for people with diabilities. When barriers are removed, people with disabilities can be independent and equal in society, with choice and control over their own lives.</w:t>
      </w:r>
    </w:p>
    <w:p w:rsidR="0029170C" w:rsidRPr="00D20B55" w:rsidRDefault="0029170C" w:rsidP="0059658C">
      <w:pPr>
        <w:spacing w:after="120" w:line="240" w:lineRule="auto"/>
        <w:ind w:left="680" w:hanging="680"/>
        <w:jc w:val="both"/>
      </w:pPr>
      <w:r>
        <w:t>2.2.</w:t>
      </w:r>
      <w:r>
        <w:tab/>
      </w:r>
      <w:r w:rsidRPr="00D20B55">
        <w:t xml:space="preserve">Too many people with health issues and </w:t>
      </w:r>
      <w:r>
        <w:t xml:space="preserve">impairments </w:t>
      </w:r>
      <w:r w:rsidRPr="00D20B55">
        <w:t xml:space="preserve">in the </w:t>
      </w:r>
      <w:r>
        <w:t>Sheffield City Region</w:t>
      </w:r>
      <w:r w:rsidRPr="00D20B55">
        <w:t xml:space="preserve"> are out of work. Unemployment among this group has significant social and economic costs for the region. The </w:t>
      </w:r>
      <w:r>
        <w:t>Sheffield City Region</w:t>
      </w:r>
      <w:r w:rsidRPr="00D20B55">
        <w:t xml:space="preserve"> is committed to tackling low rates of employment among people with </w:t>
      </w:r>
      <w:r>
        <w:t xml:space="preserve">a range of </w:t>
      </w:r>
      <w:r w:rsidRPr="00D20B55">
        <w:t xml:space="preserve">health conditions and disabilities </w:t>
      </w:r>
      <w:r>
        <w:t xml:space="preserve">and to boost productivity through supporting those in work and struggling (repeated bouts of sickness, low productivity, feeling unable to work to their potential) </w:t>
      </w:r>
      <w:r w:rsidRPr="00D20B55">
        <w:t>to enable them to:</w:t>
      </w:r>
    </w:p>
    <w:p w:rsidR="0029170C" w:rsidRDefault="0013460E" w:rsidP="0059658C">
      <w:pPr>
        <w:pStyle w:val="ListParagraph"/>
        <w:numPr>
          <w:ilvl w:val="0"/>
          <w:numId w:val="139"/>
        </w:numPr>
        <w:spacing w:after="120" w:line="240" w:lineRule="auto"/>
        <w:ind w:left="1134" w:hanging="141"/>
        <w:jc w:val="both"/>
      </w:pPr>
      <w:r w:rsidRPr="00D20B55">
        <w:t xml:space="preserve">recover more rapidly and effectively from their mental </w:t>
      </w:r>
      <w:r w:rsidR="00090D60">
        <w:t xml:space="preserve">or physical </w:t>
      </w:r>
      <w:r w:rsidR="00A03376">
        <w:t xml:space="preserve">health issue </w:t>
      </w:r>
      <w:r w:rsidRPr="00D20B55">
        <w:t>or build strategies to manage their health condition and barriers to work;</w:t>
      </w:r>
    </w:p>
    <w:p w:rsidR="0029170C" w:rsidRDefault="0013460E" w:rsidP="0059658C">
      <w:pPr>
        <w:pStyle w:val="ListParagraph"/>
        <w:numPr>
          <w:ilvl w:val="0"/>
          <w:numId w:val="139"/>
        </w:numPr>
        <w:spacing w:after="120" w:line="240" w:lineRule="auto"/>
        <w:ind w:left="1134" w:hanging="141"/>
        <w:jc w:val="both"/>
      </w:pPr>
      <w:r w:rsidRPr="00D20B55">
        <w:t>build social connections and support networks;</w:t>
      </w:r>
    </w:p>
    <w:p w:rsidR="0029170C" w:rsidRDefault="0013460E" w:rsidP="0059658C">
      <w:pPr>
        <w:pStyle w:val="ListParagraph"/>
        <w:numPr>
          <w:ilvl w:val="0"/>
          <w:numId w:val="139"/>
        </w:numPr>
        <w:spacing w:after="120" w:line="240" w:lineRule="auto"/>
        <w:ind w:left="1134" w:hanging="141"/>
        <w:jc w:val="both"/>
      </w:pPr>
      <w:r w:rsidRPr="00D20B55">
        <w:t>gain financial independence; and</w:t>
      </w:r>
    </w:p>
    <w:p w:rsidR="0013460E" w:rsidRPr="00D20B55" w:rsidRDefault="0013460E" w:rsidP="0059658C">
      <w:pPr>
        <w:pStyle w:val="ListParagraph"/>
        <w:numPr>
          <w:ilvl w:val="0"/>
          <w:numId w:val="139"/>
        </w:numPr>
        <w:spacing w:after="120" w:line="240" w:lineRule="auto"/>
        <w:ind w:left="1134" w:hanging="141"/>
        <w:jc w:val="both"/>
      </w:pPr>
      <w:r w:rsidRPr="00D20B55">
        <w:t>improve their general health and wellbeing.</w:t>
      </w:r>
    </w:p>
    <w:p w:rsidR="00866625" w:rsidRDefault="0013460E" w:rsidP="0059658C">
      <w:pPr>
        <w:pStyle w:val="ListParagraph"/>
        <w:numPr>
          <w:ilvl w:val="1"/>
          <w:numId w:val="96"/>
        </w:numPr>
        <w:spacing w:after="120" w:line="240" w:lineRule="auto"/>
        <w:jc w:val="both"/>
      </w:pPr>
      <w:r w:rsidRPr="00D20B55">
        <w:t xml:space="preserve">The </w:t>
      </w:r>
      <w:r w:rsidR="004D3FEB">
        <w:t>Sheffield City Region</w:t>
      </w:r>
      <w:r w:rsidRPr="00D20B55">
        <w:t xml:space="preserve"> Combined Authority has therefore established </w:t>
      </w:r>
      <w:r w:rsidR="00A03376">
        <w:t xml:space="preserve">a </w:t>
      </w:r>
      <w:r w:rsidR="002E0534">
        <w:t xml:space="preserve">partnership with NHS England, </w:t>
      </w:r>
      <w:r w:rsidR="00A03376">
        <w:t>the Work and Health Unit</w:t>
      </w:r>
      <w:r w:rsidR="002E0534">
        <w:t xml:space="preserve"> and</w:t>
      </w:r>
      <w:r w:rsidR="00881ECA">
        <w:t xml:space="preserve"> local CCGs</w:t>
      </w:r>
      <w:r w:rsidR="00A03376">
        <w:t xml:space="preserve"> </w:t>
      </w:r>
      <w:r w:rsidRPr="00D20B55">
        <w:t>to run a large-scale trial of a promising supported employment intervention</w:t>
      </w:r>
      <w:r w:rsidR="00950D41">
        <w:t>,</w:t>
      </w:r>
      <w:r w:rsidR="0078380D">
        <w:t xml:space="preserve"> </w:t>
      </w:r>
      <w:r w:rsidR="0078380D" w:rsidRPr="008255E1">
        <w:t>testing a modified version</w:t>
      </w:r>
      <w:r w:rsidR="0078380D">
        <w:t xml:space="preserve"> of </w:t>
      </w:r>
      <w:r w:rsidRPr="00D20B55">
        <w:t xml:space="preserve">Individual Placement and Support (IPS). </w:t>
      </w:r>
    </w:p>
    <w:p w:rsidR="009D4451" w:rsidRPr="00C0660D" w:rsidRDefault="009D4451" w:rsidP="0059658C">
      <w:pPr>
        <w:pStyle w:val="Heading1"/>
      </w:pPr>
      <w:r w:rsidRPr="00C0660D">
        <w:t>National and local context</w:t>
      </w:r>
    </w:p>
    <w:p w:rsidR="00DB6DE3" w:rsidRDefault="00DB6DE3" w:rsidP="0059658C">
      <w:pPr>
        <w:pStyle w:val="ListParagraph"/>
        <w:numPr>
          <w:ilvl w:val="1"/>
          <w:numId w:val="61"/>
        </w:numPr>
        <w:spacing w:after="120" w:line="240" w:lineRule="auto"/>
        <w:jc w:val="both"/>
      </w:pPr>
      <w:r>
        <w:t>The SCR trial focuses on individuals with low to moderate mental health and/or physical health condition, and recognises that these frequently co-occur.</w:t>
      </w:r>
    </w:p>
    <w:p w:rsidR="005E73DD" w:rsidRPr="00D20B55" w:rsidRDefault="002E0534" w:rsidP="0059658C">
      <w:pPr>
        <w:pStyle w:val="ListParagraph"/>
        <w:numPr>
          <w:ilvl w:val="1"/>
          <w:numId w:val="61"/>
        </w:numPr>
        <w:spacing w:after="120" w:line="240" w:lineRule="auto"/>
        <w:jc w:val="both"/>
      </w:pPr>
      <w:r>
        <w:t xml:space="preserve">Good work is known to be positive for good health. </w:t>
      </w:r>
      <w:r w:rsidR="00430D0B" w:rsidRPr="00D20B55">
        <w:t xml:space="preserve">The NHS Five Year Forward View for Mental Health highlights that employment is vital to health and should be recognised as a health outcome. As supporting people to access employment will build on people’s strengths and skills and enable people to realise their potential for recovery, this will also support the </w:t>
      </w:r>
      <w:r w:rsidR="004D3FEB">
        <w:t>Sheffield City Region’s</w:t>
      </w:r>
      <w:r w:rsidR="00430D0B" w:rsidRPr="00D20B55">
        <w:t xml:space="preserve"> Combined Authority ambition to </w:t>
      </w:r>
      <w:r w:rsidR="00DB6DE3">
        <w:t>deliver inclusive growth</w:t>
      </w:r>
      <w:r w:rsidR="00430D0B" w:rsidRPr="00D20B55">
        <w:t xml:space="preserve"> and help to achieve the CCGs’ goal to reduce health inequalities.</w:t>
      </w:r>
    </w:p>
    <w:p w:rsidR="00C21F5A" w:rsidRPr="00E5073E" w:rsidRDefault="003A0DF4" w:rsidP="0059658C">
      <w:pPr>
        <w:pStyle w:val="ListParagraph"/>
        <w:numPr>
          <w:ilvl w:val="1"/>
          <w:numId w:val="61"/>
        </w:numPr>
        <w:spacing w:after="120" w:line="240" w:lineRule="auto"/>
        <w:rPr>
          <w:szCs w:val="24"/>
        </w:rPr>
      </w:pPr>
      <w:r>
        <w:rPr>
          <w:szCs w:val="24"/>
        </w:rPr>
        <w:t xml:space="preserve">Where </w:t>
      </w:r>
      <w:r w:rsidR="00DB6DE3">
        <w:rPr>
          <w:szCs w:val="24"/>
        </w:rPr>
        <w:t>a physical health</w:t>
      </w:r>
      <w:r w:rsidRPr="00AE01FF">
        <w:rPr>
          <w:szCs w:val="24"/>
        </w:rPr>
        <w:t xml:space="preserve"> condition is providing an obstacle to maintaining or obtaining employment to better support a person into employment by working in close partnership with service clinicians and primary care</w:t>
      </w:r>
      <w:r w:rsidR="00DB6DE3">
        <w:rPr>
          <w:szCs w:val="24"/>
        </w:rPr>
        <w:t xml:space="preserve">, </w:t>
      </w:r>
      <w:r w:rsidR="002E0534">
        <w:rPr>
          <w:szCs w:val="24"/>
        </w:rPr>
        <w:t xml:space="preserve">recognising their assets and </w:t>
      </w:r>
      <w:r w:rsidR="00DB6DE3">
        <w:rPr>
          <w:szCs w:val="24"/>
        </w:rPr>
        <w:t xml:space="preserve">in part through </w:t>
      </w:r>
      <w:r w:rsidRPr="00AE01FF">
        <w:rPr>
          <w:szCs w:val="24"/>
        </w:rPr>
        <w:t xml:space="preserve">“reasonable adjustments” within the workplace, through access to environmental advice, equipment </w:t>
      </w:r>
      <w:r w:rsidR="00C21F5A">
        <w:rPr>
          <w:szCs w:val="24"/>
        </w:rPr>
        <w:t>and support.</w:t>
      </w:r>
    </w:p>
    <w:p w:rsidR="000B1ACF" w:rsidRPr="00042C63" w:rsidRDefault="00C21F5A" w:rsidP="0059658C">
      <w:pPr>
        <w:pStyle w:val="ListParagraph"/>
        <w:numPr>
          <w:ilvl w:val="1"/>
          <w:numId w:val="61"/>
        </w:numPr>
        <w:spacing w:after="120" w:line="240" w:lineRule="auto"/>
        <w:jc w:val="both"/>
        <w:rPr>
          <w:szCs w:val="24"/>
        </w:rPr>
      </w:pPr>
      <w:r>
        <w:rPr>
          <w:szCs w:val="24"/>
        </w:rPr>
        <w:t>The Sheffield City Region comprises the functional economic geography of South Yorkshire, Bassetlaw and northern Derbyshire.  This trial will cover the STP</w:t>
      </w:r>
      <w:r w:rsidR="002E0534">
        <w:rPr>
          <w:szCs w:val="24"/>
        </w:rPr>
        <w:t>/ACS</w:t>
      </w:r>
      <w:r>
        <w:rPr>
          <w:szCs w:val="24"/>
        </w:rPr>
        <w:t xml:space="preserve"> geography </w:t>
      </w:r>
      <w:r w:rsidR="002E0534">
        <w:rPr>
          <w:szCs w:val="24"/>
        </w:rPr>
        <w:t>of</w:t>
      </w:r>
      <w:r>
        <w:rPr>
          <w:szCs w:val="24"/>
        </w:rPr>
        <w:t xml:space="preserve"> </w:t>
      </w:r>
      <w:r w:rsidR="00FA5BF4">
        <w:rPr>
          <w:szCs w:val="24"/>
        </w:rPr>
        <w:t>Barnsley, Bassetlaw, Doncaster, Rotherham and Sheffield CCG areas (fig 1).</w:t>
      </w:r>
    </w:p>
    <w:p w:rsidR="00D76115" w:rsidRPr="00C0660D" w:rsidRDefault="00D76115" w:rsidP="0059658C">
      <w:pPr>
        <w:pStyle w:val="ListParagraph"/>
        <w:numPr>
          <w:ilvl w:val="1"/>
          <w:numId w:val="61"/>
        </w:numPr>
        <w:spacing w:after="120" w:line="240" w:lineRule="auto"/>
        <w:jc w:val="both"/>
        <w:rPr>
          <w:szCs w:val="24"/>
        </w:rPr>
      </w:pPr>
      <w:r w:rsidRPr="00EF7F62">
        <w:t xml:space="preserve">There are 1,385,000 people in the Sheffield City Region Combined Authority area, of which 881,600 are aged 16-64. In this group, there are around 65,740 people claiming out-of-work sickness benefits (ESA) </w:t>
      </w:r>
      <w:r w:rsidRPr="00157516">
        <w:t>(NOMIS, July 2017)</w:t>
      </w:r>
      <w:r w:rsidR="00FA5BF4">
        <w:t xml:space="preserve"> a further 15,130 individuals are claiming Jobseekers Allowance in the SCR (NOMIS, August 2017), a significant minority of whom present with a health issue.</w:t>
      </w:r>
    </w:p>
    <w:p w:rsidR="00C0660D" w:rsidRDefault="00C0660D" w:rsidP="0059658C">
      <w:pPr>
        <w:rPr>
          <w:rFonts w:cs="Arial"/>
        </w:rPr>
      </w:pPr>
      <w:r>
        <w:br w:type="page"/>
      </w:r>
    </w:p>
    <w:p w:rsidR="00C0660D" w:rsidRPr="00FA5BF4" w:rsidRDefault="00C0660D" w:rsidP="0059658C">
      <w:pPr>
        <w:pStyle w:val="ListParagraph"/>
        <w:numPr>
          <w:ilvl w:val="0"/>
          <w:numId w:val="0"/>
        </w:numPr>
        <w:spacing w:after="120" w:line="240" w:lineRule="auto"/>
        <w:ind w:left="720"/>
        <w:jc w:val="both"/>
        <w:rPr>
          <w:szCs w:val="24"/>
        </w:rPr>
      </w:pPr>
    </w:p>
    <w:p w:rsidR="00F834A5" w:rsidRPr="00FA5BF4" w:rsidRDefault="00D76115" w:rsidP="0059658C">
      <w:pPr>
        <w:pStyle w:val="ListParagraph"/>
        <w:numPr>
          <w:ilvl w:val="1"/>
          <w:numId w:val="61"/>
        </w:numPr>
        <w:spacing w:after="120" w:line="240" w:lineRule="auto"/>
        <w:jc w:val="both"/>
        <w:rPr>
          <w:szCs w:val="24"/>
        </w:rPr>
      </w:pPr>
      <w:r w:rsidRPr="000B1ACF">
        <w:rPr>
          <w:szCs w:val="24"/>
        </w:rPr>
        <w:t xml:space="preserve">NOMIS data show a resident population of 1.84 million of which 1.17 million are aged 16-64 (63.1% of the population). SCR’s employment rate is 70.3% and its unemployment rate is 5.3% amongst the working age population, compared to a GB average of 74.0% in employment and 4.7 unemployed. SCR also struggles with a higher than average prevalence of low wages for those in work. </w:t>
      </w:r>
    </w:p>
    <w:p w:rsidR="00866625" w:rsidRPr="00F14501" w:rsidRDefault="00AF1020" w:rsidP="0059658C">
      <w:pPr>
        <w:pStyle w:val="ListParagraph"/>
        <w:numPr>
          <w:ilvl w:val="1"/>
          <w:numId w:val="61"/>
        </w:numPr>
        <w:spacing w:after="120" w:line="240" w:lineRule="auto"/>
        <w:jc w:val="both"/>
      </w:pPr>
      <w:r w:rsidRPr="00F14501">
        <w:t xml:space="preserve">Economic inactivity at 24.5% (283k) is too high, </w:t>
      </w:r>
      <w:r w:rsidR="00FF00C1">
        <w:t>this being</w:t>
      </w:r>
      <w:r w:rsidRPr="00F14501">
        <w:t xml:space="preserve"> 2.</w:t>
      </w:r>
      <w:r w:rsidR="00FA5BF4">
        <w:t>5 percentage points</w:t>
      </w:r>
      <w:r w:rsidRPr="00F14501">
        <w:t xml:space="preserve"> above the national average.  27.9% of that figure is accounted for by those reporting as long-term sick against which the SCR is ranked the 4</w:t>
      </w:r>
      <w:r w:rsidRPr="00F14501">
        <w:rPr>
          <w:vertAlign w:val="superscript"/>
        </w:rPr>
        <w:t>th</w:t>
      </w:r>
      <w:r w:rsidRPr="00F14501">
        <w:t xml:space="preserve"> worst LEP area with a statistic that is 5.8 </w:t>
      </w:r>
      <w:r w:rsidR="00FA5BF4">
        <w:t xml:space="preserve">percentage points </w:t>
      </w:r>
      <w:r w:rsidRPr="00F14501">
        <w:t xml:space="preserve">higher than the national average.  </w:t>
      </w:r>
    </w:p>
    <w:p w:rsidR="00866625" w:rsidRPr="00C0660D" w:rsidRDefault="00FF00C1" w:rsidP="0059658C">
      <w:pPr>
        <w:pStyle w:val="ListParagraph"/>
        <w:numPr>
          <w:ilvl w:val="1"/>
          <w:numId w:val="61"/>
        </w:numPr>
        <w:spacing w:after="120" w:line="240" w:lineRule="auto"/>
        <w:jc w:val="both"/>
      </w:pPr>
      <w:r>
        <w:rPr>
          <w:szCs w:val="24"/>
        </w:rPr>
        <w:t xml:space="preserve">Overall this means that </w:t>
      </w:r>
      <w:r w:rsidR="00F25671" w:rsidRPr="000B1ACF">
        <w:rPr>
          <w:szCs w:val="24"/>
        </w:rPr>
        <w:t xml:space="preserve">health </w:t>
      </w:r>
      <w:r>
        <w:rPr>
          <w:szCs w:val="24"/>
        </w:rPr>
        <w:t xml:space="preserve">issues are </w:t>
      </w:r>
      <w:r w:rsidR="00F25671" w:rsidRPr="000B1ACF">
        <w:rPr>
          <w:szCs w:val="24"/>
        </w:rPr>
        <w:t xml:space="preserve">a present factor for around 70% of the city-region’s </w:t>
      </w:r>
      <w:r w:rsidR="00F25671" w:rsidRPr="0069119B">
        <w:rPr>
          <w:szCs w:val="24"/>
        </w:rPr>
        <w:t>unemployed population</w:t>
      </w:r>
      <w:r w:rsidR="00CB11D1">
        <w:rPr>
          <w:szCs w:val="24"/>
        </w:rPr>
        <w:t xml:space="preserve"> in receipt of key out of work benefits</w:t>
      </w:r>
      <w:r w:rsidR="00067612">
        <w:rPr>
          <w:szCs w:val="24"/>
        </w:rPr>
        <w:t xml:space="preserve"> and it is known that health issues</w:t>
      </w:r>
      <w:r w:rsidR="00F25671" w:rsidRPr="0069119B">
        <w:rPr>
          <w:szCs w:val="24"/>
        </w:rPr>
        <w:t xml:space="preserve"> </w:t>
      </w:r>
      <w:r w:rsidR="00F25671">
        <w:rPr>
          <w:bCs/>
        </w:rPr>
        <w:t>present a</w:t>
      </w:r>
      <w:r w:rsidR="00067612">
        <w:rPr>
          <w:bCs/>
        </w:rPr>
        <w:t xml:space="preserve"> significant </w:t>
      </w:r>
      <w:r w:rsidR="00F25671">
        <w:rPr>
          <w:bCs/>
        </w:rPr>
        <w:t xml:space="preserve">obstacle </w:t>
      </w:r>
      <w:r w:rsidR="00067612">
        <w:rPr>
          <w:bCs/>
        </w:rPr>
        <w:t>to many individuals</w:t>
      </w:r>
      <w:r w:rsidR="00F25671" w:rsidRPr="0069119B">
        <w:rPr>
          <w:bCs/>
        </w:rPr>
        <w:t xml:space="preserve"> in work in terms both of productivity (presenteeism) and sickness absence (absenteeism).</w:t>
      </w:r>
    </w:p>
    <w:p w:rsidR="00C0660D" w:rsidRPr="00F14501" w:rsidRDefault="00C0660D" w:rsidP="0059658C">
      <w:pPr>
        <w:pStyle w:val="ListParagraph"/>
        <w:numPr>
          <w:ilvl w:val="0"/>
          <w:numId w:val="0"/>
        </w:numPr>
        <w:spacing w:after="120" w:line="240" w:lineRule="auto"/>
        <w:ind w:left="720"/>
        <w:jc w:val="both"/>
      </w:pPr>
    </w:p>
    <w:p w:rsidR="0064384A" w:rsidRPr="000A2D25" w:rsidRDefault="0064384A" w:rsidP="0059658C">
      <w:pPr>
        <w:pStyle w:val="Heading1"/>
        <w:numPr>
          <w:ilvl w:val="0"/>
          <w:numId w:val="61"/>
        </w:numPr>
        <w:spacing w:before="0" w:after="120" w:line="240" w:lineRule="auto"/>
        <w:jc w:val="both"/>
      </w:pPr>
      <w:bookmarkStart w:id="4" w:name="_Toc491351918"/>
      <w:r w:rsidRPr="00B812FB">
        <w:t xml:space="preserve">Aims and objectives of the </w:t>
      </w:r>
      <w:r w:rsidR="00866625">
        <w:t xml:space="preserve">SCR </w:t>
      </w:r>
      <w:r w:rsidR="004D3FEB">
        <w:t xml:space="preserve">Health Led </w:t>
      </w:r>
      <w:r w:rsidR="00B81B67">
        <w:t xml:space="preserve">Employment </w:t>
      </w:r>
      <w:r w:rsidR="004D3FEB">
        <w:t>Trial</w:t>
      </w:r>
      <w:bookmarkEnd w:id="4"/>
      <w:r w:rsidR="004D3FEB">
        <w:t xml:space="preserve"> </w:t>
      </w:r>
    </w:p>
    <w:p w:rsidR="0064384A" w:rsidRPr="00D20B55" w:rsidRDefault="00ED175F" w:rsidP="0059658C">
      <w:pPr>
        <w:pStyle w:val="ListParagraph"/>
        <w:numPr>
          <w:ilvl w:val="1"/>
          <w:numId w:val="61"/>
        </w:numPr>
        <w:spacing w:after="120" w:line="240" w:lineRule="auto"/>
        <w:jc w:val="both"/>
      </w:pPr>
      <w:r>
        <w:t>The goals of the p</w:t>
      </w:r>
      <w:r w:rsidR="0064384A" w:rsidRPr="00D20B55">
        <w:t>rogramme are to:</w:t>
      </w:r>
      <w:r w:rsidR="00B81B67">
        <w:t xml:space="preserve">                    </w:t>
      </w:r>
    </w:p>
    <w:p w:rsidR="0064384A" w:rsidRDefault="0064384A" w:rsidP="0059658C">
      <w:pPr>
        <w:pStyle w:val="ListParagraph"/>
        <w:numPr>
          <w:ilvl w:val="2"/>
          <w:numId w:val="94"/>
        </w:numPr>
        <w:spacing w:after="120" w:line="240" w:lineRule="auto"/>
        <w:ind w:left="1134" w:hanging="283"/>
        <w:jc w:val="both"/>
      </w:pPr>
      <w:r w:rsidRPr="00D20B55">
        <w:t xml:space="preserve">Advance the goals of the </w:t>
      </w:r>
      <w:r w:rsidR="004D3FEB">
        <w:t>SCR</w:t>
      </w:r>
      <w:r w:rsidRPr="00D20B55">
        <w:t xml:space="preserve"> to </w:t>
      </w:r>
      <w:r w:rsidR="00DD7392">
        <w:t xml:space="preserve">deliver inclusive growth by </w:t>
      </w:r>
      <w:r w:rsidRPr="00D20B55">
        <w:t>tackl</w:t>
      </w:r>
      <w:r w:rsidR="00DD7392">
        <w:t>ing</w:t>
      </w:r>
      <w:r w:rsidRPr="00D20B55">
        <w:t xml:space="preserve"> high unemployment rates among people with a </w:t>
      </w:r>
      <w:r w:rsidR="00B81B67">
        <w:t>mental or physical health condition</w:t>
      </w:r>
    </w:p>
    <w:p w:rsidR="008667C8" w:rsidRPr="00D20B55" w:rsidRDefault="008667C8" w:rsidP="0059658C">
      <w:pPr>
        <w:pStyle w:val="ListParagraph"/>
        <w:numPr>
          <w:ilvl w:val="2"/>
          <w:numId w:val="94"/>
        </w:numPr>
        <w:spacing w:after="120" w:line="240" w:lineRule="auto"/>
        <w:ind w:left="1134" w:hanging="283"/>
        <w:jc w:val="both"/>
      </w:pPr>
      <w:r>
        <w:t xml:space="preserve">To </w:t>
      </w:r>
      <w:r w:rsidR="009D383B">
        <w:t xml:space="preserve">enable sustained </w:t>
      </w:r>
      <w:r>
        <w:t xml:space="preserve">employment for </w:t>
      </w:r>
      <w:r w:rsidR="009D383B" w:rsidRPr="000B1ACF">
        <w:t xml:space="preserve">individuals in work but </w:t>
      </w:r>
      <w:r w:rsidR="009D383B">
        <w:t xml:space="preserve">off sick </w:t>
      </w:r>
    </w:p>
    <w:p w:rsidR="0064384A" w:rsidRPr="00D20B55" w:rsidRDefault="0064384A" w:rsidP="0059658C">
      <w:pPr>
        <w:pStyle w:val="ListParagraph"/>
        <w:numPr>
          <w:ilvl w:val="2"/>
          <w:numId w:val="94"/>
        </w:numPr>
        <w:spacing w:after="120" w:line="240" w:lineRule="auto"/>
        <w:ind w:left="1134" w:hanging="283"/>
        <w:jc w:val="both"/>
      </w:pPr>
      <w:r w:rsidRPr="00D20B55">
        <w:t xml:space="preserve">Develop a framework for effective, locally-driven </w:t>
      </w:r>
      <w:r w:rsidR="0028467C">
        <w:t xml:space="preserve">integrated </w:t>
      </w:r>
      <w:r w:rsidRPr="00D20B55">
        <w:t xml:space="preserve">employment support that can be sustained </w:t>
      </w:r>
    </w:p>
    <w:p w:rsidR="00866625" w:rsidRDefault="0064384A" w:rsidP="0059658C">
      <w:pPr>
        <w:pStyle w:val="ListParagraph"/>
        <w:numPr>
          <w:ilvl w:val="2"/>
          <w:numId w:val="94"/>
        </w:numPr>
        <w:spacing w:after="120" w:line="240" w:lineRule="auto"/>
        <w:ind w:left="1134" w:hanging="283"/>
        <w:jc w:val="both"/>
      </w:pPr>
      <w:r w:rsidRPr="00D20B55">
        <w:t>Build the evidence base for innovative employment interventions to facilitate the national roll-out of proven approaches</w:t>
      </w:r>
    </w:p>
    <w:p w:rsidR="00866625" w:rsidRPr="001A3543" w:rsidRDefault="00866625" w:rsidP="0059658C">
      <w:pPr>
        <w:pStyle w:val="ListParagraph"/>
        <w:numPr>
          <w:ilvl w:val="0"/>
          <w:numId w:val="0"/>
        </w:numPr>
        <w:spacing w:after="120" w:line="240" w:lineRule="auto"/>
        <w:ind w:left="1134"/>
        <w:jc w:val="both"/>
      </w:pPr>
    </w:p>
    <w:p w:rsidR="00ED175F" w:rsidRPr="00321F1E" w:rsidRDefault="00ED175F" w:rsidP="0059658C">
      <w:pPr>
        <w:pStyle w:val="Title"/>
        <w:spacing w:before="0" w:after="120"/>
        <w:jc w:val="both"/>
      </w:pPr>
      <w:r w:rsidRPr="001A3543">
        <w:t xml:space="preserve">Section B. The </w:t>
      </w:r>
      <w:r w:rsidR="00335DAA">
        <w:t>S</w:t>
      </w:r>
      <w:r w:rsidRPr="001A3543">
        <w:t xml:space="preserve">ervice </w:t>
      </w:r>
      <w:r w:rsidR="00335DAA">
        <w:t>M</w:t>
      </w:r>
      <w:r w:rsidRPr="001A3543">
        <w:t>odel</w:t>
      </w:r>
    </w:p>
    <w:p w:rsidR="00FB7B56" w:rsidRPr="00B131CB" w:rsidRDefault="00FB7B56" w:rsidP="0059658C">
      <w:pPr>
        <w:pStyle w:val="Heading1"/>
        <w:numPr>
          <w:ilvl w:val="0"/>
          <w:numId w:val="61"/>
        </w:numPr>
        <w:spacing w:before="0" w:after="120" w:line="240" w:lineRule="auto"/>
        <w:jc w:val="both"/>
      </w:pPr>
      <w:bookmarkStart w:id="5" w:name="_Toc491351919"/>
      <w:r w:rsidRPr="000D41B9">
        <w:t xml:space="preserve">Individual </w:t>
      </w:r>
      <w:r w:rsidR="0040247E" w:rsidRPr="00B131CB">
        <w:t>Placement S</w:t>
      </w:r>
      <w:r w:rsidRPr="00B131CB">
        <w:t>upport (IPS)</w:t>
      </w:r>
      <w:bookmarkEnd w:id="5"/>
      <w:r w:rsidR="001E52F4" w:rsidRPr="00B131CB">
        <w:t xml:space="preserve"> </w:t>
      </w:r>
    </w:p>
    <w:p w:rsidR="00D861C4" w:rsidRDefault="005F3563" w:rsidP="0059658C">
      <w:pPr>
        <w:pStyle w:val="ListParagraph"/>
        <w:numPr>
          <w:ilvl w:val="1"/>
          <w:numId w:val="57"/>
        </w:numPr>
        <w:spacing w:after="120" w:line="240" w:lineRule="auto"/>
        <w:jc w:val="both"/>
      </w:pPr>
      <w:r w:rsidRPr="00D20B55">
        <w:t xml:space="preserve">The IPS </w:t>
      </w:r>
      <w:r w:rsidR="005B16C9" w:rsidRPr="00D20B55">
        <w:t xml:space="preserve">model </w:t>
      </w:r>
      <w:r w:rsidR="00DD7392">
        <w:t>is</w:t>
      </w:r>
      <w:r w:rsidRPr="00D20B55">
        <w:t xml:space="preserve"> a promising intervention to </w:t>
      </w:r>
      <w:r w:rsidR="0013460E" w:rsidRPr="00D20B55">
        <w:t xml:space="preserve">support </w:t>
      </w:r>
      <w:r w:rsidR="005B16C9" w:rsidRPr="00D20B55">
        <w:t xml:space="preserve">people </w:t>
      </w:r>
      <w:r w:rsidR="0013460E" w:rsidRPr="00D20B55">
        <w:t xml:space="preserve">who are out of work </w:t>
      </w:r>
      <w:r w:rsidR="005B16C9" w:rsidRPr="00D20B55">
        <w:t>with a range of health conditions</w:t>
      </w:r>
      <w:r w:rsidR="0013460E" w:rsidRPr="00D20B55">
        <w:t xml:space="preserve"> to gain paid employment</w:t>
      </w:r>
      <w:r w:rsidRPr="00D20B55">
        <w:t>. IPS is a replicable, evidence-based, supported employment programme that has been shown</w:t>
      </w:r>
      <w:r w:rsidR="002D2692">
        <w:t xml:space="preserve"> across multiple R</w:t>
      </w:r>
      <w:r w:rsidR="0029170C">
        <w:t>andomised Control Trials (R</w:t>
      </w:r>
      <w:r w:rsidR="002D2692">
        <w:t>CTs</w:t>
      </w:r>
      <w:r w:rsidR="0029170C">
        <w:t>)</w:t>
      </w:r>
      <w:r w:rsidRPr="00D20B55">
        <w:t xml:space="preserve"> to deliver superior employment and health outcomes </w:t>
      </w:r>
      <w:r w:rsidR="00F974B7">
        <w:t xml:space="preserve">in secondary mental health settings </w:t>
      </w:r>
      <w:r w:rsidRPr="00D20B55">
        <w:t xml:space="preserve">for people with severe </w:t>
      </w:r>
      <w:r w:rsidR="002A55FF" w:rsidRPr="00D20B55">
        <w:t xml:space="preserve">and enduring </w:t>
      </w:r>
      <w:r w:rsidRPr="00D20B55">
        <w:t xml:space="preserve">mental health </w:t>
      </w:r>
      <w:r w:rsidR="002D2692">
        <w:t>conditions</w:t>
      </w:r>
      <w:r w:rsidRPr="00D20B55">
        <w:t>.</w:t>
      </w:r>
      <w:r w:rsidR="0040066B">
        <w:t xml:space="preserve">  </w:t>
      </w:r>
      <w:r w:rsidR="0040066B" w:rsidRPr="00D20B55">
        <w:t>Further information on IPS within a Community Mental Health setting can be found at the Centre for Mental Health’s website</w:t>
      </w:r>
      <w:r w:rsidR="0040066B">
        <w:t>.</w:t>
      </w:r>
    </w:p>
    <w:p w:rsidR="00F86493" w:rsidRPr="00F86493" w:rsidRDefault="00F86493" w:rsidP="0059658C">
      <w:pPr>
        <w:numPr>
          <w:ilvl w:val="1"/>
          <w:numId w:val="57"/>
        </w:numPr>
        <w:spacing w:after="120" w:line="240" w:lineRule="auto"/>
        <w:jc w:val="both"/>
      </w:pPr>
      <w:r w:rsidRPr="00F86493">
        <w:t>The</w:t>
      </w:r>
      <w:r w:rsidR="00225750">
        <w:t xml:space="preserve"> existing</w:t>
      </w:r>
      <w:r w:rsidRPr="00F86493">
        <w:t xml:space="preserve"> </w:t>
      </w:r>
      <w:r w:rsidR="00F974B7">
        <w:t xml:space="preserve">traditional </w:t>
      </w:r>
      <w:r w:rsidRPr="00F86493">
        <w:t>IPS approach is based on eight key principles:</w:t>
      </w:r>
    </w:p>
    <w:p w:rsidR="00F86493" w:rsidRPr="00F86493" w:rsidRDefault="00F86493" w:rsidP="0059658C">
      <w:pPr>
        <w:numPr>
          <w:ilvl w:val="2"/>
          <w:numId w:val="93"/>
        </w:numPr>
        <w:spacing w:after="120" w:line="240" w:lineRule="auto"/>
        <w:rPr>
          <w:rFonts w:eastAsia="Times New Roman" w:cs="Arial"/>
        </w:rPr>
      </w:pPr>
      <w:r w:rsidRPr="00F86493">
        <w:rPr>
          <w:rFonts w:eastAsia="Times New Roman" w:cs="Arial"/>
        </w:rPr>
        <w:t>It aims to get people into competitive employment</w:t>
      </w:r>
    </w:p>
    <w:p w:rsidR="00F86493" w:rsidRPr="00F86493" w:rsidRDefault="00F86493" w:rsidP="0059658C">
      <w:pPr>
        <w:numPr>
          <w:ilvl w:val="2"/>
          <w:numId w:val="93"/>
        </w:numPr>
        <w:spacing w:after="120" w:line="240" w:lineRule="auto"/>
        <w:rPr>
          <w:rFonts w:eastAsia="Times New Roman" w:cs="Arial"/>
        </w:rPr>
      </w:pPr>
      <w:r w:rsidRPr="00F86493">
        <w:rPr>
          <w:rFonts w:eastAsia="Times New Roman" w:cs="Arial"/>
        </w:rPr>
        <w:t>It is open to all those who want to work</w:t>
      </w:r>
    </w:p>
    <w:p w:rsidR="00F86493" w:rsidRPr="00F86493" w:rsidRDefault="00F86493" w:rsidP="0059658C">
      <w:pPr>
        <w:numPr>
          <w:ilvl w:val="2"/>
          <w:numId w:val="93"/>
        </w:numPr>
        <w:spacing w:after="120" w:line="240" w:lineRule="auto"/>
        <w:rPr>
          <w:rFonts w:eastAsia="Times New Roman" w:cs="Arial"/>
        </w:rPr>
      </w:pPr>
      <w:r w:rsidRPr="00F86493">
        <w:rPr>
          <w:rFonts w:eastAsia="Times New Roman" w:cs="Arial"/>
        </w:rPr>
        <w:t>It tries to find jobs consistent with people's preferences</w:t>
      </w:r>
    </w:p>
    <w:p w:rsidR="00293A72" w:rsidRPr="00293A72" w:rsidRDefault="00F86493" w:rsidP="0059658C">
      <w:pPr>
        <w:numPr>
          <w:ilvl w:val="2"/>
          <w:numId w:val="93"/>
        </w:numPr>
        <w:spacing w:after="120" w:line="240" w:lineRule="auto"/>
        <w:rPr>
          <w:rFonts w:eastAsia="Times New Roman" w:cs="Arial"/>
        </w:rPr>
      </w:pPr>
      <w:r w:rsidRPr="00F86493">
        <w:rPr>
          <w:rFonts w:eastAsia="Times New Roman" w:cs="Arial"/>
        </w:rPr>
        <w:t>It works quickly</w:t>
      </w:r>
      <w:r w:rsidR="00293A72">
        <w:rPr>
          <w:rFonts w:eastAsia="Times New Roman" w:cs="Arial"/>
        </w:rPr>
        <w:t xml:space="preserve"> – a place then train model of rapid activation and job search alongside delivery of work, health and wider support needs</w:t>
      </w:r>
    </w:p>
    <w:p w:rsidR="00D861C4" w:rsidRDefault="00F86493" w:rsidP="0059658C">
      <w:pPr>
        <w:numPr>
          <w:ilvl w:val="2"/>
          <w:numId w:val="93"/>
        </w:numPr>
        <w:spacing w:after="120" w:line="240" w:lineRule="auto"/>
        <w:rPr>
          <w:rFonts w:eastAsia="Times New Roman" w:cs="Arial"/>
        </w:rPr>
      </w:pPr>
      <w:r w:rsidRPr="00F14501">
        <w:rPr>
          <w:rFonts w:eastAsia="Times New Roman" w:cs="Arial"/>
        </w:rPr>
        <w:t xml:space="preserve">It brings </w:t>
      </w:r>
      <w:r w:rsidR="008D59CF">
        <w:rPr>
          <w:rFonts w:eastAsia="Times New Roman" w:cs="Arial"/>
        </w:rPr>
        <w:t>IPS Employment Specialist</w:t>
      </w:r>
      <w:r w:rsidRPr="00F14501">
        <w:rPr>
          <w:rFonts w:eastAsia="Times New Roman" w:cs="Arial"/>
        </w:rPr>
        <w:t>s into clinical teams</w:t>
      </w:r>
    </w:p>
    <w:p w:rsidR="00D861C4" w:rsidRDefault="008D59CF" w:rsidP="0059658C">
      <w:pPr>
        <w:numPr>
          <w:ilvl w:val="2"/>
          <w:numId w:val="93"/>
        </w:numPr>
        <w:spacing w:after="120" w:line="240" w:lineRule="auto"/>
        <w:rPr>
          <w:rFonts w:eastAsia="Times New Roman" w:cs="Arial"/>
        </w:rPr>
      </w:pPr>
      <w:r>
        <w:rPr>
          <w:rFonts w:eastAsia="Times New Roman" w:cs="Arial"/>
        </w:rPr>
        <w:t>IPS Employment Specialist</w:t>
      </w:r>
      <w:r w:rsidR="00F86493" w:rsidRPr="00F14501">
        <w:rPr>
          <w:rFonts w:eastAsia="Times New Roman" w:cs="Arial"/>
        </w:rPr>
        <w:t>s develop relationships with employers based upon a person's work preferences</w:t>
      </w:r>
    </w:p>
    <w:p w:rsidR="00D861C4" w:rsidRDefault="00D861C4" w:rsidP="0059658C">
      <w:pPr>
        <w:numPr>
          <w:ilvl w:val="2"/>
          <w:numId w:val="93"/>
        </w:numPr>
        <w:spacing w:after="120" w:line="240" w:lineRule="auto"/>
        <w:rPr>
          <w:rFonts w:eastAsia="Times New Roman" w:cs="Arial"/>
        </w:rPr>
      </w:pPr>
      <w:r>
        <w:rPr>
          <w:rFonts w:eastAsia="Times New Roman" w:cs="Arial"/>
        </w:rPr>
        <w:t>I</w:t>
      </w:r>
      <w:r w:rsidR="00F86493" w:rsidRPr="00F14501">
        <w:rPr>
          <w:rFonts w:eastAsia="Times New Roman" w:cs="Arial"/>
        </w:rPr>
        <w:t>t provides time unlimited, individualised support for the person and their employer</w:t>
      </w:r>
    </w:p>
    <w:p w:rsidR="00F86493" w:rsidRDefault="00F86493" w:rsidP="0059658C">
      <w:pPr>
        <w:numPr>
          <w:ilvl w:val="2"/>
          <w:numId w:val="93"/>
        </w:numPr>
        <w:spacing w:after="120" w:line="240" w:lineRule="auto"/>
        <w:rPr>
          <w:rFonts w:eastAsia="Times New Roman" w:cs="Arial"/>
        </w:rPr>
      </w:pPr>
      <w:r w:rsidRPr="00F14501">
        <w:rPr>
          <w:rFonts w:eastAsia="Times New Roman" w:cs="Arial"/>
        </w:rPr>
        <w:t>Access to specialist benefits counselling is included.</w:t>
      </w:r>
    </w:p>
    <w:p w:rsidR="00C0660D" w:rsidRDefault="00C0660D" w:rsidP="0059658C">
      <w:pPr>
        <w:rPr>
          <w:rFonts w:eastAsia="Times New Roman" w:cs="Arial"/>
        </w:rPr>
      </w:pPr>
      <w:r>
        <w:rPr>
          <w:rFonts w:eastAsia="Times New Roman" w:cs="Arial"/>
        </w:rPr>
        <w:lastRenderedPageBreak/>
        <w:br w:type="page"/>
      </w:r>
    </w:p>
    <w:p w:rsidR="00C0660D" w:rsidRDefault="00C0660D" w:rsidP="0059658C">
      <w:pPr>
        <w:spacing w:after="120" w:line="240" w:lineRule="auto"/>
        <w:ind w:left="851"/>
        <w:rPr>
          <w:rFonts w:eastAsia="Times New Roman" w:cs="Arial"/>
        </w:rPr>
      </w:pPr>
    </w:p>
    <w:p w:rsidR="00CF46B7" w:rsidRDefault="008667C8" w:rsidP="0059658C">
      <w:pPr>
        <w:spacing w:after="120" w:line="240" w:lineRule="auto"/>
        <w:ind w:left="709" w:hanging="709"/>
        <w:jc w:val="both"/>
      </w:pPr>
      <w:r>
        <w:t>5.3.</w:t>
      </w:r>
      <w:r>
        <w:tab/>
      </w:r>
      <w:r w:rsidR="0040066B" w:rsidRPr="00D20B55">
        <w:t xml:space="preserve">This </w:t>
      </w:r>
      <w:r w:rsidR="00F974B7">
        <w:t xml:space="preserve">SCR modified IPS trial </w:t>
      </w:r>
      <w:r w:rsidR="0040066B" w:rsidRPr="00D20B55">
        <w:t>is</w:t>
      </w:r>
      <w:r w:rsidR="0040066B">
        <w:t xml:space="preserve"> </w:t>
      </w:r>
      <w:r w:rsidR="0040066B" w:rsidRPr="00D20B55">
        <w:t>a</w:t>
      </w:r>
      <w:r w:rsidR="0040066B">
        <w:t xml:space="preserve">n exceptional </w:t>
      </w:r>
      <w:r w:rsidR="0040066B" w:rsidRPr="00D20B55">
        <w:t>opportunity for provider</w:t>
      </w:r>
      <w:r w:rsidR="0040066B">
        <w:t>s</w:t>
      </w:r>
      <w:r w:rsidR="0040066B" w:rsidRPr="00D20B55">
        <w:t xml:space="preserve"> to be part of a truly innovative and globally significant </w:t>
      </w:r>
      <w:r w:rsidR="0040066B">
        <w:t>trial</w:t>
      </w:r>
      <w:r w:rsidR="0040066B" w:rsidRPr="00D20B55">
        <w:t xml:space="preserve"> which may contribute </w:t>
      </w:r>
      <w:r w:rsidR="00127DC4">
        <w:t xml:space="preserve">significantly to learning and </w:t>
      </w:r>
      <w:r w:rsidR="0040066B" w:rsidRPr="00D20B55">
        <w:t>to the roll-out of IPS more widely.</w:t>
      </w:r>
      <w:r w:rsidR="0040066B">
        <w:t xml:space="preserve">  </w:t>
      </w:r>
      <w:r w:rsidR="001E52F4" w:rsidRPr="00D20B55">
        <w:t>This</w:t>
      </w:r>
      <w:r w:rsidR="00CF46B7">
        <w:t xml:space="preserve"> SCR trial</w:t>
      </w:r>
      <w:r w:rsidR="001E52F4" w:rsidRPr="00D20B55">
        <w:t xml:space="preserve"> will follow </w:t>
      </w:r>
      <w:r w:rsidR="00F86493">
        <w:t xml:space="preserve">modified </w:t>
      </w:r>
      <w:r w:rsidR="001E52F4" w:rsidRPr="00D20B55">
        <w:t>principles of</w:t>
      </w:r>
      <w:r w:rsidR="00CF46B7">
        <w:t xml:space="preserve"> this existing IPS model, drawing on its demonstrable benefits and flexing t</w:t>
      </w:r>
      <w:r w:rsidR="00166355">
        <w:t>h</w:t>
      </w:r>
      <w:r w:rsidR="008D59CF">
        <w:t>ese</w:t>
      </w:r>
      <w:r w:rsidR="00166355">
        <w:t xml:space="preserve"> for new cohorts and needs:</w:t>
      </w:r>
    </w:p>
    <w:p w:rsidR="00CF46B7" w:rsidRDefault="00CF46B7" w:rsidP="0059658C">
      <w:pPr>
        <w:pStyle w:val="ListParagraph"/>
        <w:numPr>
          <w:ilvl w:val="0"/>
          <w:numId w:val="131"/>
        </w:numPr>
        <w:spacing w:after="120" w:line="240" w:lineRule="auto"/>
        <w:ind w:left="993" w:hanging="284"/>
        <w:jc w:val="both"/>
      </w:pPr>
      <w:r>
        <w:t>For individuals with low to moderate mental health and/or physical health conditions, in contrast to the traditional IPS focus on severe mental health conditions;</w:t>
      </w:r>
    </w:p>
    <w:p w:rsidR="00CF46B7" w:rsidRDefault="00CF46B7" w:rsidP="0059658C">
      <w:pPr>
        <w:pStyle w:val="ListParagraph"/>
        <w:numPr>
          <w:ilvl w:val="0"/>
          <w:numId w:val="131"/>
        </w:numPr>
        <w:spacing w:after="120" w:line="240" w:lineRule="auto"/>
        <w:ind w:left="993" w:hanging="284"/>
        <w:jc w:val="both"/>
      </w:pPr>
      <w:r w:rsidRPr="000B1ACF">
        <w:t xml:space="preserve">For individuals in work but </w:t>
      </w:r>
      <w:r>
        <w:t xml:space="preserve">off sick or in work but struggling </w:t>
      </w:r>
      <w:r w:rsidRPr="000B1ACF">
        <w:t xml:space="preserve">as well as for those out of work but wishing to move into work, in contrast to the established IPS focus on the out of work cohort exclusively; </w:t>
      </w:r>
    </w:p>
    <w:p w:rsidR="00CF46B7" w:rsidRDefault="00CF46B7" w:rsidP="0059658C">
      <w:pPr>
        <w:pStyle w:val="ListParagraph"/>
        <w:numPr>
          <w:ilvl w:val="0"/>
          <w:numId w:val="131"/>
        </w:numPr>
        <w:spacing w:after="120" w:line="240" w:lineRule="auto"/>
        <w:ind w:left="993" w:hanging="284"/>
        <w:jc w:val="both"/>
      </w:pPr>
      <w:r w:rsidRPr="000B1ACF">
        <w:t>In primary care settings, in contrast to the traditional IPS focus on services inside secondary mental health settings;</w:t>
      </w:r>
    </w:p>
    <w:p w:rsidR="00CF46B7" w:rsidRDefault="00CF46B7" w:rsidP="0059658C">
      <w:pPr>
        <w:pStyle w:val="ListParagraph"/>
        <w:numPr>
          <w:ilvl w:val="0"/>
          <w:numId w:val="131"/>
        </w:numPr>
        <w:spacing w:after="120" w:line="240" w:lineRule="auto"/>
        <w:ind w:left="993" w:hanging="284"/>
        <w:jc w:val="both"/>
      </w:pPr>
      <w:r w:rsidRPr="001E1C40">
        <w:t>At significantly higher volumes than typical IPS provision</w:t>
      </w:r>
      <w:r>
        <w:t>;</w:t>
      </w:r>
    </w:p>
    <w:p w:rsidR="00CF46B7" w:rsidRPr="001E1C40" w:rsidRDefault="00CF46B7" w:rsidP="0059658C">
      <w:pPr>
        <w:pStyle w:val="ListParagraph"/>
        <w:numPr>
          <w:ilvl w:val="0"/>
          <w:numId w:val="131"/>
        </w:numPr>
        <w:spacing w:after="120" w:line="240" w:lineRule="auto"/>
        <w:ind w:left="993" w:hanging="284"/>
        <w:jc w:val="both"/>
      </w:pPr>
      <w:r>
        <w:t>Following Burns et al, (2015) on a time-limited basis rather than time unlimited.</w:t>
      </w:r>
    </w:p>
    <w:p w:rsidR="00BF57DB" w:rsidRPr="00F14501" w:rsidRDefault="00AD31EC" w:rsidP="0059658C">
      <w:pPr>
        <w:spacing w:after="120" w:line="240" w:lineRule="auto"/>
        <w:ind w:left="709" w:hanging="709"/>
        <w:jc w:val="both"/>
      </w:pPr>
      <w:r>
        <w:t>5.5.</w:t>
      </w:r>
      <w:r>
        <w:tab/>
      </w:r>
      <w:r w:rsidR="00BF57DB" w:rsidRPr="001C0D75">
        <w:rPr>
          <w:color w:val="000000" w:themeColor="text1"/>
          <w:szCs w:val="24"/>
        </w:rPr>
        <w:t>To facilitate effective integration</w:t>
      </w:r>
      <w:r w:rsidR="00BF57DB" w:rsidRPr="00F14501">
        <w:rPr>
          <w:color w:val="000000" w:themeColor="text1"/>
          <w:szCs w:val="24"/>
        </w:rPr>
        <w:t xml:space="preserve"> of employment and health practitioners and their support for the service user, IPS Employment Specialists will be</w:t>
      </w:r>
      <w:r w:rsidR="00126918" w:rsidRPr="00F14501">
        <w:rPr>
          <w:color w:val="000000" w:themeColor="text1"/>
          <w:szCs w:val="24"/>
        </w:rPr>
        <w:t xml:space="preserve"> closely aligned </w:t>
      </w:r>
      <w:r w:rsidR="000025E9" w:rsidRPr="00F14501">
        <w:rPr>
          <w:color w:val="000000" w:themeColor="text1"/>
          <w:szCs w:val="24"/>
        </w:rPr>
        <w:t>to</w:t>
      </w:r>
      <w:r w:rsidR="00BF57DB" w:rsidRPr="00F14501">
        <w:rPr>
          <w:color w:val="000000" w:themeColor="text1"/>
          <w:szCs w:val="24"/>
        </w:rPr>
        <w:t xml:space="preserve"> the local health systems in </w:t>
      </w:r>
      <w:r w:rsidR="006C4D2F">
        <w:rPr>
          <w:color w:val="000000" w:themeColor="text1"/>
          <w:szCs w:val="24"/>
        </w:rPr>
        <w:t>three</w:t>
      </w:r>
      <w:r w:rsidR="00BF57DB" w:rsidRPr="00F14501">
        <w:rPr>
          <w:color w:val="000000" w:themeColor="text1"/>
          <w:szCs w:val="24"/>
        </w:rPr>
        <w:t xml:space="preserve"> key senses:</w:t>
      </w:r>
    </w:p>
    <w:p w:rsidR="00CB7948" w:rsidRPr="0059658C" w:rsidRDefault="00CB7948" w:rsidP="0059658C">
      <w:pPr>
        <w:pStyle w:val="ListParagraph"/>
        <w:numPr>
          <w:ilvl w:val="0"/>
          <w:numId w:val="91"/>
        </w:numPr>
        <w:spacing w:after="120" w:line="240" w:lineRule="auto"/>
        <w:ind w:left="993" w:hanging="142"/>
        <w:contextualSpacing/>
        <w:jc w:val="both"/>
        <w:rPr>
          <w:color w:val="000000" w:themeColor="text1"/>
          <w:szCs w:val="24"/>
        </w:rPr>
      </w:pPr>
      <w:r w:rsidRPr="0059658C">
        <w:rPr>
          <w:b/>
          <w:color w:val="000000" w:themeColor="text1"/>
          <w:szCs w:val="24"/>
        </w:rPr>
        <w:t>Referrals</w:t>
      </w:r>
      <w:r w:rsidRPr="0059658C">
        <w:rPr>
          <w:color w:val="000000" w:themeColor="text1"/>
          <w:szCs w:val="24"/>
        </w:rPr>
        <w:t xml:space="preserve">: from GP Practices, IAPT and MSK services, social prescribing hubs as well as self- referrals signposted from other services </w:t>
      </w:r>
      <w:r w:rsidR="00286B37" w:rsidRPr="0059658C">
        <w:rPr>
          <w:color w:val="000000" w:themeColor="text1"/>
          <w:szCs w:val="24"/>
        </w:rPr>
        <w:t>e.g.</w:t>
      </w:r>
      <w:r w:rsidRPr="0059658C">
        <w:rPr>
          <w:color w:val="000000" w:themeColor="text1"/>
          <w:szCs w:val="24"/>
        </w:rPr>
        <w:t xml:space="preserve"> VCF Sector, employers, </w:t>
      </w:r>
      <w:r w:rsidR="008D59CF" w:rsidRPr="0059658C">
        <w:rPr>
          <w:color w:val="000000" w:themeColor="text1"/>
          <w:szCs w:val="24"/>
        </w:rPr>
        <w:t>Jobcentre</w:t>
      </w:r>
      <w:r w:rsidR="002D3C55" w:rsidRPr="0059658C">
        <w:rPr>
          <w:color w:val="000000" w:themeColor="text1"/>
          <w:szCs w:val="24"/>
        </w:rPr>
        <w:t xml:space="preserve"> Plus</w:t>
      </w:r>
      <w:r w:rsidRPr="0059658C">
        <w:rPr>
          <w:color w:val="000000" w:themeColor="text1"/>
          <w:szCs w:val="24"/>
        </w:rPr>
        <w:t>.</w:t>
      </w:r>
    </w:p>
    <w:p w:rsidR="00BF57DB" w:rsidRPr="00F14501" w:rsidRDefault="00BF57DB" w:rsidP="0059658C">
      <w:pPr>
        <w:pStyle w:val="ListParagraph"/>
        <w:numPr>
          <w:ilvl w:val="0"/>
          <w:numId w:val="91"/>
        </w:numPr>
        <w:spacing w:after="120" w:line="240" w:lineRule="auto"/>
        <w:ind w:left="993" w:hanging="142"/>
        <w:contextualSpacing/>
        <w:jc w:val="both"/>
        <w:rPr>
          <w:color w:val="000000" w:themeColor="text1"/>
          <w:szCs w:val="24"/>
        </w:rPr>
      </w:pPr>
      <w:r w:rsidRPr="00F14501">
        <w:rPr>
          <w:b/>
          <w:color w:val="000000" w:themeColor="text1"/>
          <w:szCs w:val="24"/>
        </w:rPr>
        <w:t>Health Host Teams:</w:t>
      </w:r>
      <w:r w:rsidRPr="00F14501">
        <w:rPr>
          <w:color w:val="000000" w:themeColor="text1"/>
          <w:szCs w:val="24"/>
        </w:rPr>
        <w:t xml:space="preserve"> IPS Employment Specialists </w:t>
      </w:r>
      <w:r w:rsidR="000025E9" w:rsidRPr="00F14501">
        <w:rPr>
          <w:color w:val="000000" w:themeColor="text1"/>
          <w:szCs w:val="24"/>
        </w:rPr>
        <w:t>may be</w:t>
      </w:r>
      <w:r w:rsidRPr="00F14501">
        <w:rPr>
          <w:color w:val="000000" w:themeColor="text1"/>
          <w:szCs w:val="24"/>
        </w:rPr>
        <w:t xml:space="preserve"> co-located inside key parts of the local health system relevant to the trial cohort including IAPT teams, </w:t>
      </w:r>
      <w:r w:rsidR="009404EB">
        <w:rPr>
          <w:color w:val="000000" w:themeColor="text1"/>
          <w:szCs w:val="24"/>
        </w:rPr>
        <w:t xml:space="preserve">MSK teams, other </w:t>
      </w:r>
      <w:r w:rsidR="00CB7948">
        <w:rPr>
          <w:color w:val="000000" w:themeColor="text1"/>
          <w:szCs w:val="24"/>
        </w:rPr>
        <w:t>physical</w:t>
      </w:r>
      <w:r w:rsidRPr="00F14501">
        <w:rPr>
          <w:color w:val="000000" w:themeColor="text1"/>
          <w:szCs w:val="24"/>
        </w:rPr>
        <w:t xml:space="preserve"> </w:t>
      </w:r>
      <w:r w:rsidR="009404EB">
        <w:rPr>
          <w:color w:val="000000" w:themeColor="text1"/>
          <w:szCs w:val="24"/>
        </w:rPr>
        <w:t xml:space="preserve">healthcare </w:t>
      </w:r>
      <w:r w:rsidRPr="00F14501">
        <w:rPr>
          <w:color w:val="000000" w:themeColor="text1"/>
          <w:szCs w:val="24"/>
        </w:rPr>
        <w:t xml:space="preserve">teams, community practices, social prescribing teams. Service users will be attached to IPS Employment Specialists in host locations relevant to their primary health condition (e.g. service users with primarily </w:t>
      </w:r>
      <w:r w:rsidR="00CB7948">
        <w:rPr>
          <w:color w:val="000000" w:themeColor="text1"/>
          <w:szCs w:val="24"/>
        </w:rPr>
        <w:t>physical health</w:t>
      </w:r>
      <w:r w:rsidRPr="00F14501">
        <w:rPr>
          <w:color w:val="000000" w:themeColor="text1"/>
          <w:szCs w:val="24"/>
        </w:rPr>
        <w:t xml:space="preserve"> conditions will be attached to an IPS Employment Specialist who is hosted within a relevant </w:t>
      </w:r>
      <w:r w:rsidR="00CB7948">
        <w:rPr>
          <w:color w:val="000000" w:themeColor="text1"/>
          <w:szCs w:val="24"/>
        </w:rPr>
        <w:t>physical health</w:t>
      </w:r>
      <w:r w:rsidRPr="00F14501">
        <w:rPr>
          <w:color w:val="000000" w:themeColor="text1"/>
          <w:szCs w:val="24"/>
        </w:rPr>
        <w:t xml:space="preserve"> team);</w:t>
      </w:r>
    </w:p>
    <w:p w:rsidR="00CB7948" w:rsidRDefault="00BF57DB" w:rsidP="0059658C">
      <w:pPr>
        <w:pStyle w:val="ListParagraph"/>
        <w:numPr>
          <w:ilvl w:val="0"/>
          <w:numId w:val="91"/>
        </w:numPr>
        <w:spacing w:after="120" w:line="240" w:lineRule="auto"/>
        <w:ind w:left="993" w:hanging="142"/>
        <w:contextualSpacing/>
        <w:jc w:val="both"/>
        <w:rPr>
          <w:color w:val="000000" w:themeColor="text1"/>
          <w:szCs w:val="24"/>
        </w:rPr>
      </w:pPr>
      <w:r w:rsidRPr="00F14501">
        <w:rPr>
          <w:b/>
          <w:color w:val="000000" w:themeColor="text1"/>
          <w:szCs w:val="24"/>
        </w:rPr>
        <w:t>Health Meeting Locations</w:t>
      </w:r>
      <w:r w:rsidRPr="00F14501">
        <w:rPr>
          <w:color w:val="000000" w:themeColor="text1"/>
          <w:szCs w:val="24"/>
        </w:rPr>
        <w:t xml:space="preserve">: IPS Employment Specialists meet service users to deliver employment support in accessible community locations including GP practices, IAPT teams, </w:t>
      </w:r>
      <w:r w:rsidR="00CB7948">
        <w:rPr>
          <w:color w:val="000000" w:themeColor="text1"/>
          <w:szCs w:val="24"/>
        </w:rPr>
        <w:t xml:space="preserve">physical health </w:t>
      </w:r>
      <w:r w:rsidRPr="00F14501">
        <w:rPr>
          <w:color w:val="000000" w:themeColor="text1"/>
          <w:szCs w:val="24"/>
        </w:rPr>
        <w:t>teams, community practices, social prescribing teams.</w:t>
      </w:r>
    </w:p>
    <w:p w:rsidR="00866625" w:rsidRDefault="007A0D2A" w:rsidP="0059658C">
      <w:pPr>
        <w:ind w:left="709" w:hanging="709"/>
      </w:pPr>
      <w:r>
        <w:rPr>
          <w:color w:val="000000" w:themeColor="text1"/>
          <w:szCs w:val="24"/>
        </w:rPr>
        <w:t>5.6</w:t>
      </w:r>
      <w:r w:rsidR="00ED4F36">
        <w:rPr>
          <w:color w:val="000000" w:themeColor="text1"/>
          <w:szCs w:val="24"/>
        </w:rPr>
        <w:t>.</w:t>
      </w:r>
      <w:r w:rsidR="00ED4F36">
        <w:rPr>
          <w:color w:val="000000" w:themeColor="text1"/>
          <w:szCs w:val="24"/>
        </w:rPr>
        <w:tab/>
      </w:r>
      <w:r w:rsidR="0013460E" w:rsidRPr="00D20B55">
        <w:t xml:space="preserve">This trial will be one of the largest trials of </w:t>
      </w:r>
      <w:r w:rsidR="00DA1229">
        <w:t xml:space="preserve">the </w:t>
      </w:r>
      <w:r w:rsidR="0013460E" w:rsidRPr="00D20B55">
        <w:t xml:space="preserve">IPS </w:t>
      </w:r>
      <w:r w:rsidR="00DA1229">
        <w:t xml:space="preserve">model </w:t>
      </w:r>
      <w:r w:rsidR="0013460E" w:rsidRPr="00D20B55">
        <w:t>conducted to date</w:t>
      </w:r>
      <w:r w:rsidR="00437666" w:rsidRPr="00D20B55">
        <w:t xml:space="preserve">. </w:t>
      </w:r>
      <w:r w:rsidR="0013460E" w:rsidRPr="00D20B55">
        <w:t>Working at t</w:t>
      </w:r>
      <w:r w:rsidR="00437666" w:rsidRPr="00D20B55">
        <w:t xml:space="preserve">his scale </w:t>
      </w:r>
      <w:r w:rsidR="0013460E" w:rsidRPr="00D20B55">
        <w:t xml:space="preserve">is intended to help </w:t>
      </w:r>
      <w:r w:rsidR="00437666" w:rsidRPr="00D20B55">
        <w:t xml:space="preserve">transform the local approach to work and health, embedding conversations about employment </w:t>
      </w:r>
      <w:r w:rsidR="007D23F7" w:rsidRPr="00D20B55">
        <w:t xml:space="preserve">into </w:t>
      </w:r>
      <w:r w:rsidR="00437666" w:rsidRPr="00D20B55">
        <w:t>health services across the region</w:t>
      </w:r>
      <w:r w:rsidR="00C02590">
        <w:t xml:space="preserve"> and enabling locally integrated employment support.</w:t>
      </w:r>
    </w:p>
    <w:p w:rsidR="00C0660D" w:rsidRDefault="00C0660D" w:rsidP="0059658C">
      <w:pPr>
        <w:ind w:left="709" w:hanging="709"/>
      </w:pPr>
    </w:p>
    <w:p w:rsidR="00F40867" w:rsidRPr="004D3FEB" w:rsidRDefault="00F40867" w:rsidP="0059658C">
      <w:pPr>
        <w:pStyle w:val="Heading1"/>
        <w:numPr>
          <w:ilvl w:val="0"/>
          <w:numId w:val="61"/>
        </w:numPr>
        <w:spacing w:before="0" w:after="120" w:line="240" w:lineRule="auto"/>
        <w:jc w:val="both"/>
      </w:pPr>
      <w:bookmarkStart w:id="6" w:name="_Toc485402600"/>
      <w:bookmarkStart w:id="7" w:name="_Toc485402601"/>
      <w:bookmarkStart w:id="8" w:name="_Toc485402602"/>
      <w:bookmarkStart w:id="9" w:name="_Toc485402603"/>
      <w:bookmarkStart w:id="10" w:name="_Toc485402604"/>
      <w:bookmarkStart w:id="11" w:name="_Toc485402605"/>
      <w:bookmarkStart w:id="12" w:name="_Toc485402606"/>
      <w:bookmarkStart w:id="13" w:name="_Toc485402607"/>
      <w:bookmarkStart w:id="14" w:name="_Toc485402608"/>
      <w:bookmarkStart w:id="15" w:name="_Toc485402609"/>
      <w:bookmarkStart w:id="16" w:name="_Toc485402610"/>
      <w:bookmarkStart w:id="17" w:name="_Toc485402611"/>
      <w:bookmarkStart w:id="18" w:name="_Toc485402612"/>
      <w:bookmarkStart w:id="19" w:name="_Toc485402613"/>
      <w:bookmarkStart w:id="20" w:name="_Toc485402614"/>
      <w:bookmarkStart w:id="21" w:name="_Toc485402615"/>
      <w:bookmarkStart w:id="22" w:name="_Toc485402616"/>
      <w:bookmarkStart w:id="23" w:name="_Toc485402617"/>
      <w:bookmarkStart w:id="24" w:name="_Toc485402618"/>
      <w:bookmarkStart w:id="25" w:name="_Toc485402619"/>
      <w:bookmarkStart w:id="26" w:name="_Toc485402620"/>
      <w:bookmarkStart w:id="27" w:name="_Toc491351920"/>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0D41B9">
        <w:t>S</w:t>
      </w:r>
      <w:r w:rsidRPr="00B131CB">
        <w:t>ervice description</w:t>
      </w:r>
      <w:r w:rsidR="00C27303">
        <w:t xml:space="preserve"> overview</w:t>
      </w:r>
      <w:bookmarkEnd w:id="27"/>
    </w:p>
    <w:p w:rsidR="00D24CCC" w:rsidRDefault="00A6264D" w:rsidP="0059658C">
      <w:pPr>
        <w:pStyle w:val="ListParagraph"/>
        <w:numPr>
          <w:ilvl w:val="1"/>
          <w:numId w:val="60"/>
        </w:numPr>
        <w:spacing w:after="120" w:line="240" w:lineRule="auto"/>
        <w:jc w:val="both"/>
      </w:pPr>
      <w:r>
        <w:t>Appendix 7</w:t>
      </w:r>
      <w:r w:rsidR="00D24CCC">
        <w:t xml:space="preserve"> provides a visual overview of the service.</w:t>
      </w:r>
    </w:p>
    <w:p w:rsidR="00AD31EC" w:rsidRPr="0059658C" w:rsidRDefault="00C70898" w:rsidP="0059658C">
      <w:pPr>
        <w:pStyle w:val="ListParagraph"/>
        <w:numPr>
          <w:ilvl w:val="1"/>
          <w:numId w:val="60"/>
        </w:numPr>
        <w:spacing w:after="120" w:line="240" w:lineRule="auto"/>
        <w:jc w:val="both"/>
      </w:pPr>
      <w:r w:rsidRPr="00D20B55">
        <w:t xml:space="preserve">The service will deploy teams of </w:t>
      </w:r>
      <w:r w:rsidR="008D59CF">
        <w:t>IPS Employment Specialist</w:t>
      </w:r>
      <w:r w:rsidRPr="00D20B55">
        <w:t xml:space="preserve">s </w:t>
      </w:r>
      <w:r w:rsidR="00DA1229">
        <w:t xml:space="preserve">embedded across local health systems </w:t>
      </w:r>
      <w:r w:rsidRPr="00D20B55">
        <w:t xml:space="preserve">to provide support in line with </w:t>
      </w:r>
      <w:r w:rsidR="008D74A2">
        <w:t xml:space="preserve">this trial’s modified </w:t>
      </w:r>
      <w:r w:rsidRPr="00D20B55">
        <w:t>IPS principles</w:t>
      </w:r>
      <w:r w:rsidR="00DA1229">
        <w:t xml:space="preserve"> </w:t>
      </w:r>
      <w:r w:rsidR="00D760E5">
        <w:t xml:space="preserve">set out in the service description </w:t>
      </w:r>
      <w:r w:rsidR="00DA1229">
        <w:t>(A</w:t>
      </w:r>
      <w:r w:rsidR="00A6264D">
        <w:t>ppendix 6</w:t>
      </w:r>
      <w:r w:rsidR="008D74A2">
        <w:t>)</w:t>
      </w:r>
      <w:r w:rsidR="00576C0C" w:rsidRPr="00D20B55">
        <w:t>.</w:t>
      </w:r>
      <w:r w:rsidRPr="00D20B55">
        <w:t xml:space="preserve"> These workers will be</w:t>
      </w:r>
      <w:r w:rsidR="006747B9">
        <w:t xml:space="preserve"> closely </w:t>
      </w:r>
      <w:r w:rsidR="00866625">
        <w:t>aligned</w:t>
      </w:r>
      <w:r w:rsidR="006747B9">
        <w:t xml:space="preserve"> and co-located where possible </w:t>
      </w:r>
      <w:r w:rsidRPr="00D20B55">
        <w:t>in primary and community</w:t>
      </w:r>
      <w:r w:rsidR="00F25671">
        <w:t xml:space="preserve"> and </w:t>
      </w:r>
      <w:r w:rsidR="00A60C6B">
        <w:t xml:space="preserve">in </w:t>
      </w:r>
      <w:r w:rsidR="00F25671">
        <w:t xml:space="preserve">all </w:t>
      </w:r>
      <w:r w:rsidRPr="00D20B55">
        <w:t>health</w:t>
      </w:r>
      <w:r w:rsidR="00F25671">
        <w:t xml:space="preserve"> care</w:t>
      </w:r>
      <w:r w:rsidRPr="00D20B55">
        <w:t xml:space="preserve"> settings</w:t>
      </w:r>
      <w:r w:rsidR="0057396B">
        <w:t xml:space="preserve"> for the target group</w:t>
      </w:r>
      <w:r w:rsidR="005A2B63">
        <w:t xml:space="preserve">. </w:t>
      </w:r>
      <w:r w:rsidR="006C2B0C">
        <w:t xml:space="preserve">They will aim to make employment a key part of a patient’s recovery journey and will </w:t>
      </w:r>
      <w:r w:rsidR="006C2B0C" w:rsidRPr="0059658C">
        <w:t>champion the notion of employment as a health outcome</w:t>
      </w:r>
      <w:r w:rsidRPr="0059658C">
        <w:t>.</w:t>
      </w:r>
    </w:p>
    <w:p w:rsidR="00C27303" w:rsidRPr="0059658C" w:rsidRDefault="008E4EA0" w:rsidP="0059658C">
      <w:pPr>
        <w:pStyle w:val="ListParagraph"/>
        <w:numPr>
          <w:ilvl w:val="1"/>
          <w:numId w:val="60"/>
        </w:numPr>
        <w:spacing w:after="120" w:line="240" w:lineRule="auto"/>
        <w:jc w:val="both"/>
      </w:pPr>
      <w:r w:rsidRPr="0059658C">
        <w:t>Establishing co-location</w:t>
      </w:r>
      <w:r w:rsidR="006747B9" w:rsidRPr="0059658C">
        <w:t xml:space="preserve"> or</w:t>
      </w:r>
      <w:r w:rsidRPr="0059658C">
        <w:t xml:space="preserve"> co-working arrangements with primary and community health teams will be essential</w:t>
      </w:r>
      <w:r w:rsidR="00C00C1C" w:rsidRPr="0059658C">
        <w:t xml:space="preserve"> and the provider(s) will be expected to demonstrate how they will achieve this.</w:t>
      </w:r>
      <w:r w:rsidR="00DA1229" w:rsidRPr="0059658C">
        <w:t xml:space="preserve"> Health partners have been involved in the co-design of the SCR trial and are responsive to working with the appointed provider(s).</w:t>
      </w:r>
    </w:p>
    <w:p w:rsidR="00C0660D" w:rsidRDefault="00C0660D" w:rsidP="0059658C">
      <w:pPr>
        <w:rPr>
          <w:rFonts w:cs="Arial"/>
        </w:rPr>
      </w:pPr>
      <w:r>
        <w:br w:type="page"/>
      </w:r>
    </w:p>
    <w:p w:rsidR="00C0660D" w:rsidRPr="00D20B55" w:rsidRDefault="00C0660D" w:rsidP="0059658C">
      <w:pPr>
        <w:pStyle w:val="ListParagraph"/>
        <w:numPr>
          <w:ilvl w:val="0"/>
          <w:numId w:val="0"/>
        </w:numPr>
        <w:spacing w:after="120" w:line="240" w:lineRule="auto"/>
        <w:ind w:left="720"/>
        <w:jc w:val="both"/>
      </w:pPr>
    </w:p>
    <w:p w:rsidR="00C70898" w:rsidRPr="00D20B55" w:rsidRDefault="00C70898" w:rsidP="0059658C">
      <w:pPr>
        <w:pStyle w:val="ListParagraph"/>
        <w:numPr>
          <w:ilvl w:val="1"/>
          <w:numId w:val="60"/>
        </w:numPr>
        <w:spacing w:after="120" w:line="240" w:lineRule="auto"/>
        <w:jc w:val="both"/>
      </w:pPr>
      <w:r w:rsidRPr="00D20B55">
        <w:t>The service will support people to achieve their employment aspirations with a focus on:</w:t>
      </w:r>
    </w:p>
    <w:p w:rsidR="00C70898" w:rsidRPr="00D20B55" w:rsidRDefault="00C70898" w:rsidP="0059658C">
      <w:pPr>
        <w:pStyle w:val="ListParagraph"/>
        <w:numPr>
          <w:ilvl w:val="2"/>
          <w:numId w:val="90"/>
        </w:numPr>
        <w:spacing w:after="120" w:line="240" w:lineRule="auto"/>
        <w:ind w:left="993" w:hanging="284"/>
        <w:jc w:val="both"/>
      </w:pPr>
      <w:r w:rsidRPr="00D20B55">
        <w:t>paid, competitive employment</w:t>
      </w:r>
      <w:r w:rsidR="00B131CB">
        <w:t>,</w:t>
      </w:r>
      <w:r w:rsidRPr="00D20B55">
        <w:t xml:space="preserve"> including self-employment</w:t>
      </w:r>
      <w:r w:rsidR="00B131CB">
        <w:t xml:space="preserve"> where relevant</w:t>
      </w:r>
      <w:r w:rsidRPr="00D20B55">
        <w:t>;</w:t>
      </w:r>
    </w:p>
    <w:p w:rsidR="008F5FEA" w:rsidRDefault="008F5FEA" w:rsidP="0059658C">
      <w:pPr>
        <w:pStyle w:val="ListParagraph"/>
        <w:numPr>
          <w:ilvl w:val="2"/>
          <w:numId w:val="90"/>
        </w:numPr>
        <w:spacing w:after="120" w:line="240" w:lineRule="auto"/>
        <w:ind w:left="993" w:hanging="284"/>
        <w:jc w:val="both"/>
      </w:pPr>
      <w:r>
        <w:t>voluntary participation underpinned by informed consent and a focus on understanding and meeting client’s preferences;</w:t>
      </w:r>
    </w:p>
    <w:p w:rsidR="00C70898" w:rsidRPr="00D20B55" w:rsidRDefault="008D59CF" w:rsidP="0059658C">
      <w:pPr>
        <w:pStyle w:val="ListParagraph"/>
        <w:numPr>
          <w:ilvl w:val="2"/>
          <w:numId w:val="90"/>
        </w:numPr>
        <w:spacing w:after="120" w:line="240" w:lineRule="auto"/>
        <w:ind w:left="993" w:hanging="284"/>
        <w:jc w:val="both"/>
      </w:pPr>
      <w:r>
        <w:t>IPS Employment Specialist</w:t>
      </w:r>
      <w:r w:rsidR="00C70898" w:rsidRPr="00D20B55">
        <w:t xml:space="preserve">s </w:t>
      </w:r>
      <w:r w:rsidR="006747B9">
        <w:t xml:space="preserve">closely aligned </w:t>
      </w:r>
      <w:r w:rsidR="00C70898" w:rsidRPr="00D20B55">
        <w:t xml:space="preserve">in primary and community care </w:t>
      </w:r>
      <w:r w:rsidR="006747B9">
        <w:t>and</w:t>
      </w:r>
      <w:r w:rsidR="0040066B">
        <w:t xml:space="preserve"> physical health</w:t>
      </w:r>
      <w:r w:rsidR="00A60C6B">
        <w:t xml:space="preserve"> </w:t>
      </w:r>
      <w:r w:rsidR="006747B9">
        <w:t xml:space="preserve">care </w:t>
      </w:r>
      <w:r w:rsidR="00C70898" w:rsidRPr="00D20B55">
        <w:t>teams</w:t>
      </w:r>
      <w:r w:rsidR="006747B9">
        <w:t xml:space="preserve"> where appropriate</w:t>
      </w:r>
      <w:r w:rsidR="00C70898" w:rsidRPr="00D20B55">
        <w:t xml:space="preserve">, with service users </w:t>
      </w:r>
      <w:r w:rsidR="00866625" w:rsidRPr="00D20B55">
        <w:t xml:space="preserve">receiving </w:t>
      </w:r>
      <w:r w:rsidR="00866625">
        <w:t>employment</w:t>
      </w:r>
      <w:r w:rsidR="00C70898" w:rsidRPr="00D20B55">
        <w:t xml:space="preserve"> advice alongside other </w:t>
      </w:r>
      <w:r w:rsidR="00B7530D">
        <w:t xml:space="preserve">healthcare </w:t>
      </w:r>
      <w:r w:rsidR="00C70898" w:rsidRPr="00D20B55">
        <w:t>support;</w:t>
      </w:r>
    </w:p>
    <w:p w:rsidR="00C70898" w:rsidRDefault="008F5FEA" w:rsidP="0059658C">
      <w:pPr>
        <w:pStyle w:val="ListParagraph"/>
        <w:numPr>
          <w:ilvl w:val="2"/>
          <w:numId w:val="90"/>
        </w:numPr>
        <w:spacing w:after="120" w:line="240" w:lineRule="auto"/>
        <w:ind w:left="993" w:hanging="284"/>
        <w:jc w:val="both"/>
      </w:pPr>
      <w:r>
        <w:t xml:space="preserve">a place then train model of </w:t>
      </w:r>
      <w:r w:rsidR="00C70898" w:rsidRPr="00D20B55">
        <w:t>rapid</w:t>
      </w:r>
      <w:r>
        <w:t xml:space="preserve"> activation and</w:t>
      </w:r>
      <w:r w:rsidR="00C70898" w:rsidRPr="00D20B55">
        <w:t xml:space="preserve"> job </w:t>
      </w:r>
      <w:r w:rsidR="00866625" w:rsidRPr="00D20B55">
        <w:t>search</w:t>
      </w:r>
      <w:r w:rsidR="00C70898" w:rsidRPr="00D20B55">
        <w:t>, followed by in-work support tailored to the individual needs of a person.</w:t>
      </w:r>
    </w:p>
    <w:p w:rsidR="00AD31EC" w:rsidRDefault="00950D41" w:rsidP="0059658C">
      <w:pPr>
        <w:pStyle w:val="ListParagraph"/>
        <w:numPr>
          <w:ilvl w:val="2"/>
          <w:numId w:val="90"/>
        </w:numPr>
        <w:spacing w:after="120" w:line="240" w:lineRule="auto"/>
        <w:ind w:left="993" w:hanging="284"/>
        <w:jc w:val="both"/>
      </w:pPr>
      <w:r>
        <w:t>r</w:t>
      </w:r>
      <w:r w:rsidR="00AD31EC">
        <w:t xml:space="preserve">apid </w:t>
      </w:r>
      <w:r w:rsidR="008F5FEA">
        <w:t xml:space="preserve">support </w:t>
      </w:r>
      <w:r w:rsidR="00B22777">
        <w:t>f</w:t>
      </w:r>
      <w:r w:rsidR="00B22777" w:rsidRPr="000B1ACF">
        <w:t xml:space="preserve">or individuals in work but </w:t>
      </w:r>
      <w:r w:rsidR="00B22777">
        <w:t xml:space="preserve">off sick </w:t>
      </w:r>
      <w:r w:rsidR="00AD31EC">
        <w:t>and involvement of employers quickly and appropriately</w:t>
      </w:r>
      <w:r w:rsidR="00687FA7">
        <w:t>, subject to individual’s informed consent to do so</w:t>
      </w:r>
      <w:r w:rsidR="00AD31EC">
        <w:t>.</w:t>
      </w:r>
    </w:p>
    <w:p w:rsidR="00DA1229" w:rsidRPr="00D20B55" w:rsidRDefault="00430D0B" w:rsidP="0059658C">
      <w:pPr>
        <w:pStyle w:val="ListParagraph"/>
        <w:numPr>
          <w:ilvl w:val="1"/>
          <w:numId w:val="60"/>
        </w:numPr>
        <w:spacing w:after="120" w:line="240" w:lineRule="auto"/>
        <w:jc w:val="both"/>
      </w:pPr>
      <w:r w:rsidRPr="00F14501">
        <w:t xml:space="preserve">The target cohort will be patients with a </w:t>
      </w:r>
      <w:r w:rsidR="006747B9" w:rsidRPr="00F14501">
        <w:t>recorded</w:t>
      </w:r>
      <w:r w:rsidRPr="00F14501">
        <w:t xml:space="preserve"> health condition</w:t>
      </w:r>
      <w:r w:rsidR="00746F54" w:rsidRPr="00F14501">
        <w:t xml:space="preserve"> specifically mild/moderate mental health and/or </w:t>
      </w:r>
      <w:r w:rsidR="000B7892">
        <w:t>physical health</w:t>
      </w:r>
      <w:r w:rsidR="00746F54" w:rsidRPr="00F14501">
        <w:t xml:space="preserve"> issues</w:t>
      </w:r>
      <w:r w:rsidR="005D6C2E" w:rsidRPr="00F14501">
        <w:t xml:space="preserve"> that are an </w:t>
      </w:r>
      <w:r w:rsidR="00866625" w:rsidRPr="00F14501">
        <w:t>obstacle to</w:t>
      </w:r>
      <w:r w:rsidR="005D6C2E" w:rsidRPr="00F14501">
        <w:t xml:space="preserve"> work</w:t>
      </w:r>
      <w:r w:rsidR="00F86493" w:rsidRPr="00F14501">
        <w:t xml:space="preserve">.  Individuals can be in work or </w:t>
      </w:r>
      <w:r w:rsidR="00866625" w:rsidRPr="00F14501">
        <w:t>unemployed.</w:t>
      </w:r>
      <w:r w:rsidR="00654FAC" w:rsidRPr="00F14501">
        <w:t xml:space="preserve"> </w:t>
      </w:r>
      <w:r w:rsidR="00F86493" w:rsidRPr="00F14501">
        <w:t xml:space="preserve"> </w:t>
      </w:r>
      <w:r w:rsidR="00DA1229" w:rsidRPr="00D20B55">
        <w:t xml:space="preserve">Full eligibility criteria for people entering the programme are </w:t>
      </w:r>
      <w:r w:rsidR="00DA1229">
        <w:t>outlined in Section 9</w:t>
      </w:r>
      <w:r w:rsidR="00DA1229" w:rsidRPr="0069119B">
        <w:t>.</w:t>
      </w:r>
    </w:p>
    <w:p w:rsidR="0068165C" w:rsidRPr="00D20B55" w:rsidRDefault="0068165C" w:rsidP="0059658C">
      <w:pPr>
        <w:pStyle w:val="ListParagraph"/>
        <w:numPr>
          <w:ilvl w:val="1"/>
          <w:numId w:val="60"/>
        </w:numPr>
        <w:spacing w:after="120" w:line="240" w:lineRule="auto"/>
        <w:jc w:val="both"/>
      </w:pPr>
      <w:r w:rsidRPr="00D20B55">
        <w:t>In addition:</w:t>
      </w:r>
    </w:p>
    <w:p w:rsidR="0068165C" w:rsidRPr="00D20B55" w:rsidRDefault="0068165C" w:rsidP="0059658C">
      <w:pPr>
        <w:pStyle w:val="ListParagraph"/>
        <w:numPr>
          <w:ilvl w:val="2"/>
          <w:numId w:val="127"/>
        </w:numPr>
        <w:spacing w:after="120" w:line="240" w:lineRule="auto"/>
        <w:ind w:left="1134" w:hanging="283"/>
        <w:jc w:val="both"/>
      </w:pPr>
      <w:r w:rsidRPr="00D20B55">
        <w:t xml:space="preserve">the service will </w:t>
      </w:r>
      <w:r w:rsidR="00B131CB">
        <w:t xml:space="preserve">need to work in concert with </w:t>
      </w:r>
      <w:r w:rsidRPr="00D20B55">
        <w:t xml:space="preserve">existing and emerging provision in the </w:t>
      </w:r>
      <w:r w:rsidR="00B131CB">
        <w:t>area</w:t>
      </w:r>
      <w:r w:rsidR="00B131CB" w:rsidRPr="00D20B55">
        <w:t xml:space="preserve"> </w:t>
      </w:r>
      <w:r w:rsidRPr="00D20B55">
        <w:t>including the Work and Health Programme</w:t>
      </w:r>
      <w:r w:rsidR="00B131CB">
        <w:t xml:space="preserve"> and any local or ESF-funded services</w:t>
      </w:r>
      <w:r w:rsidR="00DA1229">
        <w:t>,</w:t>
      </w:r>
      <w:r w:rsidR="00C70898" w:rsidRPr="00D20B55">
        <w:t xml:space="preserve"> </w:t>
      </w:r>
      <w:r w:rsidR="00244F8E">
        <w:t>employers, occupational health and HR departments and equality leads</w:t>
      </w:r>
      <w:r w:rsidR="00DA1229">
        <w:t>. A</w:t>
      </w:r>
      <w:r w:rsidR="00C70898" w:rsidRPr="00D20B55">
        <w:t xml:space="preserve"> </w:t>
      </w:r>
      <w:r w:rsidR="00DA1229">
        <w:t>summary of main</w:t>
      </w:r>
      <w:r w:rsidR="00C70898" w:rsidRPr="00D20B55">
        <w:t xml:space="preserve"> existing employment services is provided in </w:t>
      </w:r>
      <w:r w:rsidR="00335DAA">
        <w:t>Appendix 1</w:t>
      </w:r>
      <w:r w:rsidR="00DA1229">
        <w:t>;</w:t>
      </w:r>
    </w:p>
    <w:p w:rsidR="0068165C" w:rsidRPr="00D20B55" w:rsidRDefault="0068165C" w:rsidP="0059658C">
      <w:pPr>
        <w:pStyle w:val="ListParagraph"/>
        <w:numPr>
          <w:ilvl w:val="2"/>
          <w:numId w:val="127"/>
        </w:numPr>
        <w:spacing w:after="120" w:line="240" w:lineRule="auto"/>
        <w:ind w:left="1134" w:hanging="283"/>
        <w:jc w:val="both"/>
      </w:pPr>
      <w:r w:rsidRPr="00D20B55">
        <w:t xml:space="preserve">the service will be flexible and responsive to the </w:t>
      </w:r>
      <w:r w:rsidR="00B131CB">
        <w:t xml:space="preserve">evolving </w:t>
      </w:r>
      <w:r w:rsidRPr="00D20B55">
        <w:t xml:space="preserve">employment and welfare landscape; </w:t>
      </w:r>
    </w:p>
    <w:p w:rsidR="00276FB6" w:rsidRDefault="00B131CB" w:rsidP="0059658C">
      <w:pPr>
        <w:pStyle w:val="ListParagraph"/>
        <w:numPr>
          <w:ilvl w:val="2"/>
          <w:numId w:val="127"/>
        </w:numPr>
        <w:spacing w:after="120" w:line="240" w:lineRule="auto"/>
        <w:ind w:left="1134" w:hanging="283"/>
        <w:jc w:val="both"/>
      </w:pPr>
      <w:r>
        <w:t>p</w:t>
      </w:r>
      <w:r w:rsidR="002B7E93" w:rsidRPr="00D20B55">
        <w:t>roviders will r</w:t>
      </w:r>
      <w:r w:rsidR="00766E9B" w:rsidRPr="00D20B55">
        <w:t xml:space="preserve">eport to </w:t>
      </w:r>
      <w:r>
        <w:t xml:space="preserve">the </w:t>
      </w:r>
      <w:r w:rsidR="005A4BF1">
        <w:t xml:space="preserve">SCR </w:t>
      </w:r>
      <w:r w:rsidR="00766E9B" w:rsidRPr="00D20B55">
        <w:t xml:space="preserve">programme team </w:t>
      </w:r>
      <w:r w:rsidR="00864B91" w:rsidRPr="00D20B55">
        <w:t>on pre-determined program</w:t>
      </w:r>
      <w:r w:rsidR="00C70898" w:rsidRPr="00D20B55">
        <w:t>me</w:t>
      </w:r>
      <w:r w:rsidR="00864B91" w:rsidRPr="00D20B55">
        <w:t xml:space="preserve"> outcome measures, quality assurance performance and any issues around successful </w:t>
      </w:r>
      <w:r>
        <w:t xml:space="preserve">implementation of </w:t>
      </w:r>
      <w:r w:rsidR="00DA1229">
        <w:t>the randomised control trial;</w:t>
      </w:r>
    </w:p>
    <w:p w:rsidR="00276FB6" w:rsidRPr="00E7588F" w:rsidRDefault="00DA1229" w:rsidP="0059658C">
      <w:pPr>
        <w:pStyle w:val="ListParagraph"/>
        <w:numPr>
          <w:ilvl w:val="2"/>
          <w:numId w:val="127"/>
        </w:numPr>
        <w:spacing w:after="120" w:line="240" w:lineRule="auto"/>
        <w:ind w:left="1134" w:hanging="283"/>
        <w:jc w:val="both"/>
      </w:pPr>
      <w:r>
        <w:rPr>
          <w:lang w:val="en-US"/>
        </w:rPr>
        <w:t>p</w:t>
      </w:r>
      <w:r w:rsidR="00276FB6" w:rsidRPr="00276FB6">
        <w:rPr>
          <w:lang w:val="en-US"/>
        </w:rPr>
        <w:t xml:space="preserve">roviders will be expected to draw up a </w:t>
      </w:r>
      <w:r w:rsidR="00276FB6">
        <w:rPr>
          <w:lang w:val="en-US"/>
        </w:rPr>
        <w:t>measurable S</w:t>
      </w:r>
      <w:r w:rsidR="00276FB6" w:rsidRPr="00276FB6">
        <w:rPr>
          <w:lang w:val="en-US"/>
        </w:rPr>
        <w:t xml:space="preserve">ervice </w:t>
      </w:r>
      <w:r w:rsidR="00276FB6">
        <w:rPr>
          <w:lang w:val="en-US"/>
        </w:rPr>
        <w:t>P</w:t>
      </w:r>
      <w:r w:rsidR="00276FB6" w:rsidRPr="00276FB6">
        <w:rPr>
          <w:lang w:val="en-US"/>
        </w:rPr>
        <w:t xml:space="preserve">ledge to be agreed with the programme team to be communicated to all clients </w:t>
      </w:r>
      <w:r w:rsidR="00276FB6">
        <w:rPr>
          <w:lang w:val="en-US"/>
        </w:rPr>
        <w:t xml:space="preserve">in written format </w:t>
      </w:r>
      <w:r w:rsidR="00276FB6" w:rsidRPr="00276FB6">
        <w:rPr>
          <w:lang w:val="en-US"/>
        </w:rPr>
        <w:t>clearly setting out what service the client can expect to receive</w:t>
      </w:r>
      <w:r w:rsidR="00276FB6">
        <w:rPr>
          <w:lang w:val="en-US"/>
        </w:rPr>
        <w:t xml:space="preserve"> and clearly articulating the service complaints process</w:t>
      </w:r>
      <w:r w:rsidR="00276FB6" w:rsidRPr="00276FB6">
        <w:rPr>
          <w:lang w:val="en-US"/>
        </w:rPr>
        <w:t>.</w:t>
      </w:r>
      <w:r w:rsidR="00276FB6">
        <w:rPr>
          <w:lang w:val="en-US"/>
        </w:rPr>
        <w:t xml:space="preserve">  </w:t>
      </w:r>
    </w:p>
    <w:p w:rsidR="00B131CB" w:rsidRDefault="004433FC" w:rsidP="0059658C">
      <w:pPr>
        <w:pStyle w:val="ListParagraph"/>
        <w:numPr>
          <w:ilvl w:val="1"/>
          <w:numId w:val="60"/>
        </w:numPr>
        <w:spacing w:after="120" w:line="240" w:lineRule="auto"/>
      </w:pPr>
      <w:r>
        <w:t>The following diagram provides an overview of the service model from referral through initial consultation and then allocation into treatment vs control group.</w:t>
      </w:r>
    </w:p>
    <w:p w:rsidR="00166FAA" w:rsidRDefault="00166FAA" w:rsidP="0059658C">
      <w:pPr>
        <w:spacing w:after="120" w:line="240" w:lineRule="auto"/>
        <w:rPr>
          <w:rStyle w:val="SubtleEmphasis"/>
        </w:rPr>
      </w:pPr>
    </w:p>
    <w:p w:rsidR="00525756" w:rsidRPr="00166FAA" w:rsidRDefault="00B131CB" w:rsidP="0059658C">
      <w:pPr>
        <w:spacing w:after="120" w:line="240" w:lineRule="auto"/>
        <w:ind w:firstLine="680"/>
        <w:rPr>
          <w:rFonts w:cs="Arial"/>
          <w:i/>
          <w:iCs/>
          <w:color w:val="404040" w:themeColor="text1" w:themeTint="BF"/>
        </w:rPr>
      </w:pPr>
      <w:r w:rsidRPr="00F14501">
        <w:rPr>
          <w:rStyle w:val="SubtleEmphasis"/>
        </w:rPr>
        <w:t xml:space="preserve">Figure </w:t>
      </w:r>
      <w:r w:rsidR="00525756">
        <w:rPr>
          <w:rStyle w:val="SubtleEmphasis"/>
        </w:rPr>
        <w:t>2</w:t>
      </w:r>
      <w:r w:rsidRPr="00F14501">
        <w:rPr>
          <w:rStyle w:val="SubtleEmphasis"/>
        </w:rPr>
        <w:t xml:space="preserve"> – </w:t>
      </w:r>
      <w:r w:rsidR="000E0ABE" w:rsidRPr="00F14501">
        <w:rPr>
          <w:rStyle w:val="SubtleEmphasis"/>
        </w:rPr>
        <w:t xml:space="preserve">SCR </w:t>
      </w:r>
      <w:r w:rsidR="00210AC1">
        <w:rPr>
          <w:rStyle w:val="SubtleEmphasis"/>
        </w:rPr>
        <w:t>modified IPS trial service</w:t>
      </w:r>
      <w:r w:rsidRPr="00F14501">
        <w:rPr>
          <w:rStyle w:val="SubtleEmphasis"/>
        </w:rPr>
        <w:t xml:space="preserve"> model</w:t>
      </w:r>
    </w:p>
    <w:p w:rsidR="00B131CB" w:rsidRDefault="00525756" w:rsidP="0059658C">
      <w:pPr>
        <w:spacing w:after="120" w:line="240" w:lineRule="auto"/>
        <w:ind w:left="680" w:hanging="680"/>
        <w:jc w:val="center"/>
      </w:pPr>
      <w:r>
        <w:rPr>
          <w:noProof/>
          <w:lang w:eastAsia="en-GB"/>
        </w:rPr>
        <w:drawing>
          <wp:inline distT="0" distB="0" distL="0" distR="0" wp14:anchorId="3E09BC7C" wp14:editId="1690A9A8">
            <wp:extent cx="5469891" cy="26441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PNG"/>
                    <pic:cNvPicPr/>
                  </pic:nvPicPr>
                  <pic:blipFill>
                    <a:blip r:embed="rId17">
                      <a:extLst>
                        <a:ext uri="{28A0092B-C50C-407E-A947-70E740481C1C}">
                          <a14:useLocalDpi xmlns:a14="http://schemas.microsoft.com/office/drawing/2010/main" val="0"/>
                        </a:ext>
                      </a:extLst>
                    </a:blip>
                    <a:stretch>
                      <a:fillRect/>
                    </a:stretch>
                  </pic:blipFill>
                  <pic:spPr>
                    <a:xfrm>
                      <a:off x="0" y="0"/>
                      <a:ext cx="5476669" cy="2647416"/>
                    </a:xfrm>
                    <a:prstGeom prst="rect">
                      <a:avLst/>
                    </a:prstGeom>
                  </pic:spPr>
                </pic:pic>
              </a:graphicData>
            </a:graphic>
          </wp:inline>
        </w:drawing>
      </w:r>
    </w:p>
    <w:p w:rsidR="00866625" w:rsidRDefault="00866625" w:rsidP="0059658C">
      <w:pPr>
        <w:pStyle w:val="Heading1"/>
        <w:numPr>
          <w:ilvl w:val="0"/>
          <w:numId w:val="0"/>
        </w:numPr>
        <w:spacing w:before="0" w:after="120" w:line="240" w:lineRule="auto"/>
        <w:ind w:left="360"/>
      </w:pPr>
    </w:p>
    <w:p w:rsidR="004433FC" w:rsidRPr="00F14501" w:rsidRDefault="004433FC" w:rsidP="0059658C">
      <w:pPr>
        <w:pStyle w:val="Heading1"/>
        <w:numPr>
          <w:ilvl w:val="0"/>
          <w:numId w:val="60"/>
        </w:numPr>
        <w:spacing w:before="0" w:after="120" w:line="240" w:lineRule="auto"/>
      </w:pPr>
      <w:bookmarkStart w:id="28" w:name="_Toc491351921"/>
      <w:r w:rsidRPr="00F14501">
        <w:t>Service model – Referral sources</w:t>
      </w:r>
      <w:r w:rsidR="00931D1B">
        <w:t xml:space="preserve"> and volumes</w:t>
      </w:r>
      <w:bookmarkEnd w:id="28"/>
    </w:p>
    <w:p w:rsidR="00931D1B" w:rsidRDefault="00931D1B" w:rsidP="0059658C">
      <w:pPr>
        <w:numPr>
          <w:ilvl w:val="1"/>
          <w:numId w:val="60"/>
        </w:numPr>
        <w:spacing w:after="120" w:line="240" w:lineRule="auto"/>
        <w:jc w:val="both"/>
      </w:pPr>
      <w:r>
        <w:t xml:space="preserve">The trial will be delivered as a randomised control trial with 6000 participants completing their period on the intervention of which 3000 will receive the </w:t>
      </w:r>
      <w:r w:rsidR="00D72366">
        <w:t xml:space="preserve">modified </w:t>
      </w:r>
      <w:r>
        <w:t xml:space="preserve">IPS intervention and 3000 are in the control group.  Individuals in the control group will be signposted </w:t>
      </w:r>
      <w:r w:rsidR="00D72366">
        <w:t xml:space="preserve">and supported sensitively </w:t>
      </w:r>
      <w:r>
        <w:t>to existing employment services in their local areas.  To account for a 20% drop out rate between starting on intervention and completion</w:t>
      </w:r>
      <w:r w:rsidR="00AF00BA">
        <w:t xml:space="preserve"> (i.e. reaches end of the max </w:t>
      </w:r>
      <w:r w:rsidR="00C0660D">
        <w:t>12-month</w:t>
      </w:r>
      <w:r w:rsidR="00AF00BA">
        <w:t xml:space="preserve"> support duration, or earlier if in sustained work)</w:t>
      </w:r>
      <w:r>
        <w:t xml:space="preserve">, a </w:t>
      </w:r>
      <w:r w:rsidRPr="000B1ACF">
        <w:t xml:space="preserve">total of </w:t>
      </w:r>
      <w:r>
        <w:t>7500</w:t>
      </w:r>
      <w:r w:rsidRPr="000B1ACF">
        <w:t xml:space="preserve"> referrals will have to be made into the trial</w:t>
      </w:r>
      <w:r>
        <w:t xml:space="preserve"> (</w:t>
      </w:r>
      <w:r w:rsidR="00D72366">
        <w:t xml:space="preserve">i.e. 3750 starts in each of the </w:t>
      </w:r>
      <w:r>
        <w:t xml:space="preserve">IPS </w:t>
      </w:r>
      <w:r w:rsidR="00D72366">
        <w:t xml:space="preserve">service arm </w:t>
      </w:r>
      <w:r>
        <w:t xml:space="preserve">and </w:t>
      </w:r>
      <w:r w:rsidR="00D72366">
        <w:t xml:space="preserve">the </w:t>
      </w:r>
      <w:r>
        <w:t>control arm)</w:t>
      </w:r>
      <w:r w:rsidRPr="000B1ACF">
        <w:t xml:space="preserve">. </w:t>
      </w:r>
      <w:r>
        <w:t xml:space="preserve"> The expectation is that </w:t>
      </w:r>
      <w:r w:rsidR="00D72366">
        <w:t>referrals</w:t>
      </w:r>
      <w:r>
        <w:t xml:space="preserve"> will </w:t>
      </w:r>
      <w:r w:rsidR="00D72366">
        <w:t xml:space="preserve">close in </w:t>
      </w:r>
      <w:r>
        <w:t>March 2019.</w:t>
      </w:r>
      <w:r w:rsidR="00E845E2">
        <w:t xml:space="preserve">  The </w:t>
      </w:r>
      <w:r w:rsidR="004F0858">
        <w:t>trial design seeks to achieve</w:t>
      </w:r>
      <w:r w:rsidR="00E845E2">
        <w:t xml:space="preserve"> 70% of all starts to relate to those out of work and 30% to those in work and off sick or struggling in the workplace.</w:t>
      </w:r>
      <w:r w:rsidR="004F0858">
        <w:t xml:space="preserve"> It is not clear if this will occur naturally and randomisation allocations may be adjusted from 50% in order to work towards this.</w:t>
      </w:r>
    </w:p>
    <w:p w:rsidR="007B649A" w:rsidRPr="00D20B55" w:rsidRDefault="007B649A" w:rsidP="0059658C">
      <w:pPr>
        <w:pStyle w:val="ListParagraph"/>
        <w:numPr>
          <w:ilvl w:val="1"/>
          <w:numId w:val="60"/>
        </w:numPr>
        <w:spacing w:after="120" w:line="240" w:lineRule="auto"/>
      </w:pPr>
      <w:r w:rsidRPr="00D20B55">
        <w:t>The service will demonstrate strong, timely, and seamless referral pathways.</w:t>
      </w:r>
    </w:p>
    <w:p w:rsidR="000111BF" w:rsidRPr="00D20B55" w:rsidRDefault="000111BF" w:rsidP="0059658C">
      <w:pPr>
        <w:pStyle w:val="ListParagraph"/>
        <w:numPr>
          <w:ilvl w:val="1"/>
          <w:numId w:val="60"/>
        </w:numPr>
        <w:spacing w:after="120" w:line="240" w:lineRule="auto"/>
      </w:pPr>
      <w:r w:rsidRPr="00D20B55">
        <w:t>The core target referral routes are as follows:</w:t>
      </w:r>
    </w:p>
    <w:p w:rsidR="000111BF" w:rsidRPr="00D20B55" w:rsidRDefault="000111BF" w:rsidP="0059658C">
      <w:pPr>
        <w:pStyle w:val="ListParagraph"/>
        <w:numPr>
          <w:ilvl w:val="2"/>
          <w:numId w:val="132"/>
        </w:numPr>
        <w:spacing w:after="120" w:line="240" w:lineRule="auto"/>
        <w:ind w:left="1134" w:hanging="283"/>
      </w:pPr>
      <w:r w:rsidRPr="00D20B55">
        <w:t>Primary care</w:t>
      </w:r>
      <w:r w:rsidR="004433FC">
        <w:t xml:space="preserve"> (GPs, practice nurses</w:t>
      </w:r>
      <w:r w:rsidR="00C45B8A">
        <w:t>, allied health professions</w:t>
      </w:r>
      <w:r w:rsidR="004433FC">
        <w:t>, other primary care staff members)</w:t>
      </w:r>
    </w:p>
    <w:p w:rsidR="000111BF" w:rsidRPr="00D20B55" w:rsidRDefault="000111BF" w:rsidP="0059658C">
      <w:pPr>
        <w:pStyle w:val="ListParagraph"/>
        <w:numPr>
          <w:ilvl w:val="2"/>
          <w:numId w:val="1"/>
        </w:numPr>
        <w:spacing w:after="120" w:line="240" w:lineRule="auto"/>
        <w:ind w:left="1134" w:hanging="283"/>
      </w:pPr>
      <w:r w:rsidRPr="00D20B55">
        <w:t>Community ca</w:t>
      </w:r>
      <w:r w:rsidR="00C45B8A">
        <w:t>r</w:t>
      </w:r>
      <w:r w:rsidRPr="00D20B55">
        <w:t>e</w:t>
      </w:r>
      <w:r w:rsidR="00C45B8A">
        <w:t>/</w:t>
      </w:r>
      <w:r w:rsidR="00BB16A4">
        <w:t xml:space="preserve"> and other </w:t>
      </w:r>
      <w:r w:rsidR="00C45B8A">
        <w:t>care</w:t>
      </w:r>
      <w:r w:rsidR="00BB16A4">
        <w:t xml:space="preserve"> settings</w:t>
      </w:r>
      <w:r w:rsidRPr="00D20B55">
        <w:t xml:space="preserve"> (IAPT</w:t>
      </w:r>
      <w:r w:rsidR="004433FC">
        <w:t xml:space="preserve">, </w:t>
      </w:r>
      <w:r w:rsidRPr="00D20B55">
        <w:t>pain clinics</w:t>
      </w:r>
      <w:r w:rsidR="004433FC">
        <w:t>,</w:t>
      </w:r>
      <w:r w:rsidR="000A00E6">
        <w:t xml:space="preserve"> physio</w:t>
      </w:r>
      <w:r w:rsidR="004433FC">
        <w:t xml:space="preserve"> and other community care services</w:t>
      </w:r>
      <w:r w:rsidR="00C45B8A">
        <w:t xml:space="preserve">, psychology, </w:t>
      </w:r>
      <w:r w:rsidR="0045381E">
        <w:t>psychotherapy)</w:t>
      </w:r>
      <w:r w:rsidR="00C45B8A">
        <w:t xml:space="preserve">, </w:t>
      </w:r>
      <w:r w:rsidR="000A00E6">
        <w:t>and social prescribing</w:t>
      </w:r>
    </w:p>
    <w:p w:rsidR="000111BF" w:rsidRPr="00D20B55" w:rsidRDefault="000111BF" w:rsidP="0059658C">
      <w:pPr>
        <w:pStyle w:val="ListParagraph"/>
        <w:numPr>
          <w:ilvl w:val="2"/>
          <w:numId w:val="1"/>
        </w:numPr>
        <w:spacing w:after="120" w:line="240" w:lineRule="auto"/>
        <w:ind w:left="1134" w:hanging="283"/>
      </w:pPr>
      <w:r w:rsidRPr="00D20B55">
        <w:t>Self-referral</w:t>
      </w:r>
      <w:r w:rsidR="00BB16A4">
        <w:t xml:space="preserve"> signposted from wider local services e.g. </w:t>
      </w:r>
      <w:r w:rsidR="00931D1B">
        <w:t xml:space="preserve">VCF </w:t>
      </w:r>
      <w:r w:rsidR="00760CEB">
        <w:t>Sector</w:t>
      </w:r>
      <w:r w:rsidR="00931D1B">
        <w:t>, employers</w:t>
      </w:r>
      <w:r w:rsidR="00760CEB">
        <w:t xml:space="preserve"> and </w:t>
      </w:r>
      <w:r w:rsidR="008D59CF">
        <w:t>Jobcentre</w:t>
      </w:r>
      <w:r w:rsidR="002D3C55">
        <w:t xml:space="preserve"> Plus</w:t>
      </w:r>
      <w:r w:rsidR="004433FC">
        <w:t xml:space="preserve"> (web, telephone, in-person)</w:t>
      </w:r>
    </w:p>
    <w:p w:rsidR="007E5E9A" w:rsidRPr="00D20B55" w:rsidRDefault="000D41B9" w:rsidP="0059658C">
      <w:pPr>
        <w:pStyle w:val="ListParagraph"/>
        <w:numPr>
          <w:ilvl w:val="1"/>
          <w:numId w:val="60"/>
        </w:numPr>
        <w:spacing w:after="120" w:line="240" w:lineRule="auto"/>
        <w:jc w:val="both"/>
      </w:pPr>
      <w:r>
        <w:t xml:space="preserve">The </w:t>
      </w:r>
      <w:r w:rsidR="00931D1B">
        <w:t xml:space="preserve">SCR </w:t>
      </w:r>
      <w:r>
        <w:t>programme team is currently working with NHS providers in the relevant geographies to ensure that referral forms are integrated into EMIS WEB, System 1 and other relevant NHS IT systems</w:t>
      </w:r>
      <w:r w:rsidR="004020BE">
        <w:t xml:space="preserve"> where relevant and feasible</w:t>
      </w:r>
      <w:r>
        <w:t xml:space="preserve">. </w:t>
      </w:r>
    </w:p>
    <w:p w:rsidR="006E23B2" w:rsidRPr="0059658C" w:rsidRDefault="007E5E9A" w:rsidP="0059658C">
      <w:pPr>
        <w:pStyle w:val="ListParagraph"/>
        <w:numPr>
          <w:ilvl w:val="1"/>
          <w:numId w:val="60"/>
        </w:numPr>
        <w:spacing w:after="120" w:line="240" w:lineRule="auto"/>
        <w:jc w:val="both"/>
      </w:pPr>
      <w:r w:rsidRPr="00D20B55">
        <w:t xml:space="preserve">The envisioned </w:t>
      </w:r>
      <w:r w:rsidR="007B511C">
        <w:t>client journey/</w:t>
      </w:r>
      <w:r w:rsidRPr="00D20B55">
        <w:t xml:space="preserve">patient pathway is outlined in </w:t>
      </w:r>
      <w:r w:rsidR="00A6264D">
        <w:t>Appendix 7</w:t>
      </w:r>
      <w:r w:rsidRPr="00D20B55">
        <w:t xml:space="preserve">. This diagram outlines the process from the three main envisioned referral routes: primary care, </w:t>
      </w:r>
      <w:r w:rsidRPr="0059658C">
        <w:t>community care, and self-referral.</w:t>
      </w:r>
    </w:p>
    <w:p w:rsidR="00864B91" w:rsidRPr="0059658C" w:rsidRDefault="007B649A" w:rsidP="0059658C">
      <w:pPr>
        <w:pStyle w:val="ListParagraph"/>
        <w:numPr>
          <w:ilvl w:val="1"/>
          <w:numId w:val="60"/>
        </w:numPr>
        <w:spacing w:after="120" w:line="240" w:lineRule="auto"/>
        <w:jc w:val="both"/>
      </w:pPr>
      <w:r w:rsidRPr="0059658C">
        <w:t>The</w:t>
      </w:r>
      <w:r w:rsidR="00931D1B" w:rsidRPr="0059658C">
        <w:t xml:space="preserve"> provider</w:t>
      </w:r>
      <w:r w:rsidR="00125D74" w:rsidRPr="0059658C">
        <w:t>(s)</w:t>
      </w:r>
      <w:r w:rsidR="00931D1B" w:rsidRPr="0059658C">
        <w:t xml:space="preserve"> is expected to</w:t>
      </w:r>
      <w:r w:rsidRPr="0059658C">
        <w:t xml:space="preserve"> develop strong links and referral arrangements with community organisations</w:t>
      </w:r>
      <w:r w:rsidR="00C45B8A" w:rsidRPr="0059658C">
        <w:t>, allied health</w:t>
      </w:r>
      <w:r w:rsidR="0045381E" w:rsidRPr="0059658C">
        <w:t xml:space="preserve"> services, local</w:t>
      </w:r>
      <w:r w:rsidRPr="0059658C">
        <w:t xml:space="preserve"> partners such as GPs, </w:t>
      </w:r>
      <w:r w:rsidR="00864B91" w:rsidRPr="0059658C">
        <w:t xml:space="preserve">CCGs and Local Authorities, </w:t>
      </w:r>
      <w:r w:rsidR="008D59CF" w:rsidRPr="0059658C">
        <w:t>Jobcentre</w:t>
      </w:r>
      <w:r w:rsidR="002D3C55" w:rsidRPr="0059658C">
        <w:t xml:space="preserve"> Plus</w:t>
      </w:r>
      <w:r w:rsidR="0043301C" w:rsidRPr="0059658C">
        <w:t>, social care</w:t>
      </w:r>
      <w:r w:rsidR="00864B91" w:rsidRPr="0059658C">
        <w:t xml:space="preserve">, </w:t>
      </w:r>
      <w:r w:rsidR="004433FC" w:rsidRPr="0059658C">
        <w:t>c</w:t>
      </w:r>
      <w:r w:rsidR="00864B91" w:rsidRPr="0059658C">
        <w:t xml:space="preserve">ommunity health services, </w:t>
      </w:r>
      <w:r w:rsidR="004433FC" w:rsidRPr="0059658C">
        <w:t>h</w:t>
      </w:r>
      <w:r w:rsidR="00864B91" w:rsidRPr="0059658C">
        <w:t xml:space="preserve">ealth </w:t>
      </w:r>
      <w:r w:rsidR="004433FC" w:rsidRPr="0059658C">
        <w:t>n</w:t>
      </w:r>
      <w:r w:rsidR="00864B91" w:rsidRPr="0059658C">
        <w:t xml:space="preserve">avigator </w:t>
      </w:r>
      <w:r w:rsidR="00AC0492" w:rsidRPr="0059658C">
        <w:t>services, educational</w:t>
      </w:r>
      <w:r w:rsidRPr="0059658C">
        <w:t xml:space="preserve"> institutions, volunteering organisations, and housing services</w:t>
      </w:r>
      <w:r w:rsidR="004433FC" w:rsidRPr="0059658C">
        <w:t xml:space="preserve"> among others. </w:t>
      </w:r>
    </w:p>
    <w:p w:rsidR="006E23B2" w:rsidRDefault="004433FC" w:rsidP="0059658C">
      <w:pPr>
        <w:pStyle w:val="ListParagraph"/>
        <w:numPr>
          <w:ilvl w:val="1"/>
          <w:numId w:val="60"/>
        </w:numPr>
        <w:spacing w:after="120" w:line="240" w:lineRule="auto"/>
        <w:jc w:val="both"/>
      </w:pPr>
      <w:r>
        <w:t>While there are no fixed targets for the balance of referrals between sources, close integration and co-location with primary and community services should ensure that a significant number of referrals come from these routes</w:t>
      </w:r>
      <w:r w:rsidR="007E5E9A" w:rsidRPr="00D20B55">
        <w:t>.</w:t>
      </w:r>
    </w:p>
    <w:p w:rsidR="00944D5E" w:rsidRDefault="000D41B9" w:rsidP="0059658C">
      <w:pPr>
        <w:pStyle w:val="ListParagraph"/>
        <w:numPr>
          <w:ilvl w:val="1"/>
          <w:numId w:val="60"/>
        </w:numPr>
        <w:spacing w:after="120" w:line="240" w:lineRule="auto"/>
        <w:jc w:val="both"/>
      </w:pPr>
      <w:r>
        <w:t xml:space="preserve">In all cases referrals are voluntary. There is no requirement for individuals to participate and </w:t>
      </w:r>
      <w:r w:rsidR="00944D5E">
        <w:t xml:space="preserve">the decision to participate or to continue engaging in the service has </w:t>
      </w:r>
      <w:r>
        <w:t xml:space="preserve">no impact </w:t>
      </w:r>
      <w:r w:rsidR="00944D5E">
        <w:t xml:space="preserve">whatsoever </w:t>
      </w:r>
      <w:r>
        <w:t>on benefits claims.</w:t>
      </w:r>
    </w:p>
    <w:p w:rsidR="007E5E9A" w:rsidRDefault="009037ED" w:rsidP="0059658C">
      <w:pPr>
        <w:pStyle w:val="ListParagraph"/>
        <w:numPr>
          <w:ilvl w:val="1"/>
          <w:numId w:val="60"/>
        </w:numPr>
        <w:spacing w:after="120" w:line="240" w:lineRule="auto"/>
        <w:jc w:val="both"/>
      </w:pPr>
      <w:r>
        <w:t>The principle of ‘</w:t>
      </w:r>
      <w:r w:rsidR="00944D5E">
        <w:t>zero exclusion</w:t>
      </w:r>
      <w:r>
        <w:t>’</w:t>
      </w:r>
      <w:r w:rsidR="00944D5E">
        <w:t xml:space="preserve"> will apply, subject to the eligibility criteria listed in Section </w:t>
      </w:r>
      <w:r>
        <w:t>9</w:t>
      </w:r>
      <w:r w:rsidR="00944D5E">
        <w:t xml:space="preserve"> below. </w:t>
      </w:r>
    </w:p>
    <w:p w:rsidR="00944D5E" w:rsidRDefault="00944D5E" w:rsidP="0059658C">
      <w:pPr>
        <w:pStyle w:val="Heading1"/>
        <w:numPr>
          <w:ilvl w:val="0"/>
          <w:numId w:val="60"/>
        </w:numPr>
        <w:spacing w:before="0" w:after="120" w:line="240" w:lineRule="auto"/>
      </w:pPr>
      <w:bookmarkStart w:id="29" w:name="_Toc491351922"/>
      <w:r>
        <w:t xml:space="preserve">Service model – Initial meeting: </w:t>
      </w:r>
      <w:r w:rsidR="004E5FB8">
        <w:t>Overview</w:t>
      </w:r>
      <w:bookmarkEnd w:id="29"/>
    </w:p>
    <w:p w:rsidR="006972E1" w:rsidRDefault="006972E1" w:rsidP="0059658C">
      <w:pPr>
        <w:pStyle w:val="ListParagraph"/>
        <w:numPr>
          <w:ilvl w:val="1"/>
          <w:numId w:val="60"/>
        </w:numPr>
        <w:spacing w:after="120" w:line="240" w:lineRule="auto"/>
        <w:jc w:val="both"/>
      </w:pPr>
      <w:r>
        <w:t xml:space="preserve">In this first meeting, the </w:t>
      </w:r>
      <w:r w:rsidR="009037ED">
        <w:t>IPS Employment Specialist</w:t>
      </w:r>
      <w:r>
        <w:t xml:space="preserve"> will be expected to check the client’s eligibility, obtain informed consent, gather baseline data, and then </w:t>
      </w:r>
      <w:r w:rsidRPr="00D20B55">
        <w:t xml:space="preserve">apply the randomisation tool to determine whether the </w:t>
      </w:r>
      <w:r>
        <w:t xml:space="preserve">client receives </w:t>
      </w:r>
      <w:r w:rsidRPr="00D20B55">
        <w:t xml:space="preserve">IPS or is sign-posted to </w:t>
      </w:r>
      <w:r>
        <w:t>other existing provision</w:t>
      </w:r>
      <w:r w:rsidRPr="00D20B55">
        <w:t>.</w:t>
      </w:r>
    </w:p>
    <w:p w:rsidR="004E5FB8" w:rsidRDefault="004E5FB8" w:rsidP="0059658C">
      <w:pPr>
        <w:pStyle w:val="ListParagraph"/>
        <w:numPr>
          <w:ilvl w:val="1"/>
          <w:numId w:val="60"/>
        </w:numPr>
        <w:spacing w:after="120" w:line="240" w:lineRule="auto"/>
        <w:jc w:val="both"/>
      </w:pPr>
      <w:r>
        <w:t>S</w:t>
      </w:r>
      <w:r w:rsidRPr="00D20B55">
        <w:t>ervice provision will need to conform strictly</w:t>
      </w:r>
      <w:r w:rsidR="006972E1">
        <w:t xml:space="preserve"> to the modified IPS p</w:t>
      </w:r>
      <w:r w:rsidR="00E65C0A">
        <w:t xml:space="preserve">rinciples outlined in </w:t>
      </w:r>
      <w:r w:rsidR="00166355">
        <w:t xml:space="preserve">the service description in </w:t>
      </w:r>
      <w:r w:rsidR="00097F3F">
        <w:t>Appendix</w:t>
      </w:r>
      <w:r w:rsidR="00166355">
        <w:t xml:space="preserve"> 6</w:t>
      </w:r>
      <w:r w:rsidR="006972E1">
        <w:t xml:space="preserve"> and SCR will performance manage implementation fidelity to those modified IPS principles alongside provider performance on outcomes.</w:t>
      </w:r>
      <w:r w:rsidRPr="00D20B55">
        <w:t xml:space="preserve"> </w:t>
      </w:r>
    </w:p>
    <w:p w:rsidR="004E5FB8" w:rsidRPr="00D20B55" w:rsidRDefault="004E5FB8" w:rsidP="0059658C">
      <w:pPr>
        <w:pStyle w:val="ListParagraph"/>
        <w:numPr>
          <w:ilvl w:val="1"/>
          <w:numId w:val="60"/>
        </w:numPr>
        <w:spacing w:after="120" w:line="240" w:lineRule="auto"/>
        <w:jc w:val="both"/>
      </w:pPr>
      <w:r>
        <w:t xml:space="preserve">This meeting must be conducted </w:t>
      </w:r>
      <w:r w:rsidR="00597DD2">
        <w:t xml:space="preserve">face-to-face </w:t>
      </w:r>
      <w:r>
        <w:t xml:space="preserve">by the </w:t>
      </w:r>
      <w:r w:rsidR="008D59CF">
        <w:t>IPS Employment Specialist</w:t>
      </w:r>
      <w:r>
        <w:t xml:space="preserve"> who will deliver IPS to the client if they are randomised into the treatment group. </w:t>
      </w:r>
    </w:p>
    <w:p w:rsidR="00944D5E" w:rsidRPr="00D20B55" w:rsidRDefault="00497368" w:rsidP="0059658C">
      <w:pPr>
        <w:pStyle w:val="ListParagraph"/>
        <w:numPr>
          <w:ilvl w:val="1"/>
          <w:numId w:val="60"/>
        </w:numPr>
        <w:spacing w:after="120" w:line="240" w:lineRule="auto"/>
        <w:jc w:val="both"/>
      </w:pPr>
      <w:r>
        <w:lastRenderedPageBreak/>
        <w:t>Caseload assumptions</w:t>
      </w:r>
      <w:r w:rsidR="00944D5E" w:rsidRPr="00D20B55">
        <w:t xml:space="preserve"> have been adapted to reflect the additional workload for </w:t>
      </w:r>
      <w:r w:rsidR="008D59CF">
        <w:t>IPS Employment Specialist</w:t>
      </w:r>
      <w:r w:rsidR="00944D5E" w:rsidRPr="00D20B55">
        <w:t>s.</w:t>
      </w:r>
    </w:p>
    <w:p w:rsidR="00944D5E" w:rsidRPr="00D20B55" w:rsidRDefault="00944D5E" w:rsidP="0059658C">
      <w:pPr>
        <w:pStyle w:val="ListParagraph"/>
        <w:numPr>
          <w:ilvl w:val="1"/>
          <w:numId w:val="60"/>
        </w:numPr>
        <w:spacing w:after="120" w:line="240" w:lineRule="auto"/>
        <w:jc w:val="both"/>
      </w:pPr>
      <w:r w:rsidRPr="00D20B55">
        <w:t xml:space="preserve">The </w:t>
      </w:r>
      <w:r w:rsidR="00362D1C">
        <w:t xml:space="preserve">SCR </w:t>
      </w:r>
      <w:r w:rsidRPr="00D20B55">
        <w:t xml:space="preserve">central programme team will work with </w:t>
      </w:r>
      <w:r w:rsidR="00226C2E">
        <w:t xml:space="preserve">the successful </w:t>
      </w:r>
      <w:r w:rsidRPr="00D20B55">
        <w:t xml:space="preserve">providers and the evaluator to design a </w:t>
      </w:r>
      <w:r w:rsidR="00362D1C">
        <w:t xml:space="preserve">proposed </w:t>
      </w:r>
      <w:r w:rsidRPr="00D20B55">
        <w:t xml:space="preserve">script for </w:t>
      </w:r>
      <w:r w:rsidR="008D59CF">
        <w:t>IPS Employment Specialist</w:t>
      </w:r>
      <w:r w:rsidRPr="00D20B55">
        <w:t>s to follow during the initial consultation.</w:t>
      </w:r>
    </w:p>
    <w:p w:rsidR="00944D5E" w:rsidRPr="00E65C0A" w:rsidRDefault="00944D5E" w:rsidP="0059658C">
      <w:pPr>
        <w:pStyle w:val="ListParagraph"/>
        <w:numPr>
          <w:ilvl w:val="1"/>
          <w:numId w:val="60"/>
        </w:numPr>
        <w:spacing w:after="120" w:line="240" w:lineRule="auto"/>
        <w:jc w:val="both"/>
      </w:pPr>
      <w:r w:rsidRPr="00E65C0A">
        <w:t xml:space="preserve">If a service user withdraws consent at any point during the process, or during subsequent service delivery, the provider(s) must put in place a procedure for </w:t>
      </w:r>
      <w:r w:rsidR="004E5FB8" w:rsidRPr="00E65C0A">
        <w:t>logging</w:t>
      </w:r>
      <w:r w:rsidRPr="00E65C0A">
        <w:t xml:space="preserve"> thi</w:t>
      </w:r>
      <w:r w:rsidR="004E5FB8" w:rsidRPr="00E65C0A">
        <w:t xml:space="preserve">s and any reasons given for withdrawal. The provider(s) must be able to communicate this information </w:t>
      </w:r>
      <w:r w:rsidRPr="00E65C0A">
        <w:t>to the evaluators</w:t>
      </w:r>
      <w:r w:rsidR="004E5FB8" w:rsidRPr="00E65C0A">
        <w:t xml:space="preserve"> at regular intervals</w:t>
      </w:r>
      <w:r w:rsidRPr="00E65C0A">
        <w:t>. The provider(s) will be given a dedicated contact from the evaluators.</w:t>
      </w:r>
      <w:r w:rsidR="009A108C" w:rsidRPr="00E65C0A">
        <w:t xml:space="preserve">  The SCR will provide specific guidance </w:t>
      </w:r>
      <w:r w:rsidR="001E4486" w:rsidRPr="00E65C0A">
        <w:t xml:space="preserve">on </w:t>
      </w:r>
      <w:r w:rsidR="009A108C" w:rsidRPr="00E65C0A">
        <w:t>consent to the successful provider</w:t>
      </w:r>
      <w:r w:rsidR="00125D74">
        <w:t>(s)</w:t>
      </w:r>
      <w:r w:rsidR="009A108C" w:rsidRPr="00E65C0A">
        <w:t>.</w:t>
      </w:r>
    </w:p>
    <w:p w:rsidR="008D4B9F" w:rsidRPr="00D20B55" w:rsidRDefault="00944D5E" w:rsidP="0059658C">
      <w:pPr>
        <w:pStyle w:val="ListParagraph"/>
        <w:numPr>
          <w:ilvl w:val="1"/>
          <w:numId w:val="60"/>
        </w:numPr>
        <w:spacing w:after="120" w:line="240" w:lineRule="auto"/>
        <w:jc w:val="both"/>
      </w:pPr>
      <w:r w:rsidRPr="00E65C0A">
        <w:t xml:space="preserve">The evaluators commissioned by </w:t>
      </w:r>
      <w:r w:rsidR="00AF5FE4" w:rsidRPr="00E65C0A">
        <w:t xml:space="preserve">DWP on behalf of the Work and </w:t>
      </w:r>
      <w:r w:rsidRPr="00E65C0A">
        <w:t xml:space="preserve">Health Unit </w:t>
      </w:r>
      <w:r w:rsidR="00AF5FE4" w:rsidRPr="00E65C0A">
        <w:t>and NHS</w:t>
      </w:r>
      <w:r w:rsidR="00AF5FE4">
        <w:t xml:space="preserve"> England </w:t>
      </w:r>
      <w:r w:rsidRPr="00D20B55">
        <w:t xml:space="preserve">will provide a briefing to the provider(s) on how to conduct the consent process and randomisation. </w:t>
      </w:r>
      <w:r w:rsidR="00AF5FE4">
        <w:t xml:space="preserve">Provider(s) </w:t>
      </w:r>
      <w:r w:rsidR="006757F0">
        <w:t xml:space="preserve">will need to collaborate with the programme team to determine the best way to </w:t>
      </w:r>
      <w:r w:rsidR="00AF5FE4">
        <w:t xml:space="preserve">integrate this briefing </w:t>
      </w:r>
      <w:r w:rsidRPr="00D20B55">
        <w:t xml:space="preserve">into the training of </w:t>
      </w:r>
      <w:r w:rsidR="009037ED">
        <w:t>IPS Employment Specialist</w:t>
      </w:r>
      <w:r w:rsidRPr="00D20B55">
        <w:t>s.</w:t>
      </w:r>
    </w:p>
    <w:p w:rsidR="004B4AEA" w:rsidRDefault="00301D9C" w:rsidP="0059658C">
      <w:pPr>
        <w:pStyle w:val="ListParagraph"/>
        <w:numPr>
          <w:ilvl w:val="1"/>
          <w:numId w:val="60"/>
        </w:numPr>
        <w:spacing w:after="120" w:line="240" w:lineRule="auto"/>
        <w:jc w:val="both"/>
      </w:pPr>
      <w:r>
        <w:t>P</w:t>
      </w:r>
      <w:r w:rsidR="0052503C">
        <w:t>rovider(s) will be expected to make provision for clients that do not have English as a first language</w:t>
      </w:r>
      <w:r w:rsidR="009A108C">
        <w:t xml:space="preserve"> or other communication difficulty</w:t>
      </w:r>
      <w:r w:rsidR="0052503C">
        <w:t xml:space="preserve">. Provider(s) will be expected to budget for translation services or other provision as appropriate to ensure they are able to reach the broadest range of potential service users. </w:t>
      </w:r>
    </w:p>
    <w:p w:rsidR="006972E1" w:rsidRPr="00944D5E" w:rsidRDefault="00301D9C" w:rsidP="0059658C">
      <w:pPr>
        <w:pStyle w:val="ListParagraph"/>
        <w:numPr>
          <w:ilvl w:val="1"/>
          <w:numId w:val="60"/>
        </w:numPr>
        <w:spacing w:after="120" w:line="240" w:lineRule="auto"/>
        <w:jc w:val="both"/>
      </w:pPr>
      <w:r>
        <w:t>Each separate section below provides further details about the key elements within this initial meeting.</w:t>
      </w:r>
    </w:p>
    <w:p w:rsidR="00F073ED" w:rsidRPr="00F14501" w:rsidRDefault="004433FC" w:rsidP="0059658C">
      <w:pPr>
        <w:pStyle w:val="Heading1"/>
        <w:numPr>
          <w:ilvl w:val="0"/>
          <w:numId w:val="60"/>
        </w:numPr>
        <w:spacing w:before="0" w:after="120" w:line="240" w:lineRule="auto"/>
      </w:pPr>
      <w:bookmarkStart w:id="30" w:name="_Toc491351923"/>
      <w:r w:rsidRPr="00F14501">
        <w:t>Service model - Initial meeting (1): Eligibility check</w:t>
      </w:r>
      <w:bookmarkEnd w:id="30"/>
    </w:p>
    <w:p w:rsidR="004433FC" w:rsidRPr="00D54BE2" w:rsidRDefault="009717B6" w:rsidP="0059658C">
      <w:pPr>
        <w:pStyle w:val="ListParagraph"/>
        <w:numPr>
          <w:ilvl w:val="1"/>
          <w:numId w:val="60"/>
        </w:numPr>
        <w:spacing w:after="120" w:line="240" w:lineRule="auto"/>
        <w:rPr>
          <w:rStyle w:val="SubtleEmphasis"/>
        </w:rPr>
      </w:pPr>
      <w:r>
        <w:t xml:space="preserve">The first step in this process will be for the </w:t>
      </w:r>
      <w:r w:rsidR="009037ED">
        <w:t>IPS Employment Specialist</w:t>
      </w:r>
      <w:r>
        <w:t xml:space="preserve"> to check the client’s eligibility for the trial. </w:t>
      </w:r>
      <w:r w:rsidR="006972E1">
        <w:t>Guidance documents will be provided and</w:t>
      </w:r>
      <w:r w:rsidR="004433FC" w:rsidRPr="00D20B55">
        <w:t xml:space="preserve"> will include a set of inclusion and exclusion criteria for trial participants</w:t>
      </w:r>
      <w:r w:rsidR="00EC12A0">
        <w:t xml:space="preserve"> (see </w:t>
      </w:r>
      <w:r w:rsidR="004433FC" w:rsidRPr="00F6036C">
        <w:t xml:space="preserve">Figure </w:t>
      </w:r>
      <w:r w:rsidR="006972E1">
        <w:t>3</w:t>
      </w:r>
      <w:r w:rsidR="006D7336" w:rsidRPr="00F6036C">
        <w:t xml:space="preserve"> </w:t>
      </w:r>
      <w:r w:rsidR="004433FC" w:rsidRPr="00F6036C">
        <w:t>below</w:t>
      </w:r>
      <w:r w:rsidR="00EC12A0">
        <w:t>)</w:t>
      </w:r>
      <w:r w:rsidR="004433FC" w:rsidRPr="00D20B55">
        <w:t xml:space="preserve">. </w:t>
      </w:r>
      <w:r w:rsidR="00EC12A0">
        <w:t>All participants must meet</w:t>
      </w:r>
      <w:r>
        <w:t xml:space="preserve"> </w:t>
      </w:r>
      <w:r w:rsidR="004433FC" w:rsidRPr="00D20B55">
        <w:t>the</w:t>
      </w:r>
      <w:r w:rsidR="00EC12A0">
        <w:t xml:space="preserve">se </w:t>
      </w:r>
      <w:r w:rsidR="004433FC" w:rsidRPr="00D20B55">
        <w:t xml:space="preserve">criteria. </w:t>
      </w:r>
      <w:r w:rsidR="005D4B70">
        <w:br/>
      </w:r>
      <w:r w:rsidR="005D4B70">
        <w:br/>
      </w:r>
      <w:r w:rsidR="004433FC" w:rsidRPr="001A3543">
        <w:rPr>
          <w:rStyle w:val="SubtleEmphasis"/>
        </w:rPr>
        <w:t xml:space="preserve">Figure </w:t>
      </w:r>
      <w:r w:rsidR="006972E1">
        <w:rPr>
          <w:rStyle w:val="SubtleEmphasis"/>
        </w:rPr>
        <w:t>3</w:t>
      </w:r>
      <w:r w:rsidR="004433FC" w:rsidRPr="00321F1E">
        <w:rPr>
          <w:rStyle w:val="SubtleEmphasis"/>
        </w:rPr>
        <w:t>: Inclusion</w:t>
      </w:r>
      <w:r w:rsidR="004433FC" w:rsidRPr="00D54BE2">
        <w:rPr>
          <w:rStyle w:val="SubtleEmphasis"/>
        </w:rPr>
        <w:t xml:space="preserve"> and Exclusion Criteria</w:t>
      </w:r>
    </w:p>
    <w:tbl>
      <w:tblPr>
        <w:tblW w:w="4637" w:type="pct"/>
        <w:tblInd w:w="699" w:type="dxa"/>
        <w:tblCellMar>
          <w:left w:w="0" w:type="dxa"/>
          <w:right w:w="0" w:type="dxa"/>
        </w:tblCellMar>
        <w:tblLook w:val="0420" w:firstRow="1" w:lastRow="0" w:firstColumn="0" w:lastColumn="0" w:noHBand="0" w:noVBand="1"/>
      </w:tblPr>
      <w:tblGrid>
        <w:gridCol w:w="4470"/>
        <w:gridCol w:w="4604"/>
      </w:tblGrid>
      <w:tr w:rsidR="004433FC" w:rsidRPr="00D20B55" w:rsidTr="00E5073E">
        <w:trPr>
          <w:trHeight w:val="584"/>
          <w:tblHeader/>
        </w:trPr>
        <w:tc>
          <w:tcPr>
            <w:tcW w:w="2463" w:type="pct"/>
            <w:tcBorders>
              <w:top w:val="single" w:sz="8" w:space="0" w:color="FFFFFF"/>
              <w:left w:val="single" w:sz="8" w:space="0" w:color="FFFFFF"/>
              <w:bottom w:val="single" w:sz="24" w:space="0" w:color="FFFFFF"/>
              <w:right w:val="single" w:sz="8" w:space="0" w:color="FFFFFF"/>
            </w:tcBorders>
            <w:shd w:val="clear" w:color="auto" w:fill="CCCCCC"/>
            <w:tcMar>
              <w:top w:w="72" w:type="dxa"/>
              <w:left w:w="144" w:type="dxa"/>
              <w:bottom w:w="72" w:type="dxa"/>
              <w:right w:w="144" w:type="dxa"/>
            </w:tcMar>
            <w:hideMark/>
          </w:tcPr>
          <w:p w:rsidR="004433FC" w:rsidRPr="00E5073E" w:rsidRDefault="004433FC" w:rsidP="0059658C">
            <w:pPr>
              <w:spacing w:after="120" w:line="240" w:lineRule="auto"/>
              <w:rPr>
                <w:rFonts w:cs="Arial"/>
                <w:sz w:val="20"/>
              </w:rPr>
            </w:pPr>
            <w:r w:rsidRPr="00E5073E">
              <w:rPr>
                <w:rFonts w:cs="Arial"/>
                <w:b/>
                <w:bCs/>
                <w:sz w:val="20"/>
              </w:rPr>
              <w:t>Inclusion Criteria</w:t>
            </w:r>
          </w:p>
        </w:tc>
        <w:tc>
          <w:tcPr>
            <w:tcW w:w="2537" w:type="pct"/>
            <w:tcBorders>
              <w:top w:val="single" w:sz="8" w:space="0" w:color="FFFFFF"/>
              <w:left w:val="single" w:sz="8" w:space="0" w:color="FFFFFF"/>
              <w:bottom w:val="single" w:sz="24" w:space="0" w:color="FFFFFF"/>
              <w:right w:val="single" w:sz="8" w:space="0" w:color="FFFFFF"/>
            </w:tcBorders>
            <w:shd w:val="clear" w:color="auto" w:fill="CCCCCC"/>
            <w:tcMar>
              <w:top w:w="72" w:type="dxa"/>
              <w:left w:w="144" w:type="dxa"/>
              <w:bottom w:w="72" w:type="dxa"/>
              <w:right w:w="144" w:type="dxa"/>
            </w:tcMar>
            <w:hideMark/>
          </w:tcPr>
          <w:p w:rsidR="004433FC" w:rsidRPr="00E5073E" w:rsidRDefault="004433FC" w:rsidP="0059658C">
            <w:pPr>
              <w:spacing w:after="120" w:line="240" w:lineRule="auto"/>
              <w:rPr>
                <w:rFonts w:cs="Arial"/>
                <w:sz w:val="20"/>
              </w:rPr>
            </w:pPr>
            <w:r w:rsidRPr="00E5073E">
              <w:rPr>
                <w:rFonts w:cs="Arial"/>
                <w:b/>
                <w:bCs/>
                <w:sz w:val="20"/>
              </w:rPr>
              <w:t>Exclusion Criteria</w:t>
            </w:r>
          </w:p>
        </w:tc>
      </w:tr>
      <w:tr w:rsidR="0060028E" w:rsidRPr="00D20B55" w:rsidTr="00E5073E">
        <w:trPr>
          <w:trHeight w:val="584"/>
          <w:tblHeader/>
        </w:trPr>
        <w:tc>
          <w:tcPr>
            <w:tcW w:w="2463" w:type="pct"/>
            <w:tcBorders>
              <w:top w:val="single" w:sz="8" w:space="0" w:color="FFFFFF"/>
              <w:left w:val="single" w:sz="8" w:space="0" w:color="FFFFFF"/>
              <w:bottom w:val="single" w:sz="24" w:space="0" w:color="FFFFFF"/>
              <w:right w:val="single" w:sz="8" w:space="0" w:color="FFFFFF"/>
            </w:tcBorders>
            <w:shd w:val="clear" w:color="auto" w:fill="F2F2F2" w:themeFill="background1" w:themeFillShade="F2"/>
            <w:tcMar>
              <w:top w:w="72" w:type="dxa"/>
              <w:left w:w="144" w:type="dxa"/>
              <w:bottom w:w="72" w:type="dxa"/>
              <w:right w:w="144" w:type="dxa"/>
            </w:tcMar>
          </w:tcPr>
          <w:p w:rsidR="0060028E" w:rsidRPr="00E5073E" w:rsidRDefault="0060028E" w:rsidP="0059658C">
            <w:pPr>
              <w:spacing w:after="120" w:line="240" w:lineRule="auto"/>
              <w:rPr>
                <w:rFonts w:cs="Arial"/>
                <w:bCs/>
                <w:sz w:val="20"/>
              </w:rPr>
            </w:pPr>
            <w:r w:rsidRPr="00E5073E">
              <w:rPr>
                <w:rFonts w:cs="Arial"/>
                <w:bCs/>
                <w:sz w:val="20"/>
              </w:rPr>
              <w:t xml:space="preserve">Individuals giving informed consent to participate in the trial </w:t>
            </w:r>
            <w:r w:rsidR="0046401A">
              <w:rPr>
                <w:rFonts w:cs="Arial"/>
                <w:bCs/>
                <w:sz w:val="20"/>
              </w:rPr>
              <w:t>and share data for the evaluation</w:t>
            </w:r>
          </w:p>
        </w:tc>
        <w:tc>
          <w:tcPr>
            <w:tcW w:w="2537" w:type="pct"/>
            <w:tcBorders>
              <w:top w:val="single" w:sz="8" w:space="0" w:color="FFFFFF"/>
              <w:left w:val="single" w:sz="8" w:space="0" w:color="FFFFFF"/>
              <w:bottom w:val="single" w:sz="24" w:space="0" w:color="FFFFFF"/>
              <w:right w:val="single" w:sz="8" w:space="0" w:color="FFFFFF"/>
            </w:tcBorders>
            <w:shd w:val="clear" w:color="auto" w:fill="F2F2F2" w:themeFill="background1" w:themeFillShade="F2"/>
            <w:tcMar>
              <w:top w:w="72" w:type="dxa"/>
              <w:left w:w="144" w:type="dxa"/>
              <w:bottom w:w="72" w:type="dxa"/>
              <w:right w:w="144" w:type="dxa"/>
            </w:tcMar>
          </w:tcPr>
          <w:p w:rsidR="0060028E" w:rsidRPr="00E5073E" w:rsidRDefault="0060028E" w:rsidP="0059658C">
            <w:pPr>
              <w:spacing w:after="120" w:line="240" w:lineRule="auto"/>
              <w:rPr>
                <w:rFonts w:cs="Arial"/>
                <w:bCs/>
                <w:sz w:val="20"/>
              </w:rPr>
            </w:pPr>
            <w:r w:rsidRPr="00E5073E">
              <w:rPr>
                <w:rFonts w:cs="Arial"/>
                <w:bCs/>
                <w:sz w:val="20"/>
              </w:rPr>
              <w:t>Not giving informed consent to participate into the trial</w:t>
            </w:r>
          </w:p>
        </w:tc>
      </w:tr>
      <w:tr w:rsidR="00E5073E" w:rsidRPr="00D20B55" w:rsidTr="00E5073E">
        <w:trPr>
          <w:trHeight w:val="584"/>
          <w:tblHeader/>
        </w:trPr>
        <w:tc>
          <w:tcPr>
            <w:tcW w:w="2463" w:type="pct"/>
            <w:tcBorders>
              <w:top w:val="single" w:sz="8" w:space="0" w:color="FFFFFF"/>
              <w:left w:val="single" w:sz="8" w:space="0" w:color="FFFFFF"/>
              <w:bottom w:val="single" w:sz="24" w:space="0" w:color="FFFFFF"/>
              <w:right w:val="single" w:sz="8" w:space="0" w:color="FFFFFF"/>
            </w:tcBorders>
            <w:shd w:val="clear" w:color="auto" w:fill="F2F2F2" w:themeFill="background1" w:themeFillShade="F2"/>
            <w:tcMar>
              <w:top w:w="72" w:type="dxa"/>
              <w:left w:w="144" w:type="dxa"/>
              <w:bottom w:w="72" w:type="dxa"/>
              <w:right w:w="144" w:type="dxa"/>
            </w:tcMar>
          </w:tcPr>
          <w:p w:rsidR="00E5073E" w:rsidRPr="00E5073E" w:rsidRDefault="00E5073E" w:rsidP="0059658C">
            <w:pPr>
              <w:spacing w:after="120" w:line="240" w:lineRule="auto"/>
              <w:rPr>
                <w:rFonts w:cs="Arial"/>
                <w:bCs/>
                <w:sz w:val="20"/>
              </w:rPr>
            </w:pPr>
            <w:r w:rsidRPr="00E5073E">
              <w:rPr>
                <w:rFonts w:cs="Arial"/>
                <w:sz w:val="20"/>
              </w:rPr>
              <w:t>18 years or older</w:t>
            </w:r>
          </w:p>
        </w:tc>
        <w:tc>
          <w:tcPr>
            <w:tcW w:w="2537" w:type="pct"/>
            <w:tcBorders>
              <w:top w:val="single" w:sz="8" w:space="0" w:color="FFFFFF"/>
              <w:left w:val="single" w:sz="8" w:space="0" w:color="FFFFFF"/>
              <w:bottom w:val="single" w:sz="24" w:space="0" w:color="FFFFFF"/>
              <w:right w:val="single" w:sz="8" w:space="0" w:color="FFFFFF"/>
            </w:tcBorders>
            <w:shd w:val="clear" w:color="auto" w:fill="F2F2F2" w:themeFill="background1" w:themeFillShade="F2"/>
            <w:tcMar>
              <w:top w:w="72" w:type="dxa"/>
              <w:left w:w="144" w:type="dxa"/>
              <w:bottom w:w="72" w:type="dxa"/>
              <w:right w:w="144" w:type="dxa"/>
            </w:tcMar>
          </w:tcPr>
          <w:p w:rsidR="00E5073E" w:rsidRPr="00E5073E" w:rsidRDefault="00E5073E" w:rsidP="0059658C">
            <w:pPr>
              <w:spacing w:after="120" w:line="240" w:lineRule="auto"/>
              <w:rPr>
                <w:rFonts w:cs="Arial"/>
                <w:bCs/>
                <w:sz w:val="20"/>
              </w:rPr>
            </w:pPr>
            <w:r w:rsidRPr="00E5073E">
              <w:rPr>
                <w:rFonts w:cs="Arial"/>
                <w:sz w:val="20"/>
              </w:rPr>
              <w:t xml:space="preserve">Less than 18 </w:t>
            </w:r>
            <w:r w:rsidR="005D4B70" w:rsidRPr="00E5073E">
              <w:rPr>
                <w:rFonts w:cs="Arial"/>
                <w:sz w:val="20"/>
              </w:rPr>
              <w:t>years’</w:t>
            </w:r>
            <w:r w:rsidRPr="00E5073E">
              <w:rPr>
                <w:rFonts w:cs="Arial"/>
                <w:sz w:val="20"/>
              </w:rPr>
              <w:t xml:space="preserve"> old</w:t>
            </w:r>
          </w:p>
        </w:tc>
      </w:tr>
      <w:tr w:rsidR="00E5073E" w:rsidRPr="00D20B55" w:rsidTr="00E5073E">
        <w:trPr>
          <w:trHeight w:val="584"/>
        </w:trPr>
        <w:tc>
          <w:tcPr>
            <w:tcW w:w="2463" w:type="pct"/>
            <w:tcBorders>
              <w:top w:val="single" w:sz="24"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hideMark/>
          </w:tcPr>
          <w:p w:rsidR="00E5073E" w:rsidRPr="00E5073E" w:rsidRDefault="00E5073E" w:rsidP="0059658C">
            <w:pPr>
              <w:spacing w:after="120" w:line="240" w:lineRule="auto"/>
              <w:rPr>
                <w:rFonts w:cs="Arial"/>
                <w:sz w:val="20"/>
              </w:rPr>
            </w:pPr>
            <w:r w:rsidRPr="00E5073E">
              <w:rPr>
                <w:rFonts w:cs="Arial"/>
                <w:sz w:val="20"/>
              </w:rPr>
              <w:t xml:space="preserve">Registered with a GP practice in one of the following </w:t>
            </w:r>
            <w:r w:rsidR="0046401A">
              <w:rPr>
                <w:rFonts w:cs="Arial"/>
                <w:sz w:val="20"/>
              </w:rPr>
              <w:t>areas</w:t>
            </w:r>
            <w:r w:rsidRPr="00E5073E">
              <w:rPr>
                <w:rFonts w:cs="Arial"/>
                <w:sz w:val="20"/>
              </w:rPr>
              <w:t>:</w:t>
            </w:r>
          </w:p>
          <w:p w:rsidR="00E5073E" w:rsidRPr="00E5073E" w:rsidRDefault="00E5073E" w:rsidP="0059658C">
            <w:pPr>
              <w:numPr>
                <w:ilvl w:val="0"/>
                <w:numId w:val="7"/>
              </w:numPr>
              <w:spacing w:after="120" w:line="240" w:lineRule="auto"/>
              <w:rPr>
                <w:rFonts w:cs="Arial"/>
                <w:sz w:val="20"/>
              </w:rPr>
            </w:pPr>
            <w:r w:rsidRPr="00E5073E">
              <w:rPr>
                <w:rFonts w:cs="Arial"/>
                <w:sz w:val="20"/>
              </w:rPr>
              <w:t>Barnsley</w:t>
            </w:r>
          </w:p>
          <w:p w:rsidR="00E5073E" w:rsidRPr="00E5073E" w:rsidRDefault="00E5073E" w:rsidP="0059658C">
            <w:pPr>
              <w:numPr>
                <w:ilvl w:val="0"/>
                <w:numId w:val="7"/>
              </w:numPr>
              <w:spacing w:after="120" w:line="240" w:lineRule="auto"/>
              <w:rPr>
                <w:rFonts w:cs="Arial"/>
                <w:sz w:val="20"/>
              </w:rPr>
            </w:pPr>
            <w:r w:rsidRPr="00E5073E">
              <w:rPr>
                <w:rFonts w:cs="Arial"/>
                <w:sz w:val="20"/>
              </w:rPr>
              <w:t>Bassetlaw</w:t>
            </w:r>
          </w:p>
          <w:p w:rsidR="00E5073E" w:rsidRPr="00E5073E" w:rsidRDefault="00E5073E" w:rsidP="0059658C">
            <w:pPr>
              <w:numPr>
                <w:ilvl w:val="0"/>
                <w:numId w:val="7"/>
              </w:numPr>
              <w:spacing w:after="120" w:line="240" w:lineRule="auto"/>
              <w:rPr>
                <w:rFonts w:cs="Arial"/>
                <w:sz w:val="20"/>
              </w:rPr>
            </w:pPr>
            <w:r w:rsidRPr="00E5073E">
              <w:rPr>
                <w:rFonts w:cs="Arial"/>
                <w:sz w:val="20"/>
              </w:rPr>
              <w:t>Doncaster</w:t>
            </w:r>
          </w:p>
          <w:p w:rsidR="00E5073E" w:rsidRPr="00E5073E" w:rsidRDefault="00E5073E" w:rsidP="0059658C">
            <w:pPr>
              <w:numPr>
                <w:ilvl w:val="0"/>
                <w:numId w:val="7"/>
              </w:numPr>
              <w:spacing w:after="120" w:line="240" w:lineRule="auto"/>
              <w:rPr>
                <w:rFonts w:cs="Arial"/>
                <w:sz w:val="20"/>
              </w:rPr>
            </w:pPr>
            <w:r w:rsidRPr="00E5073E">
              <w:rPr>
                <w:rFonts w:cs="Arial"/>
                <w:sz w:val="20"/>
              </w:rPr>
              <w:t>Rotherham</w:t>
            </w:r>
          </w:p>
          <w:p w:rsidR="00E5073E" w:rsidRPr="00E5073E" w:rsidRDefault="00E5073E" w:rsidP="0059658C">
            <w:pPr>
              <w:numPr>
                <w:ilvl w:val="0"/>
                <w:numId w:val="7"/>
              </w:numPr>
              <w:spacing w:after="120" w:line="240" w:lineRule="auto"/>
              <w:rPr>
                <w:rFonts w:cs="Arial"/>
                <w:sz w:val="20"/>
              </w:rPr>
            </w:pPr>
            <w:r w:rsidRPr="00E5073E">
              <w:rPr>
                <w:rFonts w:cs="Arial"/>
                <w:sz w:val="20"/>
              </w:rPr>
              <w:t>Sheffield</w:t>
            </w:r>
          </w:p>
        </w:tc>
        <w:tc>
          <w:tcPr>
            <w:tcW w:w="2537" w:type="pct"/>
            <w:tcBorders>
              <w:top w:val="single" w:sz="24"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hideMark/>
          </w:tcPr>
          <w:p w:rsidR="00E5073E" w:rsidRPr="00E5073E" w:rsidRDefault="00E5073E" w:rsidP="0059658C">
            <w:pPr>
              <w:spacing w:after="120" w:line="240" w:lineRule="auto"/>
              <w:rPr>
                <w:rFonts w:cs="Arial"/>
                <w:sz w:val="20"/>
              </w:rPr>
            </w:pPr>
            <w:r w:rsidRPr="00E5073E">
              <w:rPr>
                <w:rFonts w:cs="Arial"/>
                <w:sz w:val="20"/>
              </w:rPr>
              <w:t>Not registered with a GP in one of the outlined areas.</w:t>
            </w:r>
          </w:p>
          <w:p w:rsidR="00E5073E" w:rsidRPr="00E5073E" w:rsidRDefault="00E5073E" w:rsidP="0059658C">
            <w:pPr>
              <w:spacing w:after="120" w:line="240" w:lineRule="auto"/>
              <w:rPr>
                <w:rFonts w:cs="Arial"/>
                <w:sz w:val="20"/>
              </w:rPr>
            </w:pPr>
          </w:p>
        </w:tc>
      </w:tr>
      <w:tr w:rsidR="004F2382" w:rsidRPr="00D20B55" w:rsidTr="00E5073E">
        <w:trPr>
          <w:trHeight w:val="584"/>
        </w:trPr>
        <w:tc>
          <w:tcPr>
            <w:tcW w:w="2463" w:type="pct"/>
            <w:tcBorders>
              <w:top w:val="single" w:sz="24"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tcPr>
          <w:p w:rsidR="004F2382" w:rsidRPr="00E5073E" w:rsidRDefault="004F2382" w:rsidP="0059658C">
            <w:pPr>
              <w:spacing w:after="120" w:line="240" w:lineRule="auto"/>
              <w:rPr>
                <w:rFonts w:cs="Arial"/>
                <w:sz w:val="20"/>
              </w:rPr>
            </w:pPr>
            <w:r>
              <w:rPr>
                <w:rFonts w:cs="Arial"/>
                <w:sz w:val="20"/>
              </w:rPr>
              <w:t>Wants to participate in voluntary support to sustain paid work.</w:t>
            </w:r>
          </w:p>
        </w:tc>
        <w:tc>
          <w:tcPr>
            <w:tcW w:w="2537" w:type="pct"/>
            <w:tcBorders>
              <w:top w:val="single" w:sz="24"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tcPr>
          <w:p w:rsidR="004F2382" w:rsidRPr="00E5073E" w:rsidRDefault="004F2382" w:rsidP="0059658C">
            <w:pPr>
              <w:spacing w:after="120" w:line="240" w:lineRule="auto"/>
              <w:rPr>
                <w:rFonts w:cs="Arial"/>
                <w:sz w:val="20"/>
              </w:rPr>
            </w:pPr>
            <w:r>
              <w:rPr>
                <w:rFonts w:cs="Arial"/>
                <w:sz w:val="20"/>
              </w:rPr>
              <w:t>Does not want to participate in voluntary support to sustain paid work</w:t>
            </w:r>
          </w:p>
        </w:tc>
      </w:tr>
    </w:tbl>
    <w:p w:rsidR="00226C2E" w:rsidRDefault="00226C2E" w:rsidP="0059658C">
      <w:r>
        <w:br w:type="page"/>
      </w:r>
    </w:p>
    <w:tbl>
      <w:tblPr>
        <w:tblW w:w="4637" w:type="pct"/>
        <w:tblInd w:w="699" w:type="dxa"/>
        <w:tblCellMar>
          <w:left w:w="0" w:type="dxa"/>
          <w:right w:w="0" w:type="dxa"/>
        </w:tblCellMar>
        <w:tblLook w:val="0420" w:firstRow="1" w:lastRow="0" w:firstColumn="0" w:lastColumn="0" w:noHBand="0" w:noVBand="1"/>
      </w:tblPr>
      <w:tblGrid>
        <w:gridCol w:w="4470"/>
        <w:gridCol w:w="4604"/>
      </w:tblGrid>
      <w:tr w:rsidR="00226C2E" w:rsidRPr="00D20B55" w:rsidTr="00226C2E">
        <w:trPr>
          <w:trHeight w:val="584"/>
          <w:tblHeader/>
        </w:trPr>
        <w:tc>
          <w:tcPr>
            <w:tcW w:w="2463" w:type="pct"/>
            <w:tcBorders>
              <w:top w:val="single" w:sz="8" w:space="0" w:color="FFFFFF"/>
              <w:left w:val="single" w:sz="8" w:space="0" w:color="FFFFFF"/>
              <w:bottom w:val="single" w:sz="24" w:space="0" w:color="FFFFFF"/>
              <w:right w:val="single" w:sz="8" w:space="0" w:color="FFFFFF"/>
            </w:tcBorders>
            <w:shd w:val="clear" w:color="auto" w:fill="CCCCCC"/>
            <w:tcMar>
              <w:top w:w="72" w:type="dxa"/>
              <w:left w:w="144" w:type="dxa"/>
              <w:bottom w:w="72" w:type="dxa"/>
              <w:right w:w="144" w:type="dxa"/>
            </w:tcMar>
            <w:hideMark/>
          </w:tcPr>
          <w:p w:rsidR="00226C2E" w:rsidRPr="00E5073E" w:rsidRDefault="00226C2E" w:rsidP="0059658C">
            <w:pPr>
              <w:spacing w:after="120" w:line="240" w:lineRule="auto"/>
              <w:rPr>
                <w:rFonts w:cs="Arial"/>
                <w:sz w:val="20"/>
              </w:rPr>
            </w:pPr>
            <w:r w:rsidRPr="00E5073E">
              <w:rPr>
                <w:rFonts w:cs="Arial"/>
                <w:b/>
                <w:bCs/>
                <w:sz w:val="20"/>
              </w:rPr>
              <w:lastRenderedPageBreak/>
              <w:t>Inclusion Criteria</w:t>
            </w:r>
          </w:p>
        </w:tc>
        <w:tc>
          <w:tcPr>
            <w:tcW w:w="2537" w:type="pct"/>
            <w:tcBorders>
              <w:top w:val="single" w:sz="8" w:space="0" w:color="FFFFFF"/>
              <w:left w:val="single" w:sz="8" w:space="0" w:color="FFFFFF"/>
              <w:bottom w:val="single" w:sz="24" w:space="0" w:color="FFFFFF"/>
              <w:right w:val="single" w:sz="8" w:space="0" w:color="FFFFFF"/>
            </w:tcBorders>
            <w:shd w:val="clear" w:color="auto" w:fill="CCCCCC"/>
            <w:tcMar>
              <w:top w:w="72" w:type="dxa"/>
              <w:left w:w="144" w:type="dxa"/>
              <w:bottom w:w="72" w:type="dxa"/>
              <w:right w:w="144" w:type="dxa"/>
            </w:tcMar>
            <w:hideMark/>
          </w:tcPr>
          <w:p w:rsidR="00226C2E" w:rsidRPr="00E5073E" w:rsidRDefault="00226C2E" w:rsidP="0059658C">
            <w:pPr>
              <w:spacing w:after="120" w:line="240" w:lineRule="auto"/>
              <w:rPr>
                <w:rFonts w:cs="Arial"/>
                <w:sz w:val="20"/>
              </w:rPr>
            </w:pPr>
            <w:r w:rsidRPr="00E5073E">
              <w:rPr>
                <w:rFonts w:cs="Arial"/>
                <w:b/>
                <w:bCs/>
                <w:sz w:val="20"/>
              </w:rPr>
              <w:t>Exclusion Criteria</w:t>
            </w:r>
          </w:p>
        </w:tc>
      </w:tr>
      <w:tr w:rsidR="00E5073E" w:rsidRPr="00D20B55" w:rsidTr="00E5073E">
        <w:trPr>
          <w:trHeight w:val="584"/>
        </w:trPr>
        <w:tc>
          <w:tcPr>
            <w:tcW w:w="2463" w:type="pct"/>
            <w:tcBorders>
              <w:top w:val="single" w:sz="24" w:space="0" w:color="FFFFFF"/>
              <w:left w:val="single" w:sz="8" w:space="0" w:color="FFFFFF"/>
              <w:bottom w:val="single" w:sz="18" w:space="0" w:color="FFFFFF" w:themeColor="background1"/>
              <w:right w:val="single" w:sz="8" w:space="0" w:color="FFFFFF"/>
            </w:tcBorders>
            <w:shd w:val="clear" w:color="auto" w:fill="F2F2F2" w:themeFill="background1" w:themeFillShade="F2"/>
            <w:tcMar>
              <w:top w:w="72" w:type="dxa"/>
              <w:left w:w="144" w:type="dxa"/>
              <w:bottom w:w="72" w:type="dxa"/>
              <w:right w:w="144" w:type="dxa"/>
            </w:tcMar>
          </w:tcPr>
          <w:p w:rsidR="00E5073E" w:rsidRPr="00E5073E" w:rsidRDefault="00E5073E" w:rsidP="0059658C">
            <w:pPr>
              <w:spacing w:after="120" w:line="240" w:lineRule="auto"/>
              <w:rPr>
                <w:rFonts w:cs="Arial"/>
                <w:sz w:val="20"/>
              </w:rPr>
            </w:pPr>
            <w:r w:rsidRPr="00E5073E">
              <w:rPr>
                <w:rFonts w:cs="Arial"/>
                <w:sz w:val="20"/>
              </w:rPr>
              <w:t xml:space="preserve">May or may not be in receipt of </w:t>
            </w:r>
            <w:r w:rsidR="00631E86">
              <w:rPr>
                <w:rFonts w:cs="Arial"/>
                <w:sz w:val="20"/>
              </w:rPr>
              <w:t xml:space="preserve">DWP </w:t>
            </w:r>
            <w:r w:rsidRPr="00E5073E">
              <w:rPr>
                <w:rFonts w:cs="Arial"/>
                <w:sz w:val="20"/>
              </w:rPr>
              <w:t>benefits</w:t>
            </w:r>
            <w:r>
              <w:rPr>
                <w:rFonts w:cs="Arial"/>
                <w:sz w:val="20"/>
              </w:rPr>
              <w:t xml:space="preserve"> </w:t>
            </w:r>
            <w:r w:rsidR="00631E86">
              <w:rPr>
                <w:rFonts w:cs="Arial"/>
                <w:sz w:val="20"/>
              </w:rPr>
              <w:t xml:space="preserve">and </w:t>
            </w:r>
            <w:r>
              <w:rPr>
                <w:rFonts w:cs="Arial"/>
                <w:sz w:val="20"/>
              </w:rPr>
              <w:t xml:space="preserve">with a </w:t>
            </w:r>
            <w:r w:rsidR="00631E86">
              <w:rPr>
                <w:rFonts w:cs="Arial"/>
                <w:sz w:val="20"/>
              </w:rPr>
              <w:t>self-defined</w:t>
            </w:r>
            <w:r w:rsidRPr="005802A7">
              <w:rPr>
                <w:rFonts w:cs="Arial"/>
                <w:sz w:val="20"/>
              </w:rPr>
              <w:t xml:space="preserve"> low/moderate mental health </w:t>
            </w:r>
            <w:r w:rsidR="00631E86">
              <w:rPr>
                <w:rFonts w:cs="Arial"/>
                <w:sz w:val="20"/>
              </w:rPr>
              <w:t>and/</w:t>
            </w:r>
            <w:r w:rsidRPr="005802A7">
              <w:rPr>
                <w:rFonts w:cs="Arial"/>
                <w:sz w:val="20"/>
              </w:rPr>
              <w:t xml:space="preserve">or </w:t>
            </w:r>
            <w:r w:rsidR="004F2382">
              <w:rPr>
                <w:rFonts w:cs="Arial"/>
                <w:sz w:val="20"/>
              </w:rPr>
              <w:t>physical health</w:t>
            </w:r>
            <w:r w:rsidRPr="005802A7">
              <w:rPr>
                <w:rFonts w:cs="Arial"/>
                <w:sz w:val="20"/>
              </w:rPr>
              <w:t xml:space="preserve"> condition</w:t>
            </w:r>
            <w:r w:rsidR="005773BA">
              <w:rPr>
                <w:rFonts w:cs="Arial"/>
                <w:sz w:val="20"/>
              </w:rPr>
              <w:t xml:space="preserve"> which is an obstacle to them finding or keeping work.</w:t>
            </w:r>
          </w:p>
        </w:tc>
        <w:tc>
          <w:tcPr>
            <w:tcW w:w="2537" w:type="pct"/>
            <w:tcBorders>
              <w:top w:val="single" w:sz="24" w:space="0" w:color="FFFFFF"/>
              <w:left w:val="single" w:sz="8" w:space="0" w:color="FFFFFF"/>
              <w:bottom w:val="single" w:sz="18" w:space="0" w:color="FFFFFF" w:themeColor="background1"/>
              <w:right w:val="single" w:sz="8" w:space="0" w:color="FFFFFF"/>
            </w:tcBorders>
            <w:shd w:val="clear" w:color="auto" w:fill="F2F2F2" w:themeFill="background1" w:themeFillShade="F2"/>
            <w:tcMar>
              <w:top w:w="72" w:type="dxa"/>
              <w:left w:w="144" w:type="dxa"/>
              <w:bottom w:w="72" w:type="dxa"/>
              <w:right w:w="144" w:type="dxa"/>
            </w:tcMar>
          </w:tcPr>
          <w:p w:rsidR="00E5073E" w:rsidRPr="00E5073E" w:rsidRDefault="00E5073E" w:rsidP="0059658C">
            <w:pPr>
              <w:spacing w:after="120" w:line="240" w:lineRule="auto"/>
              <w:rPr>
                <w:rFonts w:cs="Arial"/>
                <w:sz w:val="20"/>
              </w:rPr>
            </w:pPr>
            <w:r w:rsidRPr="00E5073E">
              <w:rPr>
                <w:rFonts w:cs="Arial"/>
                <w:sz w:val="20"/>
              </w:rPr>
              <w:t>People who are out of work but do not have</w:t>
            </w:r>
            <w:r>
              <w:rPr>
                <w:rFonts w:cs="Arial"/>
                <w:sz w:val="20"/>
              </w:rPr>
              <w:t xml:space="preserve"> </w:t>
            </w:r>
            <w:r w:rsidRPr="005802A7">
              <w:rPr>
                <w:rFonts w:cs="Arial"/>
                <w:sz w:val="20"/>
              </w:rPr>
              <w:t>a</w:t>
            </w:r>
            <w:r>
              <w:rPr>
                <w:rFonts w:cs="Arial"/>
                <w:sz w:val="20"/>
              </w:rPr>
              <w:t xml:space="preserve"> </w:t>
            </w:r>
            <w:r w:rsidR="00631E86">
              <w:rPr>
                <w:rFonts w:cs="Arial"/>
                <w:sz w:val="20"/>
              </w:rPr>
              <w:t>self-defined</w:t>
            </w:r>
            <w:r w:rsidR="00631E86" w:rsidRPr="005802A7">
              <w:rPr>
                <w:rFonts w:cs="Arial"/>
                <w:sz w:val="20"/>
              </w:rPr>
              <w:t xml:space="preserve"> low/moderate mental health </w:t>
            </w:r>
            <w:r w:rsidR="00631E86">
              <w:rPr>
                <w:rFonts w:cs="Arial"/>
                <w:sz w:val="20"/>
              </w:rPr>
              <w:t>and/</w:t>
            </w:r>
            <w:r w:rsidR="00631E86" w:rsidRPr="005802A7">
              <w:rPr>
                <w:rFonts w:cs="Arial"/>
                <w:sz w:val="20"/>
              </w:rPr>
              <w:t xml:space="preserve">or </w:t>
            </w:r>
            <w:r w:rsidR="00631E86">
              <w:rPr>
                <w:rFonts w:cs="Arial"/>
                <w:sz w:val="20"/>
              </w:rPr>
              <w:t>physical health</w:t>
            </w:r>
            <w:r w:rsidR="00631E86" w:rsidRPr="005802A7">
              <w:rPr>
                <w:rFonts w:cs="Arial"/>
                <w:sz w:val="20"/>
              </w:rPr>
              <w:t xml:space="preserve"> condition</w:t>
            </w:r>
            <w:r w:rsidR="00631E86">
              <w:rPr>
                <w:rFonts w:cs="Arial"/>
                <w:sz w:val="20"/>
              </w:rPr>
              <w:t xml:space="preserve"> which is an obstacle to them finding or keeping work.</w:t>
            </w:r>
            <w:r w:rsidRPr="005802A7">
              <w:rPr>
                <w:rFonts w:cs="Arial"/>
                <w:sz w:val="20"/>
              </w:rPr>
              <w:t xml:space="preserve"> </w:t>
            </w:r>
          </w:p>
        </w:tc>
      </w:tr>
      <w:tr w:rsidR="00E5073E" w:rsidRPr="00D20B55" w:rsidTr="00E5073E">
        <w:trPr>
          <w:trHeight w:val="584"/>
        </w:trPr>
        <w:tc>
          <w:tcPr>
            <w:tcW w:w="2463"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Mar>
              <w:top w:w="72" w:type="dxa"/>
              <w:left w:w="144" w:type="dxa"/>
              <w:bottom w:w="72" w:type="dxa"/>
              <w:right w:w="144" w:type="dxa"/>
            </w:tcMar>
          </w:tcPr>
          <w:p w:rsidR="00E5073E" w:rsidRPr="00E5073E" w:rsidRDefault="00E5073E" w:rsidP="0059658C">
            <w:pPr>
              <w:spacing w:after="120" w:line="240" w:lineRule="auto"/>
              <w:rPr>
                <w:rFonts w:cs="Arial"/>
                <w:sz w:val="20"/>
              </w:rPr>
            </w:pPr>
            <w:r w:rsidRPr="00E5073E">
              <w:rPr>
                <w:rFonts w:cs="Arial"/>
                <w:sz w:val="20"/>
              </w:rPr>
              <w:t xml:space="preserve">Individuals in work but </w:t>
            </w:r>
            <w:r w:rsidR="00A803D5">
              <w:rPr>
                <w:rFonts w:cs="Arial"/>
                <w:sz w:val="20"/>
              </w:rPr>
              <w:t xml:space="preserve">off sick </w:t>
            </w:r>
            <w:r w:rsidR="000B7892">
              <w:rPr>
                <w:rFonts w:cs="Arial"/>
                <w:sz w:val="20"/>
              </w:rPr>
              <w:t>or struggling in the workplace</w:t>
            </w:r>
            <w:r w:rsidR="00A803D5">
              <w:rPr>
                <w:rFonts w:cs="Arial"/>
                <w:sz w:val="20"/>
              </w:rPr>
              <w:t xml:space="preserve"> </w:t>
            </w:r>
            <w:r w:rsidRPr="00E5073E">
              <w:rPr>
                <w:rFonts w:cs="Arial"/>
                <w:sz w:val="20"/>
              </w:rPr>
              <w:t xml:space="preserve">due to a </w:t>
            </w:r>
            <w:r w:rsidR="00A803D5">
              <w:rPr>
                <w:rFonts w:cs="Arial"/>
                <w:sz w:val="20"/>
              </w:rPr>
              <w:t xml:space="preserve">self-defined </w:t>
            </w:r>
            <w:r w:rsidRPr="00E5073E">
              <w:rPr>
                <w:rFonts w:cs="Arial"/>
                <w:sz w:val="20"/>
              </w:rPr>
              <w:t xml:space="preserve">low/moderate mental health </w:t>
            </w:r>
            <w:r w:rsidR="00A803D5">
              <w:rPr>
                <w:rFonts w:cs="Arial"/>
                <w:sz w:val="20"/>
              </w:rPr>
              <w:t xml:space="preserve">and/or physical health </w:t>
            </w:r>
            <w:r w:rsidRPr="00E5073E">
              <w:rPr>
                <w:rFonts w:cs="Arial"/>
                <w:sz w:val="20"/>
              </w:rPr>
              <w:t>condition</w:t>
            </w:r>
          </w:p>
        </w:tc>
        <w:tc>
          <w:tcPr>
            <w:tcW w:w="2537"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Mar>
              <w:top w:w="72" w:type="dxa"/>
              <w:left w:w="144" w:type="dxa"/>
              <w:bottom w:w="72" w:type="dxa"/>
              <w:right w:w="144" w:type="dxa"/>
            </w:tcMar>
          </w:tcPr>
          <w:p w:rsidR="00E5073E" w:rsidRPr="00E5073E" w:rsidRDefault="00A803D5" w:rsidP="0059658C">
            <w:pPr>
              <w:spacing w:after="120" w:line="240" w:lineRule="auto"/>
              <w:rPr>
                <w:rFonts w:cs="Arial"/>
                <w:sz w:val="20"/>
              </w:rPr>
            </w:pPr>
            <w:r w:rsidRPr="00E5073E">
              <w:rPr>
                <w:rFonts w:cs="Arial"/>
                <w:sz w:val="20"/>
              </w:rPr>
              <w:t>Individuals in work but</w:t>
            </w:r>
            <w:r>
              <w:rPr>
                <w:rFonts w:cs="Arial"/>
                <w:sz w:val="20"/>
              </w:rPr>
              <w:t xml:space="preserve"> not</w:t>
            </w:r>
            <w:r w:rsidRPr="00E5073E">
              <w:rPr>
                <w:rFonts w:cs="Arial"/>
                <w:sz w:val="20"/>
              </w:rPr>
              <w:t xml:space="preserve"> </w:t>
            </w:r>
            <w:r>
              <w:rPr>
                <w:rFonts w:cs="Arial"/>
                <w:sz w:val="20"/>
              </w:rPr>
              <w:t xml:space="preserve">off sick or struggling in the workplace </w:t>
            </w:r>
            <w:r w:rsidRPr="00E5073E">
              <w:rPr>
                <w:rFonts w:cs="Arial"/>
                <w:sz w:val="20"/>
              </w:rPr>
              <w:t xml:space="preserve">due to a </w:t>
            </w:r>
            <w:r>
              <w:rPr>
                <w:rFonts w:cs="Arial"/>
                <w:sz w:val="20"/>
              </w:rPr>
              <w:t xml:space="preserve">self-defined </w:t>
            </w:r>
            <w:r w:rsidRPr="00E5073E">
              <w:rPr>
                <w:rFonts w:cs="Arial"/>
                <w:sz w:val="20"/>
              </w:rPr>
              <w:t xml:space="preserve">low/moderate mental health </w:t>
            </w:r>
            <w:r>
              <w:rPr>
                <w:rFonts w:cs="Arial"/>
                <w:sz w:val="20"/>
              </w:rPr>
              <w:t xml:space="preserve">and/or physical health </w:t>
            </w:r>
            <w:r w:rsidRPr="00E5073E">
              <w:rPr>
                <w:rFonts w:cs="Arial"/>
                <w:sz w:val="20"/>
              </w:rPr>
              <w:t>condition</w:t>
            </w:r>
          </w:p>
        </w:tc>
      </w:tr>
      <w:tr w:rsidR="00E5073E" w:rsidRPr="00D20B55" w:rsidTr="00E5073E">
        <w:trPr>
          <w:trHeight w:val="584"/>
        </w:trPr>
        <w:tc>
          <w:tcPr>
            <w:tcW w:w="2463"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Mar>
              <w:top w:w="72" w:type="dxa"/>
              <w:left w:w="144" w:type="dxa"/>
              <w:bottom w:w="72" w:type="dxa"/>
              <w:right w:w="144" w:type="dxa"/>
            </w:tcMar>
            <w:hideMark/>
          </w:tcPr>
          <w:p w:rsidR="00E5073E" w:rsidRPr="00E5073E" w:rsidRDefault="00E5073E" w:rsidP="0059658C">
            <w:pPr>
              <w:spacing w:after="120" w:line="240" w:lineRule="auto"/>
              <w:rPr>
                <w:rFonts w:cs="Arial"/>
                <w:sz w:val="20"/>
              </w:rPr>
            </w:pPr>
            <w:r w:rsidRPr="00E5073E">
              <w:rPr>
                <w:rFonts w:cs="Arial"/>
                <w:sz w:val="20"/>
              </w:rPr>
              <w:t>Individuals</w:t>
            </w:r>
            <w:r w:rsidR="00762239">
              <w:rPr>
                <w:rFonts w:cs="Arial"/>
                <w:sz w:val="20"/>
              </w:rPr>
              <w:t xml:space="preserve"> not currently</w:t>
            </w:r>
            <w:r w:rsidRPr="00E5073E">
              <w:rPr>
                <w:rFonts w:cs="Arial"/>
                <w:sz w:val="20"/>
              </w:rPr>
              <w:t xml:space="preserve"> </w:t>
            </w:r>
            <w:r w:rsidR="00762239">
              <w:rPr>
                <w:rFonts w:cs="Arial"/>
                <w:sz w:val="20"/>
              </w:rPr>
              <w:t>receiving</w:t>
            </w:r>
            <w:r w:rsidR="002D3C55">
              <w:rPr>
                <w:rFonts w:cs="Arial"/>
                <w:sz w:val="20"/>
              </w:rPr>
              <w:t xml:space="preserve"> employment</w:t>
            </w:r>
            <w:r w:rsidR="00762239">
              <w:rPr>
                <w:rFonts w:cs="Arial"/>
                <w:sz w:val="20"/>
              </w:rPr>
              <w:t xml:space="preserve"> support other than </w:t>
            </w:r>
            <w:r w:rsidR="002D3C55">
              <w:rPr>
                <w:rFonts w:cs="Arial"/>
                <w:sz w:val="20"/>
              </w:rPr>
              <w:t xml:space="preserve">from </w:t>
            </w:r>
            <w:r w:rsidR="008D59CF">
              <w:rPr>
                <w:rFonts w:cs="Arial"/>
                <w:sz w:val="20"/>
              </w:rPr>
              <w:t>Jobcentre</w:t>
            </w:r>
            <w:r w:rsidR="002D3C55">
              <w:rPr>
                <w:rFonts w:cs="Arial"/>
                <w:sz w:val="20"/>
              </w:rPr>
              <w:t xml:space="preserve"> Plus</w:t>
            </w:r>
            <w:r w:rsidRPr="00E5073E">
              <w:rPr>
                <w:rFonts w:cs="Arial"/>
                <w:sz w:val="20"/>
              </w:rPr>
              <w:t>.</w:t>
            </w:r>
          </w:p>
        </w:tc>
        <w:tc>
          <w:tcPr>
            <w:tcW w:w="2537"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Mar>
              <w:top w:w="72" w:type="dxa"/>
              <w:left w:w="144" w:type="dxa"/>
              <w:bottom w:w="72" w:type="dxa"/>
              <w:right w:w="144" w:type="dxa"/>
            </w:tcMar>
            <w:hideMark/>
          </w:tcPr>
          <w:p w:rsidR="002D3C55" w:rsidRDefault="001E4486" w:rsidP="0059658C">
            <w:pPr>
              <w:spacing w:after="120" w:line="240" w:lineRule="auto"/>
              <w:rPr>
                <w:rFonts w:cs="Arial"/>
                <w:sz w:val="20"/>
              </w:rPr>
            </w:pPr>
            <w:r>
              <w:rPr>
                <w:rFonts w:cs="Arial"/>
                <w:sz w:val="20"/>
              </w:rPr>
              <w:t xml:space="preserve">Individuals </w:t>
            </w:r>
            <w:r w:rsidR="002D3C55">
              <w:rPr>
                <w:rFonts w:cs="Arial"/>
                <w:sz w:val="20"/>
              </w:rPr>
              <w:t xml:space="preserve">currently receiving employment support other than </w:t>
            </w:r>
            <w:r w:rsidR="008D59CF">
              <w:rPr>
                <w:rFonts w:cs="Arial"/>
                <w:sz w:val="20"/>
              </w:rPr>
              <w:t>Jobcentre</w:t>
            </w:r>
            <w:r w:rsidR="002D3C55">
              <w:rPr>
                <w:rFonts w:cs="Arial"/>
                <w:sz w:val="20"/>
              </w:rPr>
              <w:t xml:space="preserve"> Plus</w:t>
            </w:r>
            <w:r w:rsidR="00780AEA">
              <w:rPr>
                <w:rFonts w:cs="Arial"/>
                <w:sz w:val="20"/>
              </w:rPr>
              <w:t>.</w:t>
            </w:r>
          </w:p>
          <w:p w:rsidR="00E5073E" w:rsidRPr="00E5073E" w:rsidRDefault="00780AEA" w:rsidP="0059658C">
            <w:pPr>
              <w:spacing w:after="120" w:line="240" w:lineRule="auto"/>
              <w:rPr>
                <w:sz w:val="20"/>
              </w:rPr>
            </w:pPr>
            <w:r>
              <w:rPr>
                <w:rFonts w:cs="Arial"/>
                <w:sz w:val="20"/>
              </w:rPr>
              <w:t>Individuals in the</w:t>
            </w:r>
            <w:r w:rsidR="00554F8B">
              <w:rPr>
                <w:rFonts w:cs="Arial"/>
                <w:sz w:val="20"/>
              </w:rPr>
              <w:t xml:space="preserve"> control group of the IPS Trial</w:t>
            </w:r>
          </w:p>
        </w:tc>
      </w:tr>
      <w:tr w:rsidR="00554F8B" w:rsidRPr="00D20B55" w:rsidTr="00E5073E">
        <w:trPr>
          <w:trHeight w:val="584"/>
        </w:trPr>
        <w:tc>
          <w:tcPr>
            <w:tcW w:w="2463"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Mar>
              <w:top w:w="72" w:type="dxa"/>
              <w:left w:w="144" w:type="dxa"/>
              <w:bottom w:w="72" w:type="dxa"/>
              <w:right w:w="144" w:type="dxa"/>
            </w:tcMar>
          </w:tcPr>
          <w:p w:rsidR="00554F8B" w:rsidRPr="00554F8B" w:rsidRDefault="00554F8B" w:rsidP="0059658C">
            <w:pPr>
              <w:overflowPunct w:val="0"/>
              <w:autoSpaceDE w:val="0"/>
              <w:autoSpaceDN w:val="0"/>
              <w:adjustRightInd w:val="0"/>
              <w:spacing w:after="0" w:line="240" w:lineRule="auto"/>
              <w:contextualSpacing/>
              <w:textAlignment w:val="baseline"/>
              <w:rPr>
                <w:rFonts w:cs="Arial"/>
                <w:sz w:val="20"/>
                <w:szCs w:val="20"/>
              </w:rPr>
            </w:pPr>
            <w:r w:rsidRPr="00554F8B">
              <w:rPr>
                <w:rFonts w:eastAsia="Times New Roman" w:cs="Arial"/>
                <w:kern w:val="16"/>
                <w:sz w:val="20"/>
                <w:szCs w:val="20"/>
                <w:lang w:val="en-US"/>
              </w:rPr>
              <w:t>Not on a Care Programme Approach, receiving Community Mental Health Team (CMHT) support or identified on a Serious Mental Illness (SMI) register</w:t>
            </w:r>
          </w:p>
        </w:tc>
        <w:tc>
          <w:tcPr>
            <w:tcW w:w="2537"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Mar>
              <w:top w:w="72" w:type="dxa"/>
              <w:left w:w="144" w:type="dxa"/>
              <w:bottom w:w="72" w:type="dxa"/>
              <w:right w:w="144" w:type="dxa"/>
            </w:tcMar>
          </w:tcPr>
          <w:p w:rsidR="00554F8B" w:rsidRPr="00554F8B" w:rsidRDefault="00554F8B" w:rsidP="0059658C">
            <w:pPr>
              <w:overflowPunct w:val="0"/>
              <w:autoSpaceDE w:val="0"/>
              <w:autoSpaceDN w:val="0"/>
              <w:adjustRightInd w:val="0"/>
              <w:spacing w:after="0" w:line="240" w:lineRule="auto"/>
              <w:contextualSpacing/>
              <w:textAlignment w:val="baseline"/>
              <w:rPr>
                <w:rFonts w:cs="Arial"/>
                <w:sz w:val="20"/>
                <w:szCs w:val="20"/>
              </w:rPr>
            </w:pPr>
            <w:r>
              <w:rPr>
                <w:rFonts w:eastAsia="Times New Roman" w:cs="Arial"/>
                <w:kern w:val="16"/>
                <w:sz w:val="20"/>
                <w:szCs w:val="20"/>
                <w:lang w:val="en-US"/>
              </w:rPr>
              <w:t>O</w:t>
            </w:r>
            <w:r w:rsidRPr="00554F8B">
              <w:rPr>
                <w:rFonts w:eastAsia="Times New Roman" w:cs="Arial"/>
                <w:kern w:val="16"/>
                <w:sz w:val="20"/>
                <w:szCs w:val="20"/>
                <w:lang w:val="en-US"/>
              </w:rPr>
              <w:t>n a Care Programme Approach, receiving Community Mental Health Team (CMHT) support or identified on a Serious Mental Illness (SMI) register</w:t>
            </w:r>
          </w:p>
        </w:tc>
      </w:tr>
    </w:tbl>
    <w:p w:rsidR="00DD5E7C" w:rsidRDefault="00DD5E7C" w:rsidP="0059658C">
      <w:pPr>
        <w:pStyle w:val="Heading1"/>
        <w:numPr>
          <w:ilvl w:val="0"/>
          <w:numId w:val="0"/>
        </w:numPr>
        <w:spacing w:before="0" w:after="120" w:line="240" w:lineRule="auto"/>
        <w:ind w:left="360"/>
      </w:pPr>
    </w:p>
    <w:p w:rsidR="009A30B4" w:rsidRPr="00D20B55" w:rsidRDefault="009717B6" w:rsidP="0059658C">
      <w:pPr>
        <w:pStyle w:val="Heading1"/>
        <w:numPr>
          <w:ilvl w:val="0"/>
          <w:numId w:val="60"/>
        </w:numPr>
        <w:spacing w:before="0" w:after="120" w:line="240" w:lineRule="auto"/>
      </w:pPr>
      <w:bookmarkStart w:id="31" w:name="_Toc491351924"/>
      <w:r>
        <w:t>Service model – Initial meeting (2): Informed consent</w:t>
      </w:r>
      <w:bookmarkEnd w:id="31"/>
      <w:r>
        <w:t xml:space="preserve"> </w:t>
      </w:r>
    </w:p>
    <w:p w:rsidR="009717B6" w:rsidRDefault="009717B6" w:rsidP="0059658C">
      <w:pPr>
        <w:pStyle w:val="ListParagraph"/>
        <w:numPr>
          <w:ilvl w:val="1"/>
          <w:numId w:val="60"/>
        </w:numPr>
        <w:spacing w:after="120" w:line="240" w:lineRule="auto"/>
        <w:jc w:val="both"/>
      </w:pPr>
      <w:r>
        <w:t>All trial participants need to provide informed consent to take part in the trial. This demonstrates that they understand what the trial involves. It also confirms their willingness to share their data in a highly-regulated way with specific</w:t>
      </w:r>
      <w:r w:rsidR="00FB786F">
        <w:t xml:space="preserve"> stated </w:t>
      </w:r>
      <w:r>
        <w:t xml:space="preserve">third parties for evaluation purposes and contract management purposes. </w:t>
      </w:r>
    </w:p>
    <w:p w:rsidR="009717B6" w:rsidRDefault="00173047" w:rsidP="0059658C">
      <w:pPr>
        <w:pStyle w:val="ListParagraph"/>
        <w:numPr>
          <w:ilvl w:val="1"/>
          <w:numId w:val="60"/>
        </w:numPr>
        <w:spacing w:after="120" w:line="240" w:lineRule="auto"/>
        <w:jc w:val="both"/>
      </w:pPr>
      <w:r>
        <w:t xml:space="preserve">If the participant meets the eligibility criteria, the </w:t>
      </w:r>
      <w:r w:rsidR="009037ED">
        <w:t>IPS Employment Specialist</w:t>
      </w:r>
      <w:r>
        <w:t xml:space="preserve"> will then need to explain the nature of the trial and ask the participant to read an information sheet and sign a consent form. </w:t>
      </w:r>
      <w:r w:rsidR="00B11D1A">
        <w:t>Participants will be given</w:t>
      </w:r>
      <w:r w:rsidR="00B11D1A" w:rsidRPr="00B11D1A">
        <w:t xml:space="preserve"> a copy of the signed consent form to take away with them</w:t>
      </w:r>
      <w:r w:rsidR="00B11D1A">
        <w:t xml:space="preserve">. </w:t>
      </w:r>
      <w:r>
        <w:t>All the relevant materials for this part of the meeting will be provided by the programme team.</w:t>
      </w:r>
    </w:p>
    <w:p w:rsidR="00173047" w:rsidRDefault="00173047" w:rsidP="0059658C">
      <w:pPr>
        <w:pStyle w:val="Heading1"/>
        <w:numPr>
          <w:ilvl w:val="0"/>
          <w:numId w:val="60"/>
        </w:numPr>
        <w:spacing w:before="0" w:after="120" w:line="240" w:lineRule="auto"/>
      </w:pPr>
      <w:bookmarkStart w:id="32" w:name="_Toc490147825"/>
      <w:bookmarkStart w:id="33" w:name="_Toc491351925"/>
      <w:bookmarkEnd w:id="32"/>
      <w:r>
        <w:t>Service model – Initial meeting (3): Baseline data</w:t>
      </w:r>
      <w:bookmarkEnd w:id="33"/>
    </w:p>
    <w:p w:rsidR="00955FC5" w:rsidRDefault="00556866" w:rsidP="0059658C">
      <w:pPr>
        <w:pStyle w:val="ListParagraph"/>
        <w:numPr>
          <w:ilvl w:val="1"/>
          <w:numId w:val="60"/>
        </w:numPr>
        <w:spacing w:after="120" w:line="240" w:lineRule="auto"/>
        <w:jc w:val="both"/>
      </w:pPr>
      <w:r>
        <w:t xml:space="preserve">Data collected during the initial meeting </w:t>
      </w:r>
      <w:r w:rsidR="0099739F">
        <w:t>is required</w:t>
      </w:r>
      <w:r>
        <w:t xml:space="preserve"> for the evaluators when assessing the success or otherwise of the trial. </w:t>
      </w:r>
      <w:r w:rsidR="0099739F">
        <w:t xml:space="preserve">This is because this initial meeting enables baseline data collection pre-randomisation for both </w:t>
      </w:r>
      <w:r w:rsidR="00AF00BA">
        <w:t xml:space="preserve">treatment and </w:t>
      </w:r>
      <w:r w:rsidR="0099739F">
        <w:t xml:space="preserve">control groups.  </w:t>
      </w:r>
      <w:r w:rsidR="00567684">
        <w:t>Once a participant has signed the relevant consent forms, p</w:t>
      </w:r>
      <w:r>
        <w:t>roviders will be asked to collec</w:t>
      </w:r>
      <w:r w:rsidR="00567684">
        <w:t xml:space="preserve">t a standard set of information. This will </w:t>
      </w:r>
      <w:r w:rsidR="000D41B9">
        <w:t>include</w:t>
      </w:r>
      <w:r w:rsidR="00533944">
        <w:t>:</w:t>
      </w:r>
      <w:r w:rsidR="000D41B9">
        <w:t xml:space="preserve"> personal identifiers, such as National Insurance and NHS numbers; background and demographic information, including employment history; and a small number of questions about health and wellbeing.</w:t>
      </w:r>
      <w:r w:rsidR="00F508FE">
        <w:t xml:space="preserve"> </w:t>
      </w:r>
      <w:r w:rsidR="004B1C78" w:rsidRPr="004B1C78">
        <w:t>The precise baseline data requirements are still being finalised.</w:t>
      </w:r>
      <w:r w:rsidR="00955FC5">
        <w:t xml:space="preserve">  It is essential that the </w:t>
      </w:r>
      <w:r w:rsidR="00955FC5">
        <w:rPr>
          <w:u w:val="single"/>
        </w:rPr>
        <w:t>same</w:t>
      </w:r>
      <w:r w:rsidR="00955FC5">
        <w:t xml:space="preserve"> information is collected from clients who are randomised into the control group as for those allocated into the treatment group.</w:t>
      </w:r>
    </w:p>
    <w:p w:rsidR="00C0660D" w:rsidRDefault="00C0660D" w:rsidP="0059658C">
      <w:pPr>
        <w:rPr>
          <w:rFonts w:cs="Arial"/>
        </w:rPr>
      </w:pPr>
      <w:r>
        <w:br w:type="page"/>
      </w:r>
    </w:p>
    <w:p w:rsidR="00C0660D" w:rsidRDefault="00C0660D" w:rsidP="0059658C">
      <w:pPr>
        <w:pStyle w:val="ListParagraph"/>
        <w:numPr>
          <w:ilvl w:val="0"/>
          <w:numId w:val="0"/>
        </w:numPr>
        <w:spacing w:after="120" w:line="240" w:lineRule="auto"/>
        <w:ind w:left="720"/>
        <w:jc w:val="both"/>
      </w:pPr>
    </w:p>
    <w:p w:rsidR="00173047" w:rsidRDefault="000D41B9" w:rsidP="0059658C">
      <w:pPr>
        <w:pStyle w:val="ListParagraph"/>
        <w:numPr>
          <w:ilvl w:val="1"/>
          <w:numId w:val="60"/>
        </w:numPr>
        <w:spacing w:after="120" w:line="240" w:lineRule="auto"/>
        <w:jc w:val="both"/>
      </w:pPr>
      <w:r>
        <w:t>This information will need to be inputted into the</w:t>
      </w:r>
      <w:r w:rsidR="00166FAA">
        <w:t xml:space="preserve"> provided</w:t>
      </w:r>
      <w:r>
        <w:t xml:space="preserve"> </w:t>
      </w:r>
      <w:r w:rsidR="00E15BB9">
        <w:t xml:space="preserve">randomisation tool </w:t>
      </w:r>
      <w:r w:rsidR="00574984">
        <w:t>that providers will be required to use</w:t>
      </w:r>
      <w:r>
        <w:t xml:space="preserve"> for the programme. </w:t>
      </w:r>
      <w:r w:rsidR="00DF21D9">
        <w:t>Providers are free to use a different information system post-randomisation to</w:t>
      </w:r>
      <w:r>
        <w:t xml:space="preserve"> help guarantee consistency of format and approach</w:t>
      </w:r>
      <w:r w:rsidR="00DF21D9">
        <w:t>.</w:t>
      </w:r>
      <w:r>
        <w:t xml:space="preserve"> </w:t>
      </w:r>
    </w:p>
    <w:p w:rsidR="000D41B9" w:rsidRDefault="000D41B9" w:rsidP="0059658C">
      <w:pPr>
        <w:pStyle w:val="Heading1"/>
        <w:numPr>
          <w:ilvl w:val="0"/>
          <w:numId w:val="60"/>
        </w:numPr>
        <w:spacing w:before="0" w:after="120" w:line="240" w:lineRule="auto"/>
        <w:jc w:val="both"/>
      </w:pPr>
      <w:bookmarkStart w:id="34" w:name="_Toc491351926"/>
      <w:r>
        <w:t>Service model – Initial meeting (4): Randomisation</w:t>
      </w:r>
      <w:bookmarkEnd w:id="34"/>
    </w:p>
    <w:p w:rsidR="00944D5E" w:rsidRDefault="00944D5E" w:rsidP="0059658C">
      <w:pPr>
        <w:pStyle w:val="ListParagraph"/>
        <w:numPr>
          <w:ilvl w:val="1"/>
          <w:numId w:val="60"/>
        </w:numPr>
        <w:spacing w:after="120" w:line="240" w:lineRule="auto"/>
        <w:jc w:val="both"/>
      </w:pPr>
      <w:r>
        <w:t xml:space="preserve">Once the baseline data has been collected, the </w:t>
      </w:r>
      <w:r w:rsidR="009037ED">
        <w:t>IPS Employment Specialist</w:t>
      </w:r>
      <w:r>
        <w:t xml:space="preserve"> will use </w:t>
      </w:r>
      <w:r w:rsidR="00166FAA">
        <w:t xml:space="preserve">the </w:t>
      </w:r>
      <w:r w:rsidR="00DE552F">
        <w:t>automated randomisation</w:t>
      </w:r>
      <w:r>
        <w:t xml:space="preserve"> tool</w:t>
      </w:r>
      <w:r w:rsidR="00166FAA">
        <w:t xml:space="preserve"> provided</w:t>
      </w:r>
      <w:r>
        <w:t xml:space="preserve"> to randomise the participant into either the treatment group or the control group. </w:t>
      </w:r>
    </w:p>
    <w:p w:rsidR="004E5FB8" w:rsidRPr="00D20B55" w:rsidRDefault="00250A41" w:rsidP="0059658C">
      <w:pPr>
        <w:pStyle w:val="ListParagraph"/>
        <w:numPr>
          <w:ilvl w:val="1"/>
          <w:numId w:val="60"/>
        </w:numPr>
        <w:spacing w:after="120" w:line="240" w:lineRule="auto"/>
        <w:jc w:val="both"/>
      </w:pPr>
      <w:r>
        <w:t>I</w:t>
      </w:r>
      <w:r w:rsidR="004E5FB8" w:rsidRPr="00D20B55">
        <w:t xml:space="preserve">t is </w:t>
      </w:r>
      <w:r w:rsidR="00CC2CF5">
        <w:t xml:space="preserve">important that </w:t>
      </w:r>
      <w:r w:rsidR="008D59CF">
        <w:t>IPS Employment Specialist</w:t>
      </w:r>
      <w:r w:rsidR="004E5FB8" w:rsidRPr="00D20B55">
        <w:t xml:space="preserve">s do not give </w:t>
      </w:r>
      <w:r w:rsidR="00CC2CF5">
        <w:t xml:space="preserve">service </w:t>
      </w:r>
      <w:r w:rsidR="004E5FB8" w:rsidRPr="00D20B55">
        <w:t xml:space="preserve">users any indication </w:t>
      </w:r>
      <w:r w:rsidR="00CC2CF5">
        <w:t xml:space="preserve">that </w:t>
      </w:r>
      <w:r w:rsidR="004E5FB8" w:rsidRPr="00D20B55">
        <w:t xml:space="preserve">they will receive </w:t>
      </w:r>
      <w:r w:rsidR="00DD241E">
        <w:t>the</w:t>
      </w:r>
      <w:r w:rsidR="00CC2CF5">
        <w:t xml:space="preserve"> modified IPS</w:t>
      </w:r>
      <w:r w:rsidR="00DD241E">
        <w:t xml:space="preserve"> service</w:t>
      </w:r>
      <w:r w:rsidR="00DD241E" w:rsidRPr="00D20B55">
        <w:t xml:space="preserve"> </w:t>
      </w:r>
      <w:r w:rsidR="004E5FB8" w:rsidRPr="00D20B55">
        <w:t xml:space="preserve">until the randomisation process has confirmed this is the case. </w:t>
      </w:r>
    </w:p>
    <w:p w:rsidR="00250A41" w:rsidRPr="00D20B55" w:rsidRDefault="00250A41" w:rsidP="0059658C">
      <w:pPr>
        <w:pStyle w:val="ListParagraph"/>
        <w:numPr>
          <w:ilvl w:val="1"/>
          <w:numId w:val="60"/>
        </w:numPr>
        <w:spacing w:after="120" w:line="240" w:lineRule="auto"/>
        <w:jc w:val="both"/>
      </w:pPr>
      <w:r>
        <w:t>Once the</w:t>
      </w:r>
      <w:r w:rsidR="00675BEC">
        <w:t xml:space="preserve"> </w:t>
      </w:r>
      <w:r w:rsidR="008D59CF">
        <w:t>IPS Employment Specialist</w:t>
      </w:r>
      <w:r w:rsidRPr="00D20B55">
        <w:t xml:space="preserve"> has pushed the randomisation button, the tool will </w:t>
      </w:r>
      <w:r w:rsidR="00994A16">
        <w:t xml:space="preserve">instantly </w:t>
      </w:r>
      <w:r w:rsidRPr="00D20B55">
        <w:t>inform them whether the user is in the treatment</w:t>
      </w:r>
      <w:r w:rsidR="00F118EF">
        <w:t xml:space="preserve"> group (modified IPS service)</w:t>
      </w:r>
      <w:r w:rsidRPr="00D20B55">
        <w:t xml:space="preserve"> or control group</w:t>
      </w:r>
      <w:r w:rsidR="00F118EF">
        <w:t xml:space="preserve"> (business as usual employment services)</w:t>
      </w:r>
      <w:r w:rsidRPr="00D20B55">
        <w:t>. This determination is</w:t>
      </w:r>
      <w:r w:rsidR="006F3569">
        <w:t xml:space="preserve"> automated, </w:t>
      </w:r>
      <w:r w:rsidRPr="00D20B55">
        <w:t>irreversibl</w:t>
      </w:r>
      <w:r w:rsidR="00503FC2">
        <w:t xml:space="preserve">e and </w:t>
      </w:r>
      <w:r w:rsidRPr="00D20B55">
        <w:t xml:space="preserve">the </w:t>
      </w:r>
      <w:r w:rsidR="008D59CF">
        <w:t>IPS Employment Specialist</w:t>
      </w:r>
      <w:r w:rsidRPr="00D20B55">
        <w:t xml:space="preserve"> will not be able to re-run the tool. </w:t>
      </w:r>
    </w:p>
    <w:p w:rsidR="004E5FB8" w:rsidRPr="0059658C" w:rsidRDefault="004E5FB8" w:rsidP="0059658C">
      <w:pPr>
        <w:pStyle w:val="ListParagraph"/>
        <w:numPr>
          <w:ilvl w:val="1"/>
          <w:numId w:val="60"/>
        </w:numPr>
        <w:spacing w:after="120" w:line="240" w:lineRule="auto"/>
        <w:jc w:val="both"/>
      </w:pPr>
      <w:r w:rsidRPr="00D20B55">
        <w:t xml:space="preserve">If the </w:t>
      </w:r>
      <w:r w:rsidR="00994A16">
        <w:t>participant</w:t>
      </w:r>
      <w:r w:rsidR="00994A16" w:rsidRPr="00D20B55">
        <w:t xml:space="preserve"> </w:t>
      </w:r>
      <w:r w:rsidRPr="00D20B55">
        <w:t xml:space="preserve">is randomised into the </w:t>
      </w:r>
      <w:r w:rsidR="00994A16">
        <w:t>treatment</w:t>
      </w:r>
      <w:r w:rsidR="00994A16" w:rsidRPr="00D20B55">
        <w:t xml:space="preserve"> </w:t>
      </w:r>
      <w:r w:rsidR="00DF21D9" w:rsidRPr="00D20B55">
        <w:t>group,</w:t>
      </w:r>
      <w:r w:rsidRPr="00D20B55">
        <w:t xml:space="preserve"> the </w:t>
      </w:r>
      <w:r w:rsidR="009037ED">
        <w:t>IPS Employment Specialist</w:t>
      </w:r>
      <w:r w:rsidR="00250A41">
        <w:t xml:space="preserve"> </w:t>
      </w:r>
      <w:r w:rsidRPr="00D20B55">
        <w:t>will then arrange to pr</w:t>
      </w:r>
      <w:r w:rsidR="00250A41">
        <w:t>ovide the</w:t>
      </w:r>
      <w:r w:rsidR="00AA0613">
        <w:t xml:space="preserve"> modified</w:t>
      </w:r>
      <w:r w:rsidR="00250A41">
        <w:t xml:space="preserve"> IPS service. This might begin immediately or at a </w:t>
      </w:r>
      <w:r w:rsidR="00250A41" w:rsidRPr="0059658C">
        <w:t xml:space="preserve">subsequent meeting, depending on logistics and client preference. </w:t>
      </w:r>
    </w:p>
    <w:p w:rsidR="00DD5E7C" w:rsidRPr="0059658C" w:rsidRDefault="004E5FB8" w:rsidP="0059658C">
      <w:pPr>
        <w:pStyle w:val="ListParagraph"/>
        <w:numPr>
          <w:ilvl w:val="1"/>
          <w:numId w:val="60"/>
        </w:numPr>
        <w:spacing w:after="120" w:line="240" w:lineRule="auto"/>
        <w:jc w:val="both"/>
      </w:pPr>
      <w:r w:rsidRPr="0059658C">
        <w:t xml:space="preserve">If the </w:t>
      </w:r>
      <w:r w:rsidR="00994A16" w:rsidRPr="0059658C">
        <w:t xml:space="preserve">participant </w:t>
      </w:r>
      <w:r w:rsidRPr="0059658C">
        <w:t xml:space="preserve">is randomised into the control group, the </w:t>
      </w:r>
      <w:r w:rsidR="008D59CF" w:rsidRPr="0059658C">
        <w:t>IPS Employment Specialist</w:t>
      </w:r>
      <w:r w:rsidRPr="0059658C">
        <w:t xml:space="preserve"> will provide </w:t>
      </w:r>
      <w:r w:rsidR="00250A41" w:rsidRPr="0059658C">
        <w:t>verbal and written information on</w:t>
      </w:r>
      <w:r w:rsidR="00A216D4" w:rsidRPr="0059658C">
        <w:t xml:space="preserve"> business as usual</w:t>
      </w:r>
      <w:r w:rsidR="00250A41" w:rsidRPr="0059658C">
        <w:t xml:space="preserve"> </w:t>
      </w:r>
      <w:r w:rsidRPr="0059658C">
        <w:t xml:space="preserve">employment support services in their area and facilitate a referral if the person wishes it to be made. The control group needs to </w:t>
      </w:r>
      <w:r w:rsidR="00654FAC" w:rsidRPr="0059658C">
        <w:t xml:space="preserve">have </w:t>
      </w:r>
      <w:r w:rsidRPr="0059658C">
        <w:t xml:space="preserve">a positive experience </w:t>
      </w:r>
      <w:r w:rsidR="00654FAC" w:rsidRPr="0059658C">
        <w:t>overall</w:t>
      </w:r>
      <w:r w:rsidRPr="0059658C">
        <w:t xml:space="preserve">. </w:t>
      </w:r>
      <w:r w:rsidR="00B37F5D" w:rsidRPr="0059658C">
        <w:t xml:space="preserve"> </w:t>
      </w:r>
      <w:r w:rsidRPr="0059658C">
        <w:t>Bidders are invited to outline how they would do this as effectively as possible</w:t>
      </w:r>
      <w:r w:rsidR="00F17FE9" w:rsidRPr="0059658C">
        <w:t xml:space="preserve"> and the service will be expected to manage this appropriately and supportively.  Clients will be given a pack which sets out existing provision and given advice about how to access that support.</w:t>
      </w:r>
      <w:r w:rsidR="00993686" w:rsidRPr="0059658C">
        <w:t xml:space="preserve">  </w:t>
      </w:r>
      <w:r w:rsidR="00654FAC" w:rsidRPr="0059658C">
        <w:t>Following th</w:t>
      </w:r>
      <w:r w:rsidR="00993686" w:rsidRPr="0059658C">
        <w:t>is</w:t>
      </w:r>
      <w:r w:rsidR="00654FAC" w:rsidRPr="0059658C">
        <w:t xml:space="preserve"> initial consultation, there will be no </w:t>
      </w:r>
      <w:r w:rsidR="00CD3345" w:rsidRPr="0059658C">
        <w:t xml:space="preserve">further </w:t>
      </w:r>
      <w:r w:rsidR="00654FAC" w:rsidRPr="0059658C">
        <w:t xml:space="preserve">contact between individuals in the control group and the </w:t>
      </w:r>
      <w:r w:rsidR="008D59CF" w:rsidRPr="0059658C">
        <w:t>IPS Employment Specialist</w:t>
      </w:r>
      <w:r w:rsidR="00654FAC" w:rsidRPr="0059658C">
        <w:t>. All follow-up information will be collected by the evaluator.</w:t>
      </w:r>
    </w:p>
    <w:p w:rsidR="004E5FB8" w:rsidRDefault="008D4B9F" w:rsidP="0059658C">
      <w:pPr>
        <w:pStyle w:val="Heading1"/>
        <w:numPr>
          <w:ilvl w:val="0"/>
          <w:numId w:val="60"/>
        </w:numPr>
        <w:spacing w:before="0" w:after="120" w:line="240" w:lineRule="auto"/>
      </w:pPr>
      <w:bookmarkStart w:id="35" w:name="_Toc491351927"/>
      <w:r>
        <w:t xml:space="preserve">Service model – Delivery of </w:t>
      </w:r>
      <w:r w:rsidR="00681742">
        <w:t xml:space="preserve">moderated </w:t>
      </w:r>
      <w:r>
        <w:t>IPS</w:t>
      </w:r>
      <w:r w:rsidR="00681742">
        <w:t xml:space="preserve"> service</w:t>
      </w:r>
      <w:bookmarkEnd w:id="35"/>
    </w:p>
    <w:p w:rsidR="00771534" w:rsidRPr="00F6036C" w:rsidRDefault="008D4B9F" w:rsidP="0059658C">
      <w:pPr>
        <w:pStyle w:val="ListParagraph"/>
        <w:numPr>
          <w:ilvl w:val="1"/>
          <w:numId w:val="60"/>
        </w:numPr>
        <w:spacing w:after="120" w:line="240" w:lineRule="auto"/>
        <w:jc w:val="both"/>
      </w:pPr>
      <w:r>
        <w:t xml:space="preserve">If randomised into the treatment group, the </w:t>
      </w:r>
      <w:r w:rsidR="009037ED">
        <w:t>IPS Employment Specialist</w:t>
      </w:r>
      <w:r>
        <w:t xml:space="preserve"> will then deliver </w:t>
      </w:r>
      <w:r w:rsidR="00681742">
        <w:t xml:space="preserve">employment service </w:t>
      </w:r>
      <w:r>
        <w:t xml:space="preserve">according to the </w:t>
      </w:r>
      <w:r w:rsidR="00681742">
        <w:t xml:space="preserve">modified </w:t>
      </w:r>
      <w:r w:rsidR="00321F1E">
        <w:t xml:space="preserve">IPS </w:t>
      </w:r>
      <w:r>
        <w:t xml:space="preserve">fidelity </w:t>
      </w:r>
      <w:r w:rsidR="00321F1E">
        <w:t>guidelines</w:t>
      </w:r>
      <w:r>
        <w:t>. This will include</w:t>
      </w:r>
      <w:r w:rsidR="001B21FB">
        <w:t>, but is not limited to,</w:t>
      </w:r>
      <w:r>
        <w:t xml:space="preserve"> the </w:t>
      </w:r>
      <w:r w:rsidR="001B21FB">
        <w:t xml:space="preserve">steps listed below. </w:t>
      </w:r>
      <w:r w:rsidR="001B21FB" w:rsidRPr="00F14501">
        <w:t xml:space="preserve">For full details on the requirements of the service see the </w:t>
      </w:r>
      <w:r w:rsidR="006F3569">
        <w:t xml:space="preserve">trial’s </w:t>
      </w:r>
      <w:r w:rsidR="00C0660D">
        <w:t xml:space="preserve">service </w:t>
      </w:r>
      <w:r w:rsidR="00DF21D9">
        <w:t>description</w:t>
      </w:r>
      <w:r w:rsidR="00321F1E" w:rsidRPr="00F14501">
        <w:t xml:space="preserve"> in Appendix </w:t>
      </w:r>
      <w:r w:rsidR="00A6264D">
        <w:t>6</w:t>
      </w:r>
      <w:r w:rsidR="001B21FB" w:rsidRPr="00F14501">
        <w:t>.</w:t>
      </w:r>
      <w:r w:rsidR="001B21FB">
        <w:t xml:space="preserve"> </w:t>
      </w:r>
      <w:r>
        <w:t xml:space="preserve"> </w:t>
      </w:r>
    </w:p>
    <w:p w:rsidR="009A30B4" w:rsidRPr="008A4EEC" w:rsidRDefault="008D4B9F" w:rsidP="0059658C">
      <w:pPr>
        <w:pStyle w:val="ListParagraph"/>
        <w:numPr>
          <w:ilvl w:val="2"/>
          <w:numId w:val="97"/>
        </w:numPr>
        <w:spacing w:after="120" w:line="240" w:lineRule="auto"/>
        <w:ind w:left="1276" w:hanging="425"/>
        <w:jc w:val="both"/>
      </w:pPr>
      <w:r>
        <w:t>T</w:t>
      </w:r>
      <w:r w:rsidR="007B2F6C" w:rsidRPr="00D20B55">
        <w:t xml:space="preserve">he </w:t>
      </w:r>
      <w:r w:rsidR="00CC5CFC" w:rsidRPr="00D20B55">
        <w:t>participant</w:t>
      </w:r>
      <w:r w:rsidR="009A30B4" w:rsidRPr="00D20B55">
        <w:t xml:space="preserve"> meets </w:t>
      </w:r>
      <w:r w:rsidR="00CC5CFC" w:rsidRPr="00D20B55">
        <w:t xml:space="preserve">the </w:t>
      </w:r>
      <w:r w:rsidR="008D59CF">
        <w:t>IPS Employment Specialist</w:t>
      </w:r>
      <w:r w:rsidR="00CC5CFC" w:rsidRPr="00D20B55">
        <w:t xml:space="preserve"> at a </w:t>
      </w:r>
      <w:r w:rsidR="009A30B4" w:rsidRPr="00D20B55">
        <w:t>relevant location to discuss job aspirations and co-produce an employment plan</w:t>
      </w:r>
      <w:r w:rsidR="0043301C">
        <w:t>. This could begin directly after the initial meeting if appropriate</w:t>
      </w:r>
      <w:r w:rsidR="0074652C">
        <w:t>.  T</w:t>
      </w:r>
      <w:r w:rsidR="005967AE">
        <w:t>hose in work will start to consider the development of an action plan</w:t>
      </w:r>
      <w:r w:rsidR="008A4EEC">
        <w:t>, adhering Occupational Health a</w:t>
      </w:r>
      <w:r w:rsidR="00ED4220">
        <w:t>dvice</w:t>
      </w:r>
      <w:r w:rsidR="007B13BC">
        <w:t>,</w:t>
      </w:r>
      <w:r w:rsidR="005967AE">
        <w:t xml:space="preserve"> and the level of engagement they wish their employer to have with the </w:t>
      </w:r>
      <w:r w:rsidR="00ED4220">
        <w:t xml:space="preserve">support </w:t>
      </w:r>
      <w:r w:rsidR="005967AE" w:rsidRPr="008A4EEC">
        <w:t>service</w:t>
      </w:r>
      <w:r w:rsidR="00771534">
        <w:t>;</w:t>
      </w:r>
    </w:p>
    <w:p w:rsidR="009A30B4" w:rsidRPr="00F14501" w:rsidRDefault="009A30B4" w:rsidP="0059658C">
      <w:pPr>
        <w:pStyle w:val="ListParagraph"/>
        <w:numPr>
          <w:ilvl w:val="2"/>
          <w:numId w:val="97"/>
        </w:numPr>
        <w:tabs>
          <w:tab w:val="left" w:pos="1276"/>
        </w:tabs>
        <w:spacing w:after="120" w:line="240" w:lineRule="auto"/>
        <w:ind w:left="1276" w:hanging="425"/>
        <w:jc w:val="both"/>
      </w:pPr>
      <w:r w:rsidRPr="00F14501">
        <w:t xml:space="preserve">after </w:t>
      </w:r>
      <w:r w:rsidR="0043301C" w:rsidRPr="00F14501">
        <w:t xml:space="preserve">a few </w:t>
      </w:r>
      <w:r w:rsidRPr="00F14501">
        <w:t xml:space="preserve">meetings, </w:t>
      </w:r>
      <w:r w:rsidR="001B65C2">
        <w:t xml:space="preserve">the </w:t>
      </w:r>
      <w:r w:rsidRPr="00F14501">
        <w:t xml:space="preserve">service user and </w:t>
      </w:r>
      <w:r w:rsidR="007B2F6C" w:rsidRPr="00F14501">
        <w:t xml:space="preserve">the </w:t>
      </w:r>
      <w:r w:rsidR="008D59CF">
        <w:t>IPS Employment Specialist</w:t>
      </w:r>
      <w:r w:rsidRPr="00F14501">
        <w:t xml:space="preserve"> rapidly begin to seek competitive paid jobs that match the user’s individual aspirations; </w:t>
      </w:r>
      <w:r w:rsidR="005967AE" w:rsidRPr="00F14501">
        <w:t>support for clients in employment will focus on improving productivity</w:t>
      </w:r>
      <w:r w:rsidR="00BF57DB" w:rsidRPr="00F14501">
        <w:t>, involving coaching (group or one to one support) liaison with health support</w:t>
      </w:r>
      <w:r w:rsidR="00771534">
        <w:t>;</w:t>
      </w:r>
    </w:p>
    <w:p w:rsidR="009A30B4" w:rsidRPr="00D20B55" w:rsidRDefault="009A30B4" w:rsidP="0059658C">
      <w:pPr>
        <w:pStyle w:val="ListParagraph"/>
        <w:numPr>
          <w:ilvl w:val="2"/>
          <w:numId w:val="97"/>
        </w:numPr>
        <w:tabs>
          <w:tab w:val="left" w:pos="1276"/>
        </w:tabs>
        <w:spacing w:after="120" w:line="240" w:lineRule="auto"/>
        <w:ind w:left="1276" w:hanging="425"/>
        <w:jc w:val="both"/>
      </w:pPr>
      <w:r w:rsidRPr="00D20B55">
        <w:t xml:space="preserve">as part of conversations, the </w:t>
      </w:r>
      <w:r w:rsidR="007B2F6C" w:rsidRPr="00D20B55">
        <w:t xml:space="preserve">service </w:t>
      </w:r>
      <w:r w:rsidRPr="00D20B55">
        <w:t xml:space="preserve">user and </w:t>
      </w:r>
      <w:r w:rsidR="001B65C2" w:rsidRPr="00F14501">
        <w:t xml:space="preserve">the </w:t>
      </w:r>
      <w:r w:rsidR="001B65C2">
        <w:t>IPS Employment Specialist</w:t>
      </w:r>
      <w:r w:rsidR="001B65C2" w:rsidRPr="00F14501">
        <w:t xml:space="preserve"> </w:t>
      </w:r>
      <w:r w:rsidRPr="00D20B55">
        <w:t xml:space="preserve">discuss </w:t>
      </w:r>
      <w:r w:rsidR="008E504B" w:rsidRPr="00D20B55">
        <w:t xml:space="preserve">and gain expert advice on </w:t>
      </w:r>
      <w:r w:rsidRPr="00D20B55">
        <w:t xml:space="preserve">the user’s eligibility for benefits and how their income will be affected </w:t>
      </w:r>
      <w:r w:rsidR="00994A16">
        <w:t xml:space="preserve">by </w:t>
      </w:r>
      <w:r w:rsidRPr="00D20B55">
        <w:t xml:space="preserve">going back to work; </w:t>
      </w:r>
      <w:r w:rsidR="005967AE">
        <w:t>for those employed conversations will focus on moving back into work and statutory sick pay</w:t>
      </w:r>
      <w:r w:rsidR="00771534">
        <w:t>;</w:t>
      </w:r>
    </w:p>
    <w:p w:rsidR="00C24D0B" w:rsidRDefault="007B2F6C" w:rsidP="0059658C">
      <w:pPr>
        <w:pStyle w:val="ListParagraph"/>
        <w:numPr>
          <w:ilvl w:val="2"/>
          <w:numId w:val="97"/>
        </w:numPr>
        <w:tabs>
          <w:tab w:val="left" w:pos="1276"/>
        </w:tabs>
        <w:spacing w:after="120" w:line="240" w:lineRule="auto"/>
        <w:ind w:left="1276" w:hanging="425"/>
        <w:jc w:val="both"/>
      </w:pPr>
      <w:r w:rsidRPr="00D20B55">
        <w:t xml:space="preserve">as part of conversations, the service user and </w:t>
      </w:r>
      <w:r w:rsidR="001B65C2" w:rsidRPr="00F14501">
        <w:t xml:space="preserve">the </w:t>
      </w:r>
      <w:r w:rsidR="001B65C2">
        <w:t>IPS Employment Specialist</w:t>
      </w:r>
      <w:r w:rsidR="001B65C2" w:rsidRPr="00F14501">
        <w:t xml:space="preserve"> </w:t>
      </w:r>
      <w:r w:rsidRPr="00D20B55">
        <w:t>discuss the value of sharing personal information (disclosure of condition), to a potential employer and agree on an approach</w:t>
      </w:r>
      <w:r w:rsidR="00C24D0B">
        <w:t>;</w:t>
      </w:r>
    </w:p>
    <w:p w:rsidR="00BF634B" w:rsidRPr="00D20B55" w:rsidRDefault="009A30B4" w:rsidP="0059658C">
      <w:pPr>
        <w:pStyle w:val="ListParagraph"/>
        <w:numPr>
          <w:ilvl w:val="2"/>
          <w:numId w:val="97"/>
        </w:numPr>
        <w:tabs>
          <w:tab w:val="left" w:pos="1276"/>
        </w:tabs>
        <w:spacing w:after="120" w:line="240" w:lineRule="auto"/>
        <w:ind w:left="1276" w:hanging="425"/>
        <w:jc w:val="both"/>
      </w:pPr>
      <w:r w:rsidRPr="00D20B55">
        <w:t xml:space="preserve">the </w:t>
      </w:r>
      <w:r w:rsidR="001B65C2">
        <w:t>IPS Employment Specialist</w:t>
      </w:r>
      <w:r w:rsidR="001B65C2" w:rsidRPr="00F14501">
        <w:t xml:space="preserve"> </w:t>
      </w:r>
      <w:r w:rsidRPr="00D20B55">
        <w:t xml:space="preserve">continues to support the user </w:t>
      </w:r>
      <w:r w:rsidR="00D86C92" w:rsidRPr="00D20B55">
        <w:t xml:space="preserve">in-work </w:t>
      </w:r>
      <w:r w:rsidR="003C4216">
        <w:t xml:space="preserve">up to the service limit of 12 months </w:t>
      </w:r>
      <w:r w:rsidR="00A654A6" w:rsidRPr="00D20B55">
        <w:t xml:space="preserve">(in line with </w:t>
      </w:r>
      <w:r w:rsidR="000849BC">
        <w:t>time-limited IPS</w:t>
      </w:r>
      <w:r w:rsidR="00A654A6" w:rsidRPr="00D20B55">
        <w:t>)</w:t>
      </w:r>
      <w:r w:rsidR="00BF634B" w:rsidRPr="00D20B55">
        <w:t xml:space="preserve">; </w:t>
      </w:r>
    </w:p>
    <w:p w:rsidR="00DF12E0" w:rsidRDefault="00BF634B" w:rsidP="0059658C">
      <w:pPr>
        <w:pStyle w:val="ListParagraph"/>
        <w:numPr>
          <w:ilvl w:val="2"/>
          <w:numId w:val="97"/>
        </w:numPr>
        <w:tabs>
          <w:tab w:val="left" w:pos="1276"/>
        </w:tabs>
        <w:spacing w:after="120" w:line="240" w:lineRule="auto"/>
        <w:ind w:left="1276" w:hanging="425"/>
        <w:jc w:val="both"/>
      </w:pPr>
      <w:r w:rsidRPr="00D20B55">
        <w:lastRenderedPageBreak/>
        <w:t xml:space="preserve">the </w:t>
      </w:r>
      <w:r w:rsidR="001B65C2">
        <w:t>IPS Employment Specialist</w:t>
      </w:r>
      <w:r w:rsidR="001B65C2" w:rsidRPr="00F14501">
        <w:t xml:space="preserve"> </w:t>
      </w:r>
      <w:r w:rsidR="00B1499D" w:rsidRPr="00D20B55">
        <w:t xml:space="preserve">ceases </w:t>
      </w:r>
      <w:r w:rsidRPr="00D20B55">
        <w:t xml:space="preserve">active support after </w:t>
      </w:r>
      <w:r w:rsidR="008A4EEC" w:rsidRPr="00E5073E">
        <w:t>twelve</w:t>
      </w:r>
      <w:r w:rsidR="00DF12E0">
        <w:t xml:space="preserve"> months for all service us</w:t>
      </w:r>
      <w:r w:rsidR="0074652C">
        <w:t>ers</w:t>
      </w:r>
      <w:r w:rsidRPr="00D20B55">
        <w:t>.</w:t>
      </w:r>
      <w:r w:rsidR="00DF12E0">
        <w:t xml:space="preserve">  After this point </w:t>
      </w:r>
      <w:r w:rsidR="001B65C2" w:rsidRPr="00F14501">
        <w:t xml:space="preserve">the </w:t>
      </w:r>
      <w:r w:rsidR="001B65C2">
        <w:t>IPS Employment Specialist</w:t>
      </w:r>
      <w:r w:rsidR="001B65C2" w:rsidRPr="00F14501">
        <w:t xml:space="preserve"> </w:t>
      </w:r>
      <w:r w:rsidR="00DF12E0">
        <w:t>should refer users to other existing servi</w:t>
      </w:r>
      <w:r w:rsidR="00FA387F">
        <w:t>c</w:t>
      </w:r>
      <w:r w:rsidR="00DF12E0">
        <w:t>es</w:t>
      </w:r>
      <w:r w:rsidR="001B65C2">
        <w:t xml:space="preserve"> if further support is required;</w:t>
      </w:r>
    </w:p>
    <w:p w:rsidR="00307DD4" w:rsidRPr="0059658C" w:rsidRDefault="00DF12E0" w:rsidP="0059658C">
      <w:pPr>
        <w:pStyle w:val="ListParagraph"/>
        <w:numPr>
          <w:ilvl w:val="2"/>
          <w:numId w:val="97"/>
        </w:numPr>
        <w:tabs>
          <w:tab w:val="left" w:pos="1276"/>
        </w:tabs>
        <w:spacing w:after="120" w:line="240" w:lineRule="auto"/>
        <w:ind w:left="1276" w:hanging="425"/>
        <w:jc w:val="both"/>
      </w:pPr>
      <w:r>
        <w:t xml:space="preserve">The </w:t>
      </w:r>
      <w:r w:rsidR="008D59CF">
        <w:t>IPS Employment Specialist</w:t>
      </w:r>
      <w:r w:rsidR="00FA387F">
        <w:t xml:space="preserve"> will also co-ordinate</w:t>
      </w:r>
      <w:r>
        <w:t xml:space="preserve"> further support requirements (for example, housing support, debt advice) working through the relevant Local </w:t>
      </w:r>
      <w:r w:rsidR="001B65C2">
        <w:t xml:space="preserve">Integration </w:t>
      </w:r>
      <w:r w:rsidR="001B65C2" w:rsidRPr="0059658C">
        <w:t>Board in their area;</w:t>
      </w:r>
      <w:r w:rsidR="00BF634B" w:rsidRPr="0059658C">
        <w:t xml:space="preserve"> </w:t>
      </w:r>
    </w:p>
    <w:p w:rsidR="00A92D49" w:rsidRPr="0059658C" w:rsidRDefault="00307DD4" w:rsidP="0059658C">
      <w:pPr>
        <w:pStyle w:val="ListParagraph"/>
        <w:numPr>
          <w:ilvl w:val="2"/>
          <w:numId w:val="97"/>
        </w:numPr>
        <w:tabs>
          <w:tab w:val="left" w:pos="1276"/>
        </w:tabs>
        <w:spacing w:after="120" w:line="240" w:lineRule="auto"/>
        <w:ind w:left="1276" w:hanging="425"/>
        <w:jc w:val="both"/>
      </w:pPr>
      <w:r w:rsidRPr="0059658C">
        <w:t>In order to achieve success employer engagement is critical</w:t>
      </w:r>
      <w:r w:rsidR="001B65C2" w:rsidRPr="0059658C">
        <w:t>. I</w:t>
      </w:r>
      <w:r w:rsidRPr="0059658C">
        <w:t xml:space="preserve">t </w:t>
      </w:r>
      <w:r w:rsidR="001B65C2" w:rsidRPr="0059658C">
        <w:t xml:space="preserve">is </w:t>
      </w:r>
      <w:r w:rsidRPr="0059658C">
        <w:t>expected that the provider</w:t>
      </w:r>
      <w:r w:rsidR="001B65C2" w:rsidRPr="0059658C">
        <w:t>(s) will proactively source opportunities directly as well as w</w:t>
      </w:r>
      <w:r w:rsidRPr="0059658C">
        <w:t>ork through existing employer engagement services within each of the trial areas</w:t>
      </w:r>
      <w:r w:rsidR="001B65C2" w:rsidRPr="0059658C">
        <w:t xml:space="preserve">. </w:t>
      </w:r>
    </w:p>
    <w:p w:rsidR="00A603FB" w:rsidRPr="00D20B55" w:rsidRDefault="008D4B9F" w:rsidP="0059658C">
      <w:pPr>
        <w:pStyle w:val="ListParagraph"/>
        <w:numPr>
          <w:ilvl w:val="1"/>
          <w:numId w:val="60"/>
        </w:numPr>
        <w:spacing w:after="120" w:line="240" w:lineRule="auto"/>
        <w:jc w:val="both"/>
      </w:pPr>
      <w:r>
        <w:t>In addition, t</w:t>
      </w:r>
      <w:r w:rsidR="00A603FB" w:rsidRPr="00D20B55">
        <w:t xml:space="preserve">he service will provide the following </w:t>
      </w:r>
      <w:r>
        <w:t>in</w:t>
      </w:r>
      <w:r w:rsidRPr="00D20B55">
        <w:t xml:space="preserve"> </w:t>
      </w:r>
      <w:r>
        <w:t xml:space="preserve">line with </w:t>
      </w:r>
      <w:r w:rsidR="00A603FB" w:rsidRPr="00D20B55">
        <w:t>the IPS model:</w:t>
      </w:r>
    </w:p>
    <w:p w:rsidR="00A603FB" w:rsidRPr="00D20B55" w:rsidRDefault="008D59CF" w:rsidP="0059658C">
      <w:pPr>
        <w:pStyle w:val="ListParagraph"/>
        <w:numPr>
          <w:ilvl w:val="2"/>
          <w:numId w:val="63"/>
        </w:numPr>
        <w:spacing w:after="120" w:line="240" w:lineRule="auto"/>
        <w:ind w:left="1276" w:hanging="425"/>
        <w:jc w:val="both"/>
      </w:pPr>
      <w:r>
        <w:t>IPS Employment Specialist</w:t>
      </w:r>
      <w:r w:rsidR="00A603FB" w:rsidRPr="00D20B55">
        <w:t xml:space="preserve"> staff should input into the </w:t>
      </w:r>
      <w:r w:rsidR="007B2F6C" w:rsidRPr="00D20B55">
        <w:t xml:space="preserve">treatment/discharge or </w:t>
      </w:r>
      <w:r w:rsidR="00892840" w:rsidRPr="00D20B55">
        <w:t xml:space="preserve">clinical </w:t>
      </w:r>
      <w:r w:rsidR="00A603FB" w:rsidRPr="00D20B55">
        <w:t>assessment and review process as appropriate;</w:t>
      </w:r>
    </w:p>
    <w:p w:rsidR="00A603FB" w:rsidRPr="00D20B55" w:rsidRDefault="007B2F6C" w:rsidP="0059658C">
      <w:pPr>
        <w:pStyle w:val="ListParagraph"/>
        <w:numPr>
          <w:ilvl w:val="2"/>
          <w:numId w:val="63"/>
        </w:numPr>
        <w:spacing w:after="120" w:line="240" w:lineRule="auto"/>
        <w:ind w:left="1276" w:hanging="425"/>
        <w:jc w:val="both"/>
      </w:pPr>
      <w:r w:rsidRPr="00D20B55">
        <w:t>every service user</w:t>
      </w:r>
      <w:r w:rsidR="00A603FB" w:rsidRPr="00D20B55">
        <w:t xml:space="preserve"> to have a named </w:t>
      </w:r>
      <w:r w:rsidR="008D59CF">
        <w:t>IPS Employment Specialist</w:t>
      </w:r>
      <w:r w:rsidR="00A603FB" w:rsidRPr="00D20B55">
        <w:t xml:space="preserve"> as the key point of contact throughout the job search process and continuing in-work support;</w:t>
      </w:r>
    </w:p>
    <w:p w:rsidR="00A603FB" w:rsidRPr="00D20B55" w:rsidRDefault="007B2F6C" w:rsidP="0059658C">
      <w:pPr>
        <w:pStyle w:val="ListParagraph"/>
        <w:numPr>
          <w:ilvl w:val="2"/>
          <w:numId w:val="63"/>
        </w:numPr>
        <w:spacing w:after="120" w:line="240" w:lineRule="auto"/>
        <w:ind w:left="1276" w:hanging="425"/>
        <w:jc w:val="both"/>
      </w:pPr>
      <w:r w:rsidRPr="00D20B55">
        <w:t>each service user</w:t>
      </w:r>
      <w:r w:rsidR="00A603FB" w:rsidRPr="00D20B55">
        <w:t xml:space="preserve"> will be supported to undertake a personal profiling of skills, strengths, past experiences, aspirations, education and t</w:t>
      </w:r>
      <w:r w:rsidRPr="00D20B55">
        <w:t xml:space="preserve">raining, support needs to develop a targeted </w:t>
      </w:r>
      <w:r w:rsidR="00ED4220">
        <w:t>employment</w:t>
      </w:r>
      <w:r w:rsidRPr="00D20B55">
        <w:t xml:space="preserve"> plan</w:t>
      </w:r>
      <w:r w:rsidR="001B65C2">
        <w:t xml:space="preserve"> towards an effective job match</w:t>
      </w:r>
      <w:r w:rsidR="00202100" w:rsidRPr="00D20B55">
        <w:t>;</w:t>
      </w:r>
    </w:p>
    <w:p w:rsidR="00A603FB" w:rsidRDefault="00A603FB" w:rsidP="0059658C">
      <w:pPr>
        <w:pStyle w:val="ListParagraph"/>
        <w:numPr>
          <w:ilvl w:val="2"/>
          <w:numId w:val="63"/>
        </w:numPr>
        <w:spacing w:after="120" w:line="240" w:lineRule="auto"/>
        <w:ind w:left="1276" w:hanging="425"/>
        <w:jc w:val="both"/>
      </w:pPr>
      <w:r w:rsidRPr="00D20B55">
        <w:t xml:space="preserve">rapid job </w:t>
      </w:r>
      <w:r w:rsidR="003043D8" w:rsidRPr="00D20B55">
        <w:t>searches</w:t>
      </w:r>
      <w:r w:rsidRPr="00D20B55">
        <w:t xml:space="preserve"> for competitive employment with </w:t>
      </w:r>
      <w:r w:rsidR="00307DD4">
        <w:t>applications</w:t>
      </w:r>
      <w:r w:rsidR="00307DD4" w:rsidRPr="00D20B55">
        <w:t xml:space="preserve"> </w:t>
      </w:r>
      <w:r w:rsidRPr="00D20B55">
        <w:t>made with potential employers within four weeks after programme entry</w:t>
      </w:r>
      <w:r w:rsidR="00655842">
        <w:t>;</w:t>
      </w:r>
    </w:p>
    <w:p w:rsidR="008F1C00" w:rsidRPr="00D20B55" w:rsidRDefault="001B65C2" w:rsidP="0059658C">
      <w:pPr>
        <w:pStyle w:val="ListParagraph"/>
        <w:numPr>
          <w:ilvl w:val="2"/>
          <w:numId w:val="63"/>
        </w:numPr>
        <w:spacing w:after="120" w:line="240" w:lineRule="auto"/>
        <w:ind w:left="1276" w:hanging="425"/>
        <w:jc w:val="both"/>
      </w:pPr>
      <w:r>
        <w:t>providers</w:t>
      </w:r>
      <w:r w:rsidR="008F1C00">
        <w:t xml:space="preserve"> should work with existing employer brokerage arrangements in each of the </w:t>
      </w:r>
      <w:r w:rsidR="00307DD4">
        <w:t xml:space="preserve">local authority </w:t>
      </w:r>
      <w:r w:rsidR="008F1C00">
        <w:t>areas.</w:t>
      </w:r>
    </w:p>
    <w:p w:rsidR="002D708D" w:rsidRDefault="00321F1E" w:rsidP="0059658C">
      <w:pPr>
        <w:pStyle w:val="ListParagraph"/>
        <w:numPr>
          <w:ilvl w:val="1"/>
          <w:numId w:val="60"/>
        </w:numPr>
        <w:spacing w:after="120" w:line="240" w:lineRule="auto"/>
        <w:jc w:val="both"/>
      </w:pPr>
      <w:r>
        <w:t>The</w:t>
      </w:r>
      <w:r w:rsidRPr="00D20B55">
        <w:t xml:space="preserve"> </w:t>
      </w:r>
      <w:r w:rsidR="001B65C2">
        <w:t>modified</w:t>
      </w:r>
      <w:r w:rsidR="002D708D" w:rsidRPr="00D20B55">
        <w:t xml:space="preserve"> IPS </w:t>
      </w:r>
      <w:r>
        <w:t>f</w:t>
      </w:r>
      <w:r w:rsidR="002D708D" w:rsidRPr="00D20B55">
        <w:t xml:space="preserve">idelity </w:t>
      </w:r>
      <w:r>
        <w:t>guidelines will also enable</w:t>
      </w:r>
      <w:r w:rsidR="002D708D" w:rsidRPr="00D20B55">
        <w:t xml:space="preserve"> provider(s) to audit their </w:t>
      </w:r>
      <w:r w:rsidR="00307DD4">
        <w:t xml:space="preserve">implementation fidelity </w:t>
      </w:r>
      <w:r w:rsidR="002D708D" w:rsidRPr="00D20B55">
        <w:t xml:space="preserve">against IPS </w:t>
      </w:r>
      <w:r w:rsidR="008D4B9F">
        <w:t>principles</w:t>
      </w:r>
      <w:r>
        <w:t>.</w:t>
      </w:r>
    </w:p>
    <w:p w:rsidR="002B760E" w:rsidRDefault="002B760E" w:rsidP="0059658C">
      <w:pPr>
        <w:pStyle w:val="ListParagraph"/>
        <w:numPr>
          <w:ilvl w:val="0"/>
          <w:numId w:val="0"/>
        </w:numPr>
        <w:spacing w:after="120" w:line="240" w:lineRule="auto"/>
        <w:ind w:left="720"/>
        <w:jc w:val="both"/>
      </w:pPr>
    </w:p>
    <w:p w:rsidR="00C27303" w:rsidRPr="0059658C" w:rsidRDefault="00C27303" w:rsidP="0059658C">
      <w:pPr>
        <w:pStyle w:val="Heading1"/>
        <w:numPr>
          <w:ilvl w:val="0"/>
          <w:numId w:val="60"/>
        </w:numPr>
        <w:spacing w:before="0" w:after="120" w:line="240" w:lineRule="auto"/>
        <w:jc w:val="both"/>
      </w:pPr>
      <w:bookmarkStart w:id="36" w:name="_Toc491351928"/>
      <w:r w:rsidRPr="0059658C">
        <w:t>Staffing, caseloads, and recruitment</w:t>
      </w:r>
      <w:bookmarkEnd w:id="36"/>
    </w:p>
    <w:p w:rsidR="00C27303" w:rsidRPr="0059658C" w:rsidRDefault="00C27303" w:rsidP="0059658C">
      <w:pPr>
        <w:pStyle w:val="ListParagraph"/>
        <w:numPr>
          <w:ilvl w:val="1"/>
          <w:numId w:val="60"/>
        </w:numPr>
        <w:spacing w:after="120" w:line="240" w:lineRule="auto"/>
        <w:jc w:val="both"/>
      </w:pPr>
      <w:r w:rsidRPr="0059658C">
        <w:t>Recruiting a large number of high-quality staff</w:t>
      </w:r>
      <w:r w:rsidR="00A56560" w:rsidRPr="0059658C">
        <w:t>, and managing the changing workforce needs over the duration of the trial,</w:t>
      </w:r>
      <w:r w:rsidRPr="0059658C">
        <w:t xml:space="preserve"> will be a critical success factor. The provider(s) will need to demonstrate their ability to attract capable staff to the service, including through the pay and conditions they propose.  Providers will need to offer attractive terms throughout the course of the programme to ensure they remain competitive for the best recruits.  Bidders should consider flexible workforce approaches in their response.</w:t>
      </w:r>
    </w:p>
    <w:p w:rsidR="00C27303" w:rsidRPr="0059658C" w:rsidRDefault="00C27303" w:rsidP="0059658C">
      <w:pPr>
        <w:pStyle w:val="ListParagraph"/>
        <w:numPr>
          <w:ilvl w:val="1"/>
          <w:numId w:val="60"/>
        </w:numPr>
        <w:spacing w:after="120" w:line="240" w:lineRule="auto"/>
        <w:jc w:val="both"/>
      </w:pPr>
      <w:r w:rsidRPr="0059658C">
        <w:t xml:space="preserve">Given </w:t>
      </w:r>
      <w:r w:rsidR="00A56560" w:rsidRPr="0059658C">
        <w:t xml:space="preserve">that </w:t>
      </w:r>
      <w:r w:rsidRPr="0059658C">
        <w:t xml:space="preserve">this is an innovative </w:t>
      </w:r>
      <w:r w:rsidR="003043D8" w:rsidRPr="0059658C">
        <w:t>trial;</w:t>
      </w:r>
      <w:r w:rsidR="00A56560" w:rsidRPr="0059658C">
        <w:t xml:space="preserve"> </w:t>
      </w:r>
      <w:r w:rsidRPr="0059658C">
        <w:t>it is critical to adhere to the innovative nature of this programme with an appropriate management structure</w:t>
      </w:r>
      <w:r w:rsidR="00A56560" w:rsidRPr="0059658C">
        <w:t xml:space="preserve"> whilst </w:t>
      </w:r>
      <w:r w:rsidRPr="0059658C">
        <w:t>recognising providers individual offer.  You are expected to demonstrate how your staffing response adheres to the fidelity of the trial.</w:t>
      </w:r>
    </w:p>
    <w:p w:rsidR="00C27303" w:rsidRDefault="00C27303" w:rsidP="0059658C">
      <w:pPr>
        <w:pStyle w:val="ListParagraph"/>
        <w:numPr>
          <w:ilvl w:val="1"/>
          <w:numId w:val="60"/>
        </w:numPr>
        <w:spacing w:after="120" w:line="240" w:lineRule="auto"/>
        <w:jc w:val="both"/>
      </w:pPr>
      <w:r w:rsidRPr="00D20B55">
        <w:t xml:space="preserve">The </w:t>
      </w:r>
      <w:r w:rsidR="008D59CF">
        <w:t>IPS Employment Specialist</w:t>
      </w:r>
      <w:r w:rsidRPr="00D20B55">
        <w:t xml:space="preserve"> role will require a high level of optimism, initiative and effective interpersonal skills in order to engage effectively with service users, clinical teams and employers.</w:t>
      </w:r>
    </w:p>
    <w:p w:rsidR="0068491E" w:rsidRPr="00D20B55" w:rsidRDefault="0068491E" w:rsidP="0059658C">
      <w:pPr>
        <w:pStyle w:val="ListParagraph"/>
        <w:numPr>
          <w:ilvl w:val="1"/>
          <w:numId w:val="60"/>
        </w:numPr>
        <w:spacing w:after="120" w:line="240" w:lineRule="auto"/>
        <w:jc w:val="both"/>
      </w:pPr>
      <w:r>
        <w:t xml:space="preserve">Employment specialists will carry out all six phases of the </w:t>
      </w:r>
      <w:r w:rsidR="00A11CF2">
        <w:t xml:space="preserve">IPS </w:t>
      </w:r>
      <w:r>
        <w:t>employment service (e.g. programme intake, engagement, assessment, job development/job placement, job coaching, and follow-along support) within the framework of this trial.  It is expected that the specialists will align and partner with other agencies in order to co-ordinate the additional support needs of their client working with and through the Local Integration Board</w:t>
      </w:r>
      <w:r w:rsidR="00A11CF2">
        <w:t xml:space="preserve"> and particularly existing employment and employer brokerage arrangements</w:t>
      </w:r>
      <w:r>
        <w:t>.</w:t>
      </w:r>
    </w:p>
    <w:p w:rsidR="0068491E" w:rsidRDefault="00C27303" w:rsidP="0059658C">
      <w:pPr>
        <w:pStyle w:val="ListParagraph"/>
        <w:numPr>
          <w:ilvl w:val="1"/>
          <w:numId w:val="60"/>
        </w:numPr>
        <w:spacing w:after="120" w:line="240" w:lineRule="auto"/>
        <w:jc w:val="both"/>
      </w:pPr>
      <w:r w:rsidRPr="00D20B55">
        <w:t>As a</w:t>
      </w:r>
      <w:r w:rsidR="00EF31B5">
        <w:t xml:space="preserve"> modified</w:t>
      </w:r>
      <w:r w:rsidRPr="00D20B55">
        <w:t xml:space="preserve"> IPS service for primary and community care, it is anticipated that </w:t>
      </w:r>
      <w:r w:rsidR="008D59CF">
        <w:t>IPS Employment Specialist</w:t>
      </w:r>
      <w:r w:rsidRPr="00D20B55">
        <w:t xml:space="preserve">s will work at any one time with </w:t>
      </w:r>
      <w:r w:rsidRPr="00F14501">
        <w:t>a maximum of 3</w:t>
      </w:r>
      <w:r w:rsidR="00840646">
        <w:t>5</w:t>
      </w:r>
      <w:r w:rsidRPr="00F14501">
        <w:t xml:space="preserve"> active cases.</w:t>
      </w:r>
      <w:r w:rsidRPr="00D20B55">
        <w:t xml:space="preserve">  </w:t>
      </w:r>
    </w:p>
    <w:p w:rsidR="00DD5E7C" w:rsidRPr="00D20B55" w:rsidRDefault="00C27303" w:rsidP="0059658C">
      <w:pPr>
        <w:pStyle w:val="ListParagraph"/>
        <w:numPr>
          <w:ilvl w:val="1"/>
          <w:numId w:val="60"/>
        </w:numPr>
        <w:spacing w:after="120" w:line="240" w:lineRule="auto"/>
        <w:jc w:val="both"/>
      </w:pPr>
      <w:r w:rsidRPr="00D20B55">
        <w:t>The service managers’ role should reflect the complexity of delivering to the trial requirements and innovative nature of the service.</w:t>
      </w:r>
      <w:r w:rsidR="00307DD4">
        <w:t xml:space="preserve">  </w:t>
      </w:r>
    </w:p>
    <w:p w:rsidR="0064384A" w:rsidRPr="00F14501" w:rsidRDefault="00AC7398" w:rsidP="0059658C">
      <w:pPr>
        <w:pStyle w:val="Heading1"/>
        <w:numPr>
          <w:ilvl w:val="0"/>
          <w:numId w:val="60"/>
        </w:numPr>
        <w:spacing w:before="0" w:after="120" w:line="240" w:lineRule="auto"/>
      </w:pPr>
      <w:bookmarkStart w:id="37" w:name="_Toc491351929"/>
      <w:r w:rsidRPr="00F14501">
        <w:lastRenderedPageBreak/>
        <w:t>Trial evaluation</w:t>
      </w:r>
      <w:bookmarkEnd w:id="37"/>
    </w:p>
    <w:p w:rsidR="00A11CF2" w:rsidRDefault="0064384A" w:rsidP="0059658C">
      <w:pPr>
        <w:pStyle w:val="ListParagraph"/>
        <w:numPr>
          <w:ilvl w:val="1"/>
          <w:numId w:val="60"/>
        </w:numPr>
        <w:spacing w:after="120" w:line="240" w:lineRule="auto"/>
        <w:jc w:val="both"/>
      </w:pPr>
      <w:r w:rsidRPr="00D20B55">
        <w:t xml:space="preserve">Robust evaluation will be fundamental to this </w:t>
      </w:r>
      <w:r w:rsidR="002D708D" w:rsidRPr="00D20B55">
        <w:t>programme</w:t>
      </w:r>
      <w:r w:rsidRPr="00D20B55">
        <w:t xml:space="preserve">, since a core objective is to build the evidence </w:t>
      </w:r>
      <w:r w:rsidR="00307DD4">
        <w:t xml:space="preserve">around </w:t>
      </w:r>
      <w:r w:rsidRPr="00D20B55">
        <w:t xml:space="preserve">IPS </w:t>
      </w:r>
      <w:r w:rsidR="00AC7398">
        <w:t xml:space="preserve">deployed </w:t>
      </w:r>
      <w:r w:rsidRPr="00D20B55">
        <w:t>in primary and community care</w:t>
      </w:r>
      <w:r w:rsidR="00307DD4">
        <w:t xml:space="preserve"> for this cohort</w:t>
      </w:r>
      <w:r w:rsidRPr="00D20B55">
        <w:t>.</w:t>
      </w:r>
      <w:r w:rsidR="00AC7398">
        <w:t xml:space="preserve"> This is the rationale for running the programme as a Randomised Control Trial. </w:t>
      </w:r>
    </w:p>
    <w:p w:rsidR="0064384A" w:rsidRPr="00F14501" w:rsidRDefault="0064384A" w:rsidP="0059658C">
      <w:pPr>
        <w:pStyle w:val="ListParagraph"/>
        <w:numPr>
          <w:ilvl w:val="1"/>
          <w:numId w:val="60"/>
        </w:numPr>
        <w:spacing w:after="120" w:line="240" w:lineRule="auto"/>
        <w:jc w:val="both"/>
      </w:pPr>
      <w:r w:rsidRPr="00F14501">
        <w:t xml:space="preserve">The </w:t>
      </w:r>
      <w:r w:rsidR="00AC7398" w:rsidRPr="00F14501">
        <w:t xml:space="preserve">primary research question for the </w:t>
      </w:r>
      <w:r w:rsidRPr="00F14501">
        <w:t>evaluation is</w:t>
      </w:r>
      <w:r w:rsidR="001E068C" w:rsidRPr="00F14501">
        <w:t>, subject to final confirmation</w:t>
      </w:r>
      <w:r w:rsidRPr="00F14501">
        <w:t>:</w:t>
      </w:r>
    </w:p>
    <w:p w:rsidR="0064384A" w:rsidRPr="00F14501" w:rsidRDefault="0064384A" w:rsidP="0059658C">
      <w:pPr>
        <w:pStyle w:val="ListParagraph"/>
        <w:numPr>
          <w:ilvl w:val="0"/>
          <w:numId w:val="69"/>
        </w:numPr>
        <w:spacing w:after="120" w:line="240" w:lineRule="auto"/>
        <w:ind w:left="1134" w:hanging="283"/>
        <w:jc w:val="both"/>
      </w:pPr>
      <w:r w:rsidRPr="00F14501">
        <w:rPr>
          <w:u w:val="single"/>
        </w:rPr>
        <w:t>Efficacy</w:t>
      </w:r>
      <w:r w:rsidRPr="00F14501">
        <w:t xml:space="preserve">: For individuals who present to primary and community care with a health condition </w:t>
      </w:r>
      <w:r w:rsidR="00F6036C" w:rsidRPr="00F14501">
        <w:t>who are struggling to find or stay in work</w:t>
      </w:r>
      <w:r w:rsidRPr="00F14501">
        <w:t xml:space="preserve">, does the application of </w:t>
      </w:r>
      <w:r w:rsidR="00307DD4">
        <w:t xml:space="preserve">modified </w:t>
      </w:r>
      <w:r w:rsidRPr="00F14501">
        <w:t>IPS principles enable more people to return to</w:t>
      </w:r>
      <w:r w:rsidR="00B079BA">
        <w:t xml:space="preserve"> or stay in</w:t>
      </w:r>
      <w:r w:rsidRPr="00F14501">
        <w:t xml:space="preserve"> work and improve their </w:t>
      </w:r>
      <w:r w:rsidR="001E068C" w:rsidRPr="00F14501">
        <w:t xml:space="preserve">health and </w:t>
      </w:r>
      <w:r w:rsidRPr="00F14501">
        <w:t>wellbeing</w:t>
      </w:r>
      <w:r w:rsidR="001E068C" w:rsidRPr="00F14501">
        <w:t xml:space="preserve"> than existing services</w:t>
      </w:r>
      <w:r w:rsidRPr="00F14501">
        <w:t>?</w:t>
      </w:r>
    </w:p>
    <w:p w:rsidR="00DA2F1C" w:rsidRPr="00F14501" w:rsidRDefault="00DA2F1C" w:rsidP="0059658C">
      <w:pPr>
        <w:pStyle w:val="ListParagraph"/>
        <w:numPr>
          <w:ilvl w:val="1"/>
          <w:numId w:val="60"/>
        </w:numPr>
        <w:spacing w:after="120" w:line="240" w:lineRule="auto"/>
        <w:ind w:left="709" w:hanging="709"/>
        <w:jc w:val="both"/>
      </w:pPr>
      <w:r w:rsidRPr="00F14501">
        <w:t>The secondary research questions</w:t>
      </w:r>
      <w:r w:rsidR="00AC7398" w:rsidRPr="00F14501">
        <w:t xml:space="preserve"> are</w:t>
      </w:r>
      <w:r w:rsidR="001E068C" w:rsidRPr="00F14501">
        <w:t>, subject to final confirmation</w:t>
      </w:r>
      <w:r w:rsidRPr="00F14501">
        <w:t>:</w:t>
      </w:r>
    </w:p>
    <w:p w:rsidR="0064384A" w:rsidRPr="00F14501" w:rsidRDefault="0064384A" w:rsidP="0059658C">
      <w:pPr>
        <w:pStyle w:val="ListParagraph"/>
        <w:numPr>
          <w:ilvl w:val="2"/>
          <w:numId w:val="68"/>
        </w:numPr>
        <w:spacing w:after="120" w:line="240" w:lineRule="auto"/>
        <w:ind w:left="1134" w:hanging="283"/>
        <w:jc w:val="both"/>
      </w:pPr>
      <w:r w:rsidRPr="00F14501">
        <w:rPr>
          <w:u w:val="single"/>
        </w:rPr>
        <w:t>Operational effectiveness</w:t>
      </w:r>
      <w:r w:rsidRPr="00F14501">
        <w:t>: How can IPS be most effectively deployed in primary and community care settings</w:t>
      </w:r>
      <w:r w:rsidR="00AC7398" w:rsidRPr="00F14501">
        <w:t>, in particular</w:t>
      </w:r>
      <w:r w:rsidRPr="00F14501">
        <w:t xml:space="preserve"> </w:t>
      </w:r>
      <w:r w:rsidR="00AC7398" w:rsidRPr="00F14501">
        <w:t>to</w:t>
      </w:r>
      <w:r w:rsidRPr="00F14501">
        <w:t xml:space="preserve"> enable a sufficient number of appropriate referrals and effective engagement with clinical teams? Critically, this will test how the model </w:t>
      </w:r>
      <w:r w:rsidR="00AC7398" w:rsidRPr="00F14501">
        <w:t xml:space="preserve">can </w:t>
      </w:r>
      <w:r w:rsidRPr="00F14501">
        <w:t>work at scale.</w:t>
      </w:r>
    </w:p>
    <w:p w:rsidR="0064384A" w:rsidRPr="00F14501" w:rsidRDefault="0064384A" w:rsidP="0059658C">
      <w:pPr>
        <w:pStyle w:val="ListParagraph"/>
        <w:numPr>
          <w:ilvl w:val="2"/>
          <w:numId w:val="68"/>
        </w:numPr>
        <w:spacing w:after="120" w:line="240" w:lineRule="auto"/>
        <w:ind w:left="1134" w:hanging="283"/>
        <w:jc w:val="both"/>
      </w:pPr>
      <w:r w:rsidRPr="00F14501">
        <w:rPr>
          <w:u w:val="single"/>
        </w:rPr>
        <w:t>Economic viability</w:t>
      </w:r>
      <w:r w:rsidRPr="00F14501">
        <w:t>: How can IPS be deployed in primary and community care settings in a way that minimises cost per job outcome through effective and efficient management of staffing, caseloads, and other operational costs?</w:t>
      </w:r>
    </w:p>
    <w:p w:rsidR="005F0247" w:rsidRDefault="00C80FDA" w:rsidP="0059658C">
      <w:pPr>
        <w:pStyle w:val="ListParagraph"/>
        <w:numPr>
          <w:ilvl w:val="1"/>
          <w:numId w:val="60"/>
        </w:numPr>
        <w:spacing w:after="120" w:line="240" w:lineRule="auto"/>
        <w:ind w:left="709" w:hanging="709"/>
        <w:jc w:val="both"/>
      </w:pPr>
      <w:r>
        <w:t xml:space="preserve">A national evaluator, a consortium led by the Institute for Employment Studies (IES), has been commissioned by DWP on behalf of the Work and Health Unit and NHS England to evaluate both this programme and a parallel programme in the </w:t>
      </w:r>
      <w:r w:rsidR="00307DD4">
        <w:t>West Midlands</w:t>
      </w:r>
      <w:r>
        <w:t>. The evaluator will provide specification for and monitor:</w:t>
      </w:r>
    </w:p>
    <w:p w:rsidR="005F0247" w:rsidRDefault="00C80FDA" w:rsidP="0059658C">
      <w:pPr>
        <w:pStyle w:val="ListParagraph"/>
        <w:numPr>
          <w:ilvl w:val="0"/>
          <w:numId w:val="71"/>
        </w:numPr>
        <w:spacing w:after="120" w:line="240" w:lineRule="auto"/>
        <w:ind w:left="1134" w:hanging="283"/>
        <w:jc w:val="both"/>
      </w:pPr>
      <w:r>
        <w:t>A tool to randomise trial participants into a treatment and control group;</w:t>
      </w:r>
    </w:p>
    <w:p w:rsidR="00DD241E" w:rsidRDefault="00307DD4" w:rsidP="0059658C">
      <w:pPr>
        <w:pStyle w:val="ListParagraph"/>
        <w:numPr>
          <w:ilvl w:val="0"/>
          <w:numId w:val="71"/>
        </w:numPr>
        <w:spacing w:after="120" w:line="240" w:lineRule="auto"/>
        <w:ind w:left="1134" w:hanging="283"/>
        <w:jc w:val="both"/>
      </w:pPr>
      <w:r>
        <w:t>Baseline d</w:t>
      </w:r>
      <w:r w:rsidR="00C80FDA">
        <w:t xml:space="preserve">ata collection </w:t>
      </w:r>
      <w:r>
        <w:t xml:space="preserve">for </w:t>
      </w:r>
      <w:r w:rsidR="00C80FDA">
        <w:t>participants randomised into the control group and</w:t>
      </w:r>
      <w:r>
        <w:t xml:space="preserve"> </w:t>
      </w:r>
      <w:r w:rsidR="003043D8">
        <w:t>baseline core</w:t>
      </w:r>
      <w:r w:rsidR="00C80FDA">
        <w:t xml:space="preserve"> data </w:t>
      </w:r>
      <w:r>
        <w:t>for</w:t>
      </w:r>
      <w:r w:rsidR="00C80FDA">
        <w:t xml:space="preserve"> part</w:t>
      </w:r>
      <w:r w:rsidR="001E068C">
        <w:t xml:space="preserve">icipants in the treatment group. </w:t>
      </w:r>
    </w:p>
    <w:p w:rsidR="001E068C" w:rsidRDefault="001E068C" w:rsidP="0059658C">
      <w:pPr>
        <w:pStyle w:val="ListParagraph"/>
        <w:numPr>
          <w:ilvl w:val="1"/>
          <w:numId w:val="60"/>
        </w:numPr>
        <w:spacing w:after="120" w:line="240" w:lineRule="auto"/>
        <w:jc w:val="both"/>
      </w:pPr>
      <w:r>
        <w:t xml:space="preserve">The evaluator will also conduct the analysis of the data collected and report on findings. </w:t>
      </w:r>
    </w:p>
    <w:p w:rsidR="0064384A" w:rsidRPr="00D20B55" w:rsidRDefault="00654FAC" w:rsidP="0059658C">
      <w:pPr>
        <w:pStyle w:val="ListParagraph"/>
        <w:numPr>
          <w:ilvl w:val="1"/>
          <w:numId w:val="60"/>
        </w:numPr>
        <w:spacing w:after="120" w:line="240" w:lineRule="auto"/>
        <w:jc w:val="both"/>
      </w:pPr>
      <w:r>
        <w:t>P</w:t>
      </w:r>
      <w:r w:rsidR="0064384A" w:rsidRPr="00D20B55">
        <w:t>rovider(s) will be expected to collaborate with the national evaluator, including:</w:t>
      </w:r>
    </w:p>
    <w:p w:rsidR="0064384A" w:rsidRPr="00D20B55" w:rsidRDefault="00B079BA" w:rsidP="0059658C">
      <w:pPr>
        <w:pStyle w:val="ListParagraph"/>
        <w:numPr>
          <w:ilvl w:val="2"/>
          <w:numId w:val="72"/>
        </w:numPr>
        <w:spacing w:after="120" w:line="240" w:lineRule="auto"/>
        <w:ind w:left="1134" w:hanging="425"/>
        <w:jc w:val="both"/>
      </w:pPr>
      <w:r>
        <w:t>p</w:t>
      </w:r>
      <w:r w:rsidR="0064384A" w:rsidRPr="00D20B55">
        <w:t>articipating in a process evaluation;</w:t>
      </w:r>
    </w:p>
    <w:p w:rsidR="0064384A" w:rsidRPr="00D20B55" w:rsidRDefault="00AC7398" w:rsidP="0059658C">
      <w:pPr>
        <w:pStyle w:val="ListParagraph"/>
        <w:numPr>
          <w:ilvl w:val="2"/>
          <w:numId w:val="72"/>
        </w:numPr>
        <w:spacing w:after="120" w:line="240" w:lineRule="auto"/>
        <w:ind w:left="1134" w:hanging="425"/>
        <w:jc w:val="both"/>
      </w:pPr>
      <w:r>
        <w:t>c</w:t>
      </w:r>
      <w:r w:rsidR="0064384A" w:rsidRPr="00D20B55">
        <w:t xml:space="preserve">ollecting </w:t>
      </w:r>
      <w:r>
        <w:t xml:space="preserve">baseline and ongoing management </w:t>
      </w:r>
      <w:r w:rsidR="0064384A" w:rsidRPr="00D20B55">
        <w:t xml:space="preserve">data (full data collection and reporting requirements are set out in </w:t>
      </w:r>
      <w:r w:rsidR="0064384A" w:rsidRPr="001A3543">
        <w:t xml:space="preserve">Section </w:t>
      </w:r>
      <w:r w:rsidR="00B11D1A" w:rsidRPr="001A3543">
        <w:t>2</w:t>
      </w:r>
      <w:r w:rsidR="00561A79">
        <w:t>5</w:t>
      </w:r>
      <w:r w:rsidR="0064384A" w:rsidRPr="00B11D1A">
        <w:t>);</w:t>
      </w:r>
    </w:p>
    <w:p w:rsidR="00DA2F1C" w:rsidRPr="00D20B55" w:rsidRDefault="00AC7398" w:rsidP="0059658C">
      <w:pPr>
        <w:pStyle w:val="ListParagraph"/>
        <w:numPr>
          <w:ilvl w:val="2"/>
          <w:numId w:val="72"/>
        </w:numPr>
        <w:spacing w:after="120" w:line="240" w:lineRule="auto"/>
        <w:ind w:left="1134" w:hanging="425"/>
        <w:jc w:val="both"/>
      </w:pPr>
      <w:r>
        <w:t>c</w:t>
      </w:r>
      <w:r w:rsidR="00DA2F1C" w:rsidRPr="00D20B55">
        <w:t xml:space="preserve">onducting the initial consent and randomisation process, in line with </w:t>
      </w:r>
      <w:r w:rsidR="00307DD4">
        <w:t>guidance and</w:t>
      </w:r>
      <w:r w:rsidR="00307DD4" w:rsidRPr="00D20B55">
        <w:t xml:space="preserve"> </w:t>
      </w:r>
      <w:r w:rsidR="00DA2F1C" w:rsidRPr="00D20B55">
        <w:t>requirements;</w:t>
      </w:r>
    </w:p>
    <w:p w:rsidR="00DA2F1C" w:rsidRPr="00D20B55" w:rsidRDefault="00AC7398" w:rsidP="0059658C">
      <w:pPr>
        <w:pStyle w:val="ListParagraph"/>
        <w:numPr>
          <w:ilvl w:val="2"/>
          <w:numId w:val="72"/>
        </w:numPr>
        <w:spacing w:after="120" w:line="240" w:lineRule="auto"/>
        <w:ind w:left="1134" w:hanging="425"/>
        <w:jc w:val="both"/>
      </w:pPr>
      <w:r>
        <w:t>s</w:t>
      </w:r>
      <w:r w:rsidR="00DA2F1C" w:rsidRPr="00D20B55">
        <w:t>toring consent forms securely, and transferring when required</w:t>
      </w:r>
      <w:r w:rsidR="00B11D1A">
        <w:t>;</w:t>
      </w:r>
    </w:p>
    <w:p w:rsidR="0064384A" w:rsidRDefault="00AC7398" w:rsidP="0059658C">
      <w:pPr>
        <w:pStyle w:val="ListParagraph"/>
        <w:numPr>
          <w:ilvl w:val="2"/>
          <w:numId w:val="72"/>
        </w:numPr>
        <w:spacing w:after="120" w:line="240" w:lineRule="auto"/>
        <w:ind w:left="1134" w:hanging="425"/>
        <w:jc w:val="both"/>
      </w:pPr>
      <w:r>
        <w:t>c</w:t>
      </w:r>
      <w:r w:rsidR="0064384A" w:rsidRPr="00D20B55">
        <w:t>hampioning the trial internally and promoting the importance of the trial and associated requirements (for example, obtaining consent and randomising referrals) to their staff.</w:t>
      </w:r>
    </w:p>
    <w:p w:rsidR="00307DD4" w:rsidRPr="00D20B55" w:rsidRDefault="00307DD4" w:rsidP="0059658C">
      <w:pPr>
        <w:pStyle w:val="ListParagraph"/>
        <w:numPr>
          <w:ilvl w:val="2"/>
          <w:numId w:val="72"/>
        </w:numPr>
        <w:spacing w:after="120" w:line="240" w:lineRule="auto"/>
        <w:ind w:left="1134" w:hanging="425"/>
        <w:jc w:val="both"/>
      </w:pPr>
      <w:r>
        <w:t xml:space="preserve">To provide Management Information on trial progress at a regular interval to be agreed with the </w:t>
      </w:r>
      <w:r w:rsidR="00561A79">
        <w:t xml:space="preserve">Sheffield City Region </w:t>
      </w:r>
      <w:r>
        <w:t>Combined Authority Executive Team.</w:t>
      </w:r>
    </w:p>
    <w:p w:rsidR="00A11CF2" w:rsidRDefault="0064384A" w:rsidP="0059658C">
      <w:pPr>
        <w:pStyle w:val="ListParagraph"/>
        <w:numPr>
          <w:ilvl w:val="1"/>
          <w:numId w:val="60"/>
        </w:numPr>
        <w:spacing w:after="120" w:line="240" w:lineRule="auto"/>
        <w:jc w:val="both"/>
      </w:pPr>
      <w:r w:rsidRPr="00D20B55">
        <w:t xml:space="preserve">It is important to note that the service evaluation </w:t>
      </w:r>
      <w:r w:rsidR="00561A79">
        <w:t xml:space="preserve">by the national evaluation consortia </w:t>
      </w:r>
      <w:r w:rsidRPr="00D20B55">
        <w:t xml:space="preserve">will be treated </w:t>
      </w:r>
      <w:r w:rsidR="00AC7398">
        <w:t xml:space="preserve">distinctly from </w:t>
      </w:r>
      <w:r w:rsidRPr="00D20B55">
        <w:t xml:space="preserve">the </w:t>
      </w:r>
      <w:r w:rsidR="001E068C">
        <w:t xml:space="preserve">monitoring of </w:t>
      </w:r>
      <w:r w:rsidRPr="00D20B55">
        <w:t>service KPIs</w:t>
      </w:r>
      <w:r w:rsidR="00561A79">
        <w:t xml:space="preserve"> and performance management by the SCR</w:t>
      </w:r>
      <w:r w:rsidR="001E068C">
        <w:t>, although some operational data may also be used as part of the evaluation</w:t>
      </w:r>
      <w:r w:rsidRPr="00D20B55">
        <w:t xml:space="preserve">. Please see </w:t>
      </w:r>
      <w:r w:rsidR="001E068C">
        <w:t xml:space="preserve">Section </w:t>
      </w:r>
      <w:r w:rsidR="00B11D1A">
        <w:t>2</w:t>
      </w:r>
      <w:r w:rsidR="00561A79">
        <w:t>5</w:t>
      </w:r>
      <w:r w:rsidR="00B11D1A" w:rsidRPr="00D20B55">
        <w:t xml:space="preserve"> </w:t>
      </w:r>
      <w:r w:rsidRPr="00D20B55">
        <w:t>for more detail</w:t>
      </w:r>
      <w:r w:rsidR="001E068C">
        <w:t xml:space="preserve"> on reporting requirements</w:t>
      </w:r>
      <w:r w:rsidRPr="00D20B55">
        <w:t>.</w:t>
      </w:r>
    </w:p>
    <w:p w:rsidR="00623884" w:rsidRDefault="00166355" w:rsidP="0059658C">
      <w:pPr>
        <w:pStyle w:val="ListParagraph"/>
        <w:numPr>
          <w:ilvl w:val="0"/>
          <w:numId w:val="0"/>
        </w:numPr>
        <w:spacing w:after="120" w:line="240" w:lineRule="auto"/>
        <w:ind w:left="720"/>
        <w:jc w:val="both"/>
      </w:pPr>
      <w:r>
        <w:br/>
      </w:r>
    </w:p>
    <w:p w:rsidR="00623884" w:rsidRDefault="00623884" w:rsidP="0059658C">
      <w:pPr>
        <w:rPr>
          <w:rFonts w:cs="Arial"/>
        </w:rPr>
      </w:pPr>
      <w:r>
        <w:br w:type="page"/>
      </w:r>
    </w:p>
    <w:p w:rsidR="00CF43A4" w:rsidRPr="00166355" w:rsidRDefault="00CF43A4" w:rsidP="0059658C">
      <w:pPr>
        <w:pStyle w:val="ListParagraph"/>
        <w:numPr>
          <w:ilvl w:val="0"/>
          <w:numId w:val="0"/>
        </w:numPr>
        <w:spacing w:after="120" w:line="240" w:lineRule="auto"/>
        <w:ind w:left="720"/>
        <w:jc w:val="both"/>
      </w:pPr>
    </w:p>
    <w:p w:rsidR="00B6348A" w:rsidRPr="00321F1E" w:rsidRDefault="00B6348A" w:rsidP="0059658C">
      <w:pPr>
        <w:pStyle w:val="Title"/>
        <w:spacing w:before="0" w:after="120"/>
      </w:pPr>
      <w:r w:rsidRPr="001A3543">
        <w:t xml:space="preserve">Section C. Outcomes and </w:t>
      </w:r>
      <w:r w:rsidR="00335DAA">
        <w:t>F</w:t>
      </w:r>
      <w:r w:rsidRPr="001A3543">
        <w:t xml:space="preserve">inance </w:t>
      </w:r>
    </w:p>
    <w:p w:rsidR="00B6348A" w:rsidRPr="00D20B55" w:rsidRDefault="00B6348A" w:rsidP="0059658C">
      <w:pPr>
        <w:pStyle w:val="Heading1"/>
        <w:numPr>
          <w:ilvl w:val="0"/>
          <w:numId w:val="60"/>
        </w:numPr>
        <w:spacing w:before="0" w:after="120" w:line="240" w:lineRule="auto"/>
      </w:pPr>
      <w:bookmarkStart w:id="38" w:name="_Toc491351930"/>
      <w:r w:rsidRPr="009419AD">
        <w:t>Timeline</w:t>
      </w:r>
      <w:bookmarkEnd w:id="38"/>
    </w:p>
    <w:p w:rsidR="00B6348A" w:rsidRPr="00D20B55" w:rsidRDefault="00B6348A" w:rsidP="0059658C">
      <w:pPr>
        <w:pStyle w:val="ListParagraph"/>
        <w:numPr>
          <w:ilvl w:val="1"/>
          <w:numId w:val="60"/>
        </w:numPr>
        <w:spacing w:after="120" w:line="240" w:lineRule="auto"/>
        <w:jc w:val="both"/>
      </w:pPr>
      <w:r w:rsidRPr="00D20B55">
        <w:t xml:space="preserve">The programme will be conducted in </w:t>
      </w:r>
      <w:r w:rsidR="00B079BA">
        <w:t>two</w:t>
      </w:r>
      <w:r w:rsidR="00B079BA" w:rsidRPr="00D20B55">
        <w:t xml:space="preserve"> </w:t>
      </w:r>
      <w:r w:rsidRPr="00D20B55">
        <w:t xml:space="preserve">phases. </w:t>
      </w:r>
    </w:p>
    <w:p w:rsidR="00A11CF2" w:rsidRDefault="00B6348A" w:rsidP="0059658C">
      <w:pPr>
        <w:pStyle w:val="ListParagraph"/>
        <w:numPr>
          <w:ilvl w:val="1"/>
          <w:numId w:val="133"/>
        </w:numPr>
        <w:ind w:left="993" w:hanging="284"/>
        <w:jc w:val="both"/>
      </w:pPr>
      <w:r w:rsidRPr="00E7588F">
        <w:rPr>
          <w:b/>
          <w:u w:val="single"/>
        </w:rPr>
        <w:t xml:space="preserve">Phase </w:t>
      </w:r>
      <w:r w:rsidR="00ED4220" w:rsidRPr="00E7588F">
        <w:rPr>
          <w:b/>
          <w:u w:val="single"/>
        </w:rPr>
        <w:t>1</w:t>
      </w:r>
      <w:r w:rsidRPr="00E7588F">
        <w:rPr>
          <w:b/>
          <w:u w:val="single"/>
        </w:rPr>
        <w:t xml:space="preserve"> </w:t>
      </w:r>
      <w:r w:rsidR="00307DD4" w:rsidRPr="00E7588F">
        <w:rPr>
          <w:b/>
          <w:u w:val="single"/>
        </w:rPr>
        <w:t>–</w:t>
      </w:r>
      <w:r w:rsidRPr="00E7588F">
        <w:rPr>
          <w:b/>
          <w:u w:val="single"/>
        </w:rPr>
        <w:t xml:space="preserve"> </w:t>
      </w:r>
      <w:r w:rsidR="00307DD4" w:rsidRPr="00E7588F">
        <w:rPr>
          <w:b/>
          <w:u w:val="single"/>
        </w:rPr>
        <w:t>Referral and Delivery Phase</w:t>
      </w:r>
      <w:r w:rsidRPr="00E7588F">
        <w:rPr>
          <w:b/>
          <w:u w:val="single"/>
        </w:rPr>
        <w:t xml:space="preserve"> (</w:t>
      </w:r>
      <w:r w:rsidR="00E56410">
        <w:rPr>
          <w:b/>
          <w:u w:val="single"/>
        </w:rPr>
        <w:t>December</w:t>
      </w:r>
      <w:r w:rsidRPr="00E7588F">
        <w:rPr>
          <w:b/>
          <w:u w:val="single"/>
        </w:rPr>
        <w:t xml:space="preserve"> 2017 – Mar 2019)</w:t>
      </w:r>
      <w:r w:rsidRPr="00E7588F">
        <w:rPr>
          <w:b/>
        </w:rPr>
        <w:t>:</w:t>
      </w:r>
      <w:r w:rsidRPr="00D20B55">
        <w:t xml:space="preserve"> </w:t>
      </w:r>
      <w:r>
        <w:t xml:space="preserve">During this phase, the </w:t>
      </w:r>
      <w:r w:rsidR="00307DD4">
        <w:t>service will be promoted and relationships developed with referring organisations.  A</w:t>
      </w:r>
      <w:r>
        <w:t>ll individuals will need to be checked for eligibility, provide informed consent, provide baseline data, and then be randomised into either the treatment or control groups.</w:t>
      </w:r>
    </w:p>
    <w:p w:rsidR="00E3556F" w:rsidRDefault="00B6348A" w:rsidP="0059658C">
      <w:pPr>
        <w:pStyle w:val="ListParagraph"/>
        <w:numPr>
          <w:ilvl w:val="1"/>
          <w:numId w:val="133"/>
        </w:numPr>
        <w:ind w:left="993" w:hanging="284"/>
        <w:jc w:val="both"/>
      </w:pPr>
      <w:r w:rsidRPr="00E7588F">
        <w:rPr>
          <w:b/>
          <w:u w:val="single"/>
        </w:rPr>
        <w:t xml:space="preserve">Phase </w:t>
      </w:r>
      <w:r w:rsidR="00ED4220" w:rsidRPr="00E7588F">
        <w:rPr>
          <w:b/>
          <w:u w:val="single"/>
        </w:rPr>
        <w:t>2</w:t>
      </w:r>
      <w:r w:rsidRPr="00E7588F">
        <w:rPr>
          <w:b/>
          <w:u w:val="single"/>
        </w:rPr>
        <w:t xml:space="preserve"> – </w:t>
      </w:r>
      <w:r w:rsidR="00307DD4" w:rsidRPr="00E7588F">
        <w:rPr>
          <w:b/>
          <w:u w:val="single"/>
        </w:rPr>
        <w:t>Delivery</w:t>
      </w:r>
      <w:r w:rsidRPr="00E7588F">
        <w:rPr>
          <w:b/>
          <w:u w:val="single"/>
        </w:rPr>
        <w:t xml:space="preserve"> </w:t>
      </w:r>
      <w:r w:rsidR="00A11CF2">
        <w:rPr>
          <w:b/>
          <w:u w:val="single"/>
        </w:rPr>
        <w:t xml:space="preserve">only </w:t>
      </w:r>
      <w:r w:rsidRPr="00E7588F">
        <w:rPr>
          <w:b/>
          <w:u w:val="single"/>
        </w:rPr>
        <w:t>(</w:t>
      </w:r>
      <w:r w:rsidR="008A4EEC" w:rsidRPr="00E7588F">
        <w:rPr>
          <w:b/>
          <w:u w:val="single"/>
        </w:rPr>
        <w:t>April</w:t>
      </w:r>
      <w:r w:rsidR="009B5E13" w:rsidRPr="00E7588F">
        <w:rPr>
          <w:b/>
          <w:u w:val="single"/>
        </w:rPr>
        <w:t xml:space="preserve"> </w:t>
      </w:r>
      <w:r w:rsidRPr="00E7588F">
        <w:rPr>
          <w:b/>
          <w:u w:val="single"/>
        </w:rPr>
        <w:t>2019 – Mar 2020)</w:t>
      </w:r>
      <w:r w:rsidRPr="00E7588F">
        <w:rPr>
          <w:b/>
        </w:rPr>
        <w:t>:</w:t>
      </w:r>
      <w:r w:rsidRPr="00D20B55">
        <w:t xml:space="preserve"> </w:t>
      </w:r>
      <w:r>
        <w:t>During this phase</w:t>
      </w:r>
      <w:r w:rsidRPr="00D20B55">
        <w:t xml:space="preserve">, </w:t>
      </w:r>
      <w:r>
        <w:t xml:space="preserve">provider(s) will continue </w:t>
      </w:r>
      <w:r w:rsidRPr="00D20B55">
        <w:t xml:space="preserve">to support clients </w:t>
      </w:r>
      <w:r w:rsidR="00B11D1A" w:rsidRPr="00D20B55">
        <w:t>re</w:t>
      </w:r>
      <w:r w:rsidR="00B11D1A">
        <w:t>ferred</w:t>
      </w:r>
      <w:r w:rsidR="00B11D1A" w:rsidRPr="00D20B55">
        <w:t xml:space="preserve"> </w:t>
      </w:r>
      <w:r w:rsidRPr="00D20B55">
        <w:t xml:space="preserve">during </w:t>
      </w:r>
      <w:r>
        <w:t xml:space="preserve">Phase </w:t>
      </w:r>
      <w:r w:rsidR="00307DD4">
        <w:t>1</w:t>
      </w:r>
      <w:r>
        <w:t xml:space="preserve"> who were randomised into the treatment group and are </w:t>
      </w:r>
      <w:r w:rsidR="00307DD4">
        <w:t>continuing to receive modified IPS support</w:t>
      </w:r>
      <w:r>
        <w:t xml:space="preserve">. They should continue receiving IPS for up to </w:t>
      </w:r>
      <w:r w:rsidR="008A4EEC">
        <w:t xml:space="preserve">twelve </w:t>
      </w:r>
      <w:r>
        <w:t>months in the same way as before</w:t>
      </w:r>
      <w:r w:rsidR="005811A2">
        <w:t>.</w:t>
      </w:r>
    </w:p>
    <w:p w:rsidR="00DB5759" w:rsidRPr="00771534" w:rsidRDefault="004A260A" w:rsidP="0059658C">
      <w:pPr>
        <w:pStyle w:val="Heading2"/>
        <w:numPr>
          <w:ilvl w:val="0"/>
          <w:numId w:val="60"/>
        </w:numPr>
        <w:rPr>
          <w:rFonts w:ascii="Arial" w:hAnsi="Arial" w:cs="Arial"/>
          <w:b/>
          <w:color w:val="auto"/>
          <w:sz w:val="22"/>
        </w:rPr>
      </w:pPr>
      <w:bookmarkStart w:id="39" w:name="_Toc482049077"/>
      <w:bookmarkStart w:id="40" w:name="_Toc482049210"/>
      <w:bookmarkStart w:id="41" w:name="_Toc482049079"/>
      <w:bookmarkStart w:id="42" w:name="_Toc482049212"/>
      <w:bookmarkStart w:id="43" w:name="_Toc482049080"/>
      <w:bookmarkStart w:id="44" w:name="_Toc482049213"/>
      <w:bookmarkStart w:id="45" w:name="_Toc482049081"/>
      <w:bookmarkStart w:id="46" w:name="_Toc482049214"/>
      <w:bookmarkStart w:id="47" w:name="_Toc482049082"/>
      <w:bookmarkStart w:id="48" w:name="_Toc482049215"/>
      <w:bookmarkStart w:id="49" w:name="_Toc482049085"/>
      <w:bookmarkStart w:id="50" w:name="_Toc482049218"/>
      <w:bookmarkStart w:id="51" w:name="_Toc482049086"/>
      <w:bookmarkStart w:id="52" w:name="_Toc482049219"/>
      <w:bookmarkStart w:id="53" w:name="_Toc482049149"/>
      <w:bookmarkStart w:id="54" w:name="_Toc482049282"/>
      <w:bookmarkStart w:id="55" w:name="_Toc482049153"/>
      <w:bookmarkStart w:id="56" w:name="_Toc482049286"/>
      <w:bookmarkStart w:id="57" w:name="_Toc482049154"/>
      <w:bookmarkStart w:id="58" w:name="_Toc482049287"/>
      <w:bookmarkStart w:id="59" w:name="_Toc482049155"/>
      <w:bookmarkStart w:id="60" w:name="_Toc482049288"/>
      <w:bookmarkStart w:id="61" w:name="_Toc482049156"/>
      <w:bookmarkStart w:id="62" w:name="_Toc482049289"/>
      <w:bookmarkStart w:id="63" w:name="_Toc482049158"/>
      <w:bookmarkStart w:id="64" w:name="_Toc482049291"/>
      <w:bookmarkStart w:id="65" w:name="_Toc482049159"/>
      <w:bookmarkStart w:id="66" w:name="_Toc482049292"/>
      <w:bookmarkStart w:id="67" w:name="_Toc482049176"/>
      <w:bookmarkStart w:id="68" w:name="_Toc482049309"/>
      <w:bookmarkStart w:id="69" w:name="_Toc482049177"/>
      <w:bookmarkStart w:id="70" w:name="_Toc482049310"/>
      <w:bookmarkStart w:id="71" w:name="_Toc482049178"/>
      <w:bookmarkStart w:id="72" w:name="_Toc482049311"/>
      <w:bookmarkStart w:id="73" w:name="_Toc482049180"/>
      <w:bookmarkStart w:id="74" w:name="_Toc482049313"/>
      <w:bookmarkStart w:id="75" w:name="_Toc482049181"/>
      <w:bookmarkStart w:id="76" w:name="_Toc482049314"/>
      <w:bookmarkStart w:id="77" w:name="_Toc489522270"/>
      <w:bookmarkStart w:id="78" w:name="_Toc491351931"/>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771534">
        <w:rPr>
          <w:rFonts w:ascii="Arial" w:hAnsi="Arial" w:cs="Arial"/>
          <w:b/>
          <w:color w:val="auto"/>
          <w:sz w:val="22"/>
        </w:rPr>
        <w:t>Contract Lots</w:t>
      </w:r>
      <w:bookmarkStart w:id="79" w:name="_Toc489521323"/>
      <w:bookmarkEnd w:id="77"/>
      <w:bookmarkEnd w:id="78"/>
      <w:bookmarkEnd w:id="79"/>
    </w:p>
    <w:p w:rsidR="009B5E13" w:rsidRPr="00E5073E" w:rsidRDefault="00B6348A" w:rsidP="0059658C">
      <w:pPr>
        <w:pStyle w:val="ListParagraph"/>
        <w:numPr>
          <w:ilvl w:val="1"/>
          <w:numId w:val="60"/>
        </w:numPr>
        <w:jc w:val="both"/>
        <w:rPr>
          <w:b/>
        </w:rPr>
      </w:pPr>
      <w:r w:rsidRPr="00E5073E">
        <w:t>The contract will be divided into f</w:t>
      </w:r>
      <w:r w:rsidR="0054544B" w:rsidRPr="00E5073E">
        <w:t>ive</w:t>
      </w:r>
      <w:r w:rsidRPr="00E5073E">
        <w:t xml:space="preserve"> lots</w:t>
      </w:r>
      <w:r w:rsidR="00E0136F" w:rsidRPr="00E5073E">
        <w:t xml:space="preserve"> with an identical service model in each lot</w:t>
      </w:r>
      <w:r w:rsidR="00E56410">
        <w:t xml:space="preserve">. Each lot </w:t>
      </w:r>
      <w:r w:rsidRPr="00E5073E">
        <w:t>represent</w:t>
      </w:r>
      <w:r w:rsidR="00E56410">
        <w:t>s</w:t>
      </w:r>
      <w:r w:rsidRPr="00E5073E">
        <w:t xml:space="preserve"> a separate geographic area</w:t>
      </w:r>
      <w:r w:rsidR="000B60DC" w:rsidRPr="00E5073E">
        <w:t xml:space="preserve"> </w:t>
      </w:r>
      <w:r w:rsidR="00307DD4">
        <w:t>that maps against loc</w:t>
      </w:r>
      <w:r w:rsidR="00E56410">
        <w:t>al authority and CCG boundaries:</w:t>
      </w:r>
    </w:p>
    <w:p w:rsidR="00B6348A" w:rsidRPr="00D20B55" w:rsidRDefault="00B6348A" w:rsidP="0059658C">
      <w:pPr>
        <w:pStyle w:val="ListParagraph"/>
        <w:numPr>
          <w:ilvl w:val="2"/>
          <w:numId w:val="73"/>
        </w:numPr>
        <w:spacing w:after="120" w:line="240" w:lineRule="auto"/>
        <w:ind w:left="1134" w:hanging="283"/>
        <w:jc w:val="both"/>
      </w:pPr>
      <w:r w:rsidRPr="00D20B55">
        <w:t xml:space="preserve">Lot 1: </w:t>
      </w:r>
      <w:r w:rsidR="00575EDC">
        <w:t>Barnsley</w:t>
      </w:r>
    </w:p>
    <w:p w:rsidR="00B6348A" w:rsidRPr="00D20B55" w:rsidRDefault="00B6348A" w:rsidP="0059658C">
      <w:pPr>
        <w:pStyle w:val="ListParagraph"/>
        <w:numPr>
          <w:ilvl w:val="2"/>
          <w:numId w:val="73"/>
        </w:numPr>
        <w:spacing w:after="120" w:line="240" w:lineRule="auto"/>
        <w:ind w:left="1134" w:hanging="283"/>
        <w:jc w:val="both"/>
      </w:pPr>
      <w:r w:rsidRPr="00D20B55">
        <w:t xml:space="preserve">Lot 2: </w:t>
      </w:r>
      <w:r w:rsidR="00575EDC">
        <w:t>Bassetlaw</w:t>
      </w:r>
    </w:p>
    <w:p w:rsidR="00B6348A" w:rsidRPr="00D20B55" w:rsidRDefault="00B6348A" w:rsidP="0059658C">
      <w:pPr>
        <w:pStyle w:val="ListParagraph"/>
        <w:numPr>
          <w:ilvl w:val="2"/>
          <w:numId w:val="73"/>
        </w:numPr>
        <w:spacing w:after="120" w:line="240" w:lineRule="auto"/>
        <w:ind w:left="1134" w:hanging="283"/>
        <w:jc w:val="both"/>
      </w:pPr>
      <w:r w:rsidRPr="00D20B55">
        <w:t xml:space="preserve">Lot 3: </w:t>
      </w:r>
      <w:r w:rsidR="00575EDC">
        <w:t>Doncaster</w:t>
      </w:r>
    </w:p>
    <w:p w:rsidR="00B6348A" w:rsidRDefault="00B6348A" w:rsidP="0059658C">
      <w:pPr>
        <w:pStyle w:val="ListParagraph"/>
        <w:numPr>
          <w:ilvl w:val="2"/>
          <w:numId w:val="73"/>
        </w:numPr>
        <w:spacing w:after="120" w:line="240" w:lineRule="auto"/>
        <w:ind w:left="1134" w:hanging="283"/>
        <w:jc w:val="both"/>
      </w:pPr>
      <w:r w:rsidRPr="00D20B55">
        <w:t xml:space="preserve">Lot 4: </w:t>
      </w:r>
      <w:r w:rsidR="00575EDC">
        <w:t>Rotherham</w:t>
      </w:r>
    </w:p>
    <w:p w:rsidR="00575EDC" w:rsidRPr="00D20B55" w:rsidRDefault="00575EDC" w:rsidP="0059658C">
      <w:pPr>
        <w:pStyle w:val="ListParagraph"/>
        <w:numPr>
          <w:ilvl w:val="2"/>
          <w:numId w:val="73"/>
        </w:numPr>
        <w:spacing w:after="120" w:line="240" w:lineRule="auto"/>
        <w:ind w:left="1134" w:hanging="283"/>
        <w:jc w:val="both"/>
      </w:pPr>
      <w:r>
        <w:t>Lot 5: Sheffield</w:t>
      </w:r>
    </w:p>
    <w:p w:rsidR="0068491E" w:rsidRDefault="0068491E" w:rsidP="0059658C">
      <w:pPr>
        <w:pStyle w:val="ListParagraph"/>
        <w:numPr>
          <w:ilvl w:val="1"/>
          <w:numId w:val="60"/>
        </w:numPr>
        <w:spacing w:after="120" w:line="240" w:lineRule="auto"/>
        <w:jc w:val="both"/>
      </w:pPr>
      <w:r>
        <w:t>Each lot will have service entry and employment targets.  A percentage of the service payment will be linked to the achievement of those targets.</w:t>
      </w:r>
    </w:p>
    <w:p w:rsidR="001C0D75" w:rsidRPr="00D20B55" w:rsidRDefault="00B6348A" w:rsidP="0059658C">
      <w:pPr>
        <w:pStyle w:val="ListParagraph"/>
        <w:numPr>
          <w:ilvl w:val="1"/>
          <w:numId w:val="60"/>
        </w:numPr>
        <w:spacing w:after="120" w:line="240" w:lineRule="auto"/>
        <w:jc w:val="both"/>
      </w:pPr>
      <w:r w:rsidRPr="00D20B55">
        <w:t>Bidders may bid for any combination of lots</w:t>
      </w:r>
      <w:r w:rsidR="008A4EEC">
        <w:t>.</w:t>
      </w:r>
    </w:p>
    <w:p w:rsidR="001C0D75" w:rsidRDefault="00B6348A" w:rsidP="0059658C">
      <w:pPr>
        <w:pStyle w:val="ListParagraph"/>
        <w:numPr>
          <w:ilvl w:val="1"/>
          <w:numId w:val="60"/>
        </w:numPr>
        <w:spacing w:after="120" w:line="240" w:lineRule="auto"/>
        <w:jc w:val="both"/>
      </w:pPr>
      <w:r w:rsidRPr="00D20B55">
        <w:t xml:space="preserve">Bidders may be approved for </w:t>
      </w:r>
      <w:r>
        <w:t>fewer</w:t>
      </w:r>
      <w:r w:rsidRPr="00D20B55">
        <w:t xml:space="preserve"> lots than they bid for.</w:t>
      </w:r>
    </w:p>
    <w:p w:rsidR="001C0D75" w:rsidRPr="00D20B55" w:rsidRDefault="00F6036C" w:rsidP="0059658C">
      <w:pPr>
        <w:pStyle w:val="ListParagraph"/>
        <w:numPr>
          <w:ilvl w:val="1"/>
          <w:numId w:val="60"/>
        </w:numPr>
        <w:spacing w:after="120" w:line="240" w:lineRule="auto"/>
        <w:jc w:val="both"/>
      </w:pPr>
      <w:r>
        <w:t xml:space="preserve">The Contracting Authority may approach contractors </w:t>
      </w:r>
      <w:r w:rsidR="00C86650">
        <w:t>in live service</w:t>
      </w:r>
      <w:r>
        <w:t xml:space="preserve"> to increase cohort size in areas of strong performance, should programme resources permit.</w:t>
      </w:r>
    </w:p>
    <w:p w:rsidR="001C0D75" w:rsidRPr="00F6036C" w:rsidRDefault="00B6348A" w:rsidP="0059658C">
      <w:pPr>
        <w:pStyle w:val="ListParagraph"/>
        <w:numPr>
          <w:ilvl w:val="1"/>
          <w:numId w:val="60"/>
        </w:numPr>
        <w:spacing w:after="120" w:line="240" w:lineRule="auto"/>
        <w:jc w:val="both"/>
      </w:pPr>
      <w:r w:rsidRPr="00F6036C">
        <w:t>Bidders may apply either by themselves or in consortium with others.</w:t>
      </w:r>
    </w:p>
    <w:p w:rsidR="0068491E" w:rsidRPr="00F6036C" w:rsidRDefault="00B6348A" w:rsidP="0059658C">
      <w:pPr>
        <w:pStyle w:val="ListParagraph"/>
        <w:numPr>
          <w:ilvl w:val="1"/>
          <w:numId w:val="60"/>
        </w:numPr>
        <w:spacing w:after="120" w:line="240" w:lineRule="auto"/>
        <w:jc w:val="both"/>
      </w:pPr>
      <w:r w:rsidRPr="00F6036C">
        <w:t>As this service is being run as a trial, it will be critical that services in each area conform to the trial protocol. The central programme team will need to work close</w:t>
      </w:r>
      <w:r w:rsidR="00E20959" w:rsidRPr="00F6036C">
        <w:t>ly</w:t>
      </w:r>
      <w:r w:rsidRPr="00F6036C">
        <w:t xml:space="preserve"> with providers to ensure this is the case, and providers must be willing to collaborate with this team and the national evaluators.</w:t>
      </w:r>
    </w:p>
    <w:p w:rsidR="00B6348A" w:rsidRPr="00F6036C" w:rsidRDefault="00B6348A" w:rsidP="0059658C">
      <w:pPr>
        <w:pStyle w:val="Heading1"/>
        <w:numPr>
          <w:ilvl w:val="0"/>
          <w:numId w:val="60"/>
        </w:numPr>
        <w:spacing w:before="0" w:after="120" w:line="240" w:lineRule="auto"/>
      </w:pPr>
      <w:bookmarkStart w:id="80" w:name="_Toc491351932"/>
      <w:r w:rsidRPr="00F6036C">
        <w:t>Finance</w:t>
      </w:r>
      <w:bookmarkEnd w:id="80"/>
      <w:r w:rsidR="00307DD4">
        <w:t xml:space="preserve"> </w:t>
      </w:r>
    </w:p>
    <w:p w:rsidR="0068491E" w:rsidRPr="0059658C" w:rsidRDefault="0068491E" w:rsidP="0059658C">
      <w:pPr>
        <w:pStyle w:val="ListParagraph"/>
        <w:numPr>
          <w:ilvl w:val="1"/>
          <w:numId w:val="60"/>
        </w:numPr>
        <w:jc w:val="both"/>
      </w:pPr>
      <w:r w:rsidRPr="0059658C">
        <w:t>The total contract value will be up to £</w:t>
      </w:r>
      <w:r w:rsidR="00E65C0A" w:rsidRPr="0059658C">
        <w:t>5.</w:t>
      </w:r>
      <w:r w:rsidR="003B60ED">
        <w:t>3</w:t>
      </w:r>
      <w:r w:rsidR="00E65C0A" w:rsidRPr="0059658C">
        <w:t>m</w:t>
      </w:r>
      <w:r w:rsidRPr="0059658C">
        <w:t xml:space="preserve"> over all lots over the full period of the programme. </w:t>
      </w:r>
    </w:p>
    <w:p w:rsidR="00E956A9" w:rsidRPr="0059658C" w:rsidRDefault="00E956A9" w:rsidP="0059658C">
      <w:pPr>
        <w:pStyle w:val="ListParagraph"/>
        <w:numPr>
          <w:ilvl w:val="1"/>
          <w:numId w:val="60"/>
        </w:numPr>
        <w:spacing w:after="120" w:line="240" w:lineRule="auto"/>
        <w:jc w:val="both"/>
      </w:pPr>
      <w:r w:rsidRPr="0059658C">
        <w:t xml:space="preserve">For each </w:t>
      </w:r>
      <w:r w:rsidR="00D91986" w:rsidRPr="0059658C">
        <w:t xml:space="preserve">of the 3,750 </w:t>
      </w:r>
      <w:r w:rsidRPr="0059658C">
        <w:t>individual</w:t>
      </w:r>
      <w:r w:rsidR="00D91986" w:rsidRPr="0059658C">
        <w:t>s</w:t>
      </w:r>
      <w:r w:rsidRPr="0059658C">
        <w:t xml:space="preserve"> who start on the modified IPS service (i.e. randomised to the treatment arm)</w:t>
      </w:r>
      <w:r w:rsidR="00D91986" w:rsidRPr="0059658C">
        <w:t xml:space="preserve"> </w:t>
      </w:r>
      <w:r w:rsidR="002E3DBC" w:rsidRPr="0059658C">
        <w:t xml:space="preserve">the payments to provider(s) are proposed to be structured into the following elements: </w:t>
      </w:r>
    </w:p>
    <w:p w:rsidR="00E956A9" w:rsidRPr="0059658C" w:rsidRDefault="00166FAA" w:rsidP="0059658C">
      <w:pPr>
        <w:pStyle w:val="ListParagraph"/>
        <w:numPr>
          <w:ilvl w:val="0"/>
          <w:numId w:val="138"/>
        </w:numPr>
        <w:spacing w:after="120" w:line="240" w:lineRule="auto"/>
        <w:jc w:val="both"/>
      </w:pPr>
      <w:r w:rsidRPr="0059658C">
        <w:t>Approx.</w:t>
      </w:r>
      <w:r w:rsidR="00E956A9" w:rsidRPr="0059658C">
        <w:t xml:space="preserve"> 20%</w:t>
      </w:r>
      <w:r w:rsidR="008A3B01" w:rsidRPr="0059658C">
        <w:t xml:space="preserve"> of the total contract value</w:t>
      </w:r>
      <w:r w:rsidR="00E956A9" w:rsidRPr="0059658C">
        <w:t xml:space="preserve"> will be paid as a single block payment in advance to enable the service to be mobilised;</w:t>
      </w:r>
    </w:p>
    <w:p w:rsidR="00E956A9" w:rsidRPr="0059658C" w:rsidRDefault="008A3B01" w:rsidP="0059658C">
      <w:pPr>
        <w:pStyle w:val="ListParagraph"/>
        <w:numPr>
          <w:ilvl w:val="0"/>
          <w:numId w:val="138"/>
        </w:numPr>
        <w:spacing w:after="120" w:line="240" w:lineRule="auto"/>
        <w:jc w:val="both"/>
      </w:pPr>
      <w:r w:rsidRPr="0059658C">
        <w:t>£400</w:t>
      </w:r>
      <w:r w:rsidR="00E65C0A" w:rsidRPr="0059658C">
        <w:t xml:space="preserve"> will be paid </w:t>
      </w:r>
      <w:r w:rsidR="00E956A9" w:rsidRPr="0059658C">
        <w:t xml:space="preserve">on an individual </w:t>
      </w:r>
      <w:r w:rsidR="00C86650" w:rsidRPr="0059658C">
        <w:t xml:space="preserve">participant </w:t>
      </w:r>
      <w:r w:rsidR="00E956A9" w:rsidRPr="0059658C">
        <w:t xml:space="preserve">basis </w:t>
      </w:r>
      <w:r w:rsidR="00CA170D" w:rsidRPr="0059658C">
        <w:t xml:space="preserve">within the first 4 weeks </w:t>
      </w:r>
      <w:r w:rsidR="00C86650" w:rsidRPr="0059658C">
        <w:t>after programme start</w:t>
      </w:r>
      <w:r w:rsidR="00E956A9" w:rsidRPr="0059658C">
        <w:t xml:space="preserve"> on </w:t>
      </w:r>
      <w:r w:rsidR="00C86650" w:rsidRPr="0059658C">
        <w:t xml:space="preserve">timely </w:t>
      </w:r>
      <w:r w:rsidR="00E956A9" w:rsidRPr="0059658C">
        <w:t>evidenced completion of the individual’s signed vocational profiling assessment and action plan document;</w:t>
      </w:r>
    </w:p>
    <w:p w:rsidR="00CA170D" w:rsidRPr="0059658C" w:rsidRDefault="008A3B01" w:rsidP="0059658C">
      <w:pPr>
        <w:pStyle w:val="ListParagraph"/>
        <w:numPr>
          <w:ilvl w:val="0"/>
          <w:numId w:val="138"/>
        </w:numPr>
        <w:spacing w:after="120" w:line="240" w:lineRule="auto"/>
        <w:jc w:val="both"/>
      </w:pPr>
      <w:r w:rsidRPr="0059658C">
        <w:lastRenderedPageBreak/>
        <w:t>£200</w:t>
      </w:r>
      <w:r w:rsidR="00E956A9" w:rsidRPr="0059658C">
        <w:t xml:space="preserve"> will be paid on an individual </w:t>
      </w:r>
      <w:r w:rsidR="00C86650" w:rsidRPr="0059658C">
        <w:t xml:space="preserve">participant </w:t>
      </w:r>
      <w:r w:rsidR="00E956A9" w:rsidRPr="0059658C">
        <w:t xml:space="preserve">basis </w:t>
      </w:r>
      <w:r w:rsidR="00CA170D" w:rsidRPr="0059658C">
        <w:t xml:space="preserve">at the end of month 3 </w:t>
      </w:r>
      <w:r w:rsidR="00C86650" w:rsidRPr="0059658C">
        <w:t>from programme start</w:t>
      </w:r>
      <w:r w:rsidR="00CA170D" w:rsidRPr="0059658C">
        <w:t xml:space="preserve"> on evidenced progress against identified needs in the individual’s action plan (this element is paid to provider</w:t>
      </w:r>
      <w:r w:rsidR="00C86650" w:rsidRPr="0059658C">
        <w:t>(s)</w:t>
      </w:r>
      <w:r w:rsidR="00CA170D" w:rsidRPr="0059658C">
        <w:t xml:space="preserve"> should individuals trigger a job start prior to this </w:t>
      </w:r>
      <w:r w:rsidR="00166FAA" w:rsidRPr="0059658C">
        <w:t>time point</w:t>
      </w:r>
      <w:r w:rsidR="00CA170D" w:rsidRPr="0059658C">
        <w:t>);</w:t>
      </w:r>
    </w:p>
    <w:p w:rsidR="00CA170D" w:rsidRPr="0059658C" w:rsidRDefault="008A3B01" w:rsidP="0059658C">
      <w:pPr>
        <w:pStyle w:val="ListParagraph"/>
        <w:numPr>
          <w:ilvl w:val="0"/>
          <w:numId w:val="138"/>
        </w:numPr>
        <w:spacing w:after="120" w:line="240" w:lineRule="auto"/>
        <w:jc w:val="both"/>
      </w:pPr>
      <w:r w:rsidRPr="0059658C">
        <w:t>£200</w:t>
      </w:r>
      <w:r w:rsidR="00CA170D" w:rsidRPr="0059658C">
        <w:t xml:space="preserve"> will be paid on an individual </w:t>
      </w:r>
      <w:r w:rsidR="00C86650" w:rsidRPr="0059658C">
        <w:t xml:space="preserve">participant </w:t>
      </w:r>
      <w:r w:rsidR="00CA170D" w:rsidRPr="0059658C">
        <w:t xml:space="preserve">basis at the end of month 6 </w:t>
      </w:r>
      <w:r w:rsidR="00C86650" w:rsidRPr="0059658C">
        <w:t>from programme start</w:t>
      </w:r>
      <w:r w:rsidR="00CA170D" w:rsidRPr="0059658C">
        <w:t xml:space="preserve"> on evidenced progress against identified needs in the individual’s action plan (this element is paid to provider</w:t>
      </w:r>
      <w:r w:rsidR="00C86650" w:rsidRPr="0059658C">
        <w:t>(s)</w:t>
      </w:r>
      <w:r w:rsidR="00CA170D" w:rsidRPr="0059658C">
        <w:t xml:space="preserve"> should individuals trigger a job start prior to this </w:t>
      </w:r>
      <w:r w:rsidR="00166FAA" w:rsidRPr="0059658C">
        <w:t>time point</w:t>
      </w:r>
      <w:r w:rsidR="00CA170D" w:rsidRPr="0059658C">
        <w:t>);</w:t>
      </w:r>
    </w:p>
    <w:p w:rsidR="00CA170D" w:rsidRPr="0059658C" w:rsidRDefault="008A3B01" w:rsidP="0059658C">
      <w:pPr>
        <w:pStyle w:val="ListParagraph"/>
        <w:numPr>
          <w:ilvl w:val="0"/>
          <w:numId w:val="138"/>
        </w:numPr>
        <w:spacing w:after="120" w:line="240" w:lineRule="auto"/>
        <w:jc w:val="both"/>
      </w:pPr>
      <w:r w:rsidRPr="0059658C">
        <w:t>£400</w:t>
      </w:r>
      <w:r w:rsidR="00CA170D" w:rsidRPr="0059658C">
        <w:t xml:space="preserve"> will be paid on an individual </w:t>
      </w:r>
      <w:r w:rsidR="00C86650" w:rsidRPr="0059658C">
        <w:t xml:space="preserve">participant </w:t>
      </w:r>
      <w:r w:rsidR="00CA170D" w:rsidRPr="0059658C">
        <w:t xml:space="preserve">basis </w:t>
      </w:r>
      <w:r w:rsidR="00C86650" w:rsidRPr="0059658C">
        <w:t>for successful ‘job start’ / ‘job return’ / ‘job retention’</w:t>
      </w:r>
      <w:r w:rsidR="003043D8" w:rsidRPr="0059658C">
        <w:t xml:space="preserve"> </w:t>
      </w:r>
      <w:r w:rsidR="00CA170D" w:rsidRPr="0059658C">
        <w:t>(defined below);</w:t>
      </w:r>
    </w:p>
    <w:p w:rsidR="00195405" w:rsidRPr="0059658C" w:rsidRDefault="008A3B01" w:rsidP="0059658C">
      <w:pPr>
        <w:pStyle w:val="ListParagraph"/>
        <w:numPr>
          <w:ilvl w:val="0"/>
          <w:numId w:val="138"/>
        </w:numPr>
        <w:spacing w:after="120" w:line="240" w:lineRule="auto"/>
        <w:jc w:val="both"/>
      </w:pPr>
      <w:r w:rsidRPr="0059658C">
        <w:t>£500</w:t>
      </w:r>
      <w:r w:rsidR="00CA170D" w:rsidRPr="0059658C">
        <w:t xml:space="preserve"> will be paid on an individual </w:t>
      </w:r>
      <w:r w:rsidR="00C86650" w:rsidRPr="0059658C">
        <w:t xml:space="preserve">participant </w:t>
      </w:r>
      <w:r w:rsidR="00CA170D" w:rsidRPr="0059658C">
        <w:t xml:space="preserve">basis </w:t>
      </w:r>
      <w:r w:rsidR="00C86650" w:rsidRPr="0059658C">
        <w:t>for successful</w:t>
      </w:r>
      <w:r w:rsidR="00CA170D" w:rsidRPr="0059658C">
        <w:t xml:space="preserve"> ‘job sustainment’ (defined below).</w:t>
      </w:r>
    </w:p>
    <w:p w:rsidR="00166355" w:rsidRPr="0059658C" w:rsidRDefault="00166355" w:rsidP="0059658C">
      <w:pPr>
        <w:pStyle w:val="ListParagraph"/>
        <w:numPr>
          <w:ilvl w:val="1"/>
          <w:numId w:val="60"/>
        </w:numPr>
        <w:spacing w:after="120" w:line="240" w:lineRule="auto"/>
        <w:jc w:val="both"/>
      </w:pPr>
      <w:r w:rsidRPr="0059658C">
        <w:t>Definitions:</w:t>
      </w:r>
    </w:p>
    <w:p w:rsidR="00166355" w:rsidRPr="0059658C" w:rsidRDefault="00166355" w:rsidP="0059658C">
      <w:pPr>
        <w:pStyle w:val="ListParagraph"/>
        <w:numPr>
          <w:ilvl w:val="0"/>
          <w:numId w:val="135"/>
        </w:numPr>
        <w:spacing w:after="120" w:line="240" w:lineRule="auto"/>
        <w:ind w:left="993" w:hanging="284"/>
        <w:jc w:val="both"/>
      </w:pPr>
      <w:r w:rsidRPr="0059658C">
        <w:rPr>
          <w:b/>
        </w:rPr>
        <w:t>Programme start</w:t>
      </w:r>
      <w:r w:rsidRPr="0059658C">
        <w:t xml:space="preserve">: this is counted at the first client meeting with their </w:t>
      </w:r>
      <w:r w:rsidR="00C86650" w:rsidRPr="0059658C">
        <w:t xml:space="preserve">IPS </w:t>
      </w:r>
      <w:r w:rsidRPr="0059658C">
        <w:t>Employmen</w:t>
      </w:r>
      <w:r w:rsidR="00CA170D" w:rsidRPr="0059658C">
        <w:t>t Specialist post randomisation;</w:t>
      </w:r>
    </w:p>
    <w:p w:rsidR="00C248AD" w:rsidRPr="0059658C" w:rsidRDefault="00CA170D" w:rsidP="0059658C">
      <w:pPr>
        <w:pStyle w:val="ListParagraph"/>
        <w:numPr>
          <w:ilvl w:val="0"/>
          <w:numId w:val="135"/>
        </w:numPr>
        <w:spacing w:after="120" w:line="240" w:lineRule="auto"/>
        <w:ind w:left="993" w:hanging="284"/>
        <w:jc w:val="both"/>
      </w:pPr>
      <w:r w:rsidRPr="0059658C">
        <w:rPr>
          <w:b/>
        </w:rPr>
        <w:t>‘</w:t>
      </w:r>
      <w:r w:rsidR="00166355" w:rsidRPr="0059658C">
        <w:rPr>
          <w:b/>
        </w:rPr>
        <w:t>Job start</w:t>
      </w:r>
      <w:r w:rsidRPr="0059658C">
        <w:rPr>
          <w:b/>
        </w:rPr>
        <w:t>’</w:t>
      </w:r>
      <w:r w:rsidR="00C86650" w:rsidRPr="0059658C">
        <w:rPr>
          <w:b/>
        </w:rPr>
        <w:t xml:space="preserve"> / ‘job return’ / ‘job retention’</w:t>
      </w:r>
      <w:r w:rsidR="00166355" w:rsidRPr="0059658C">
        <w:t xml:space="preserve">: </w:t>
      </w:r>
    </w:p>
    <w:p w:rsidR="00C248AD" w:rsidRPr="0059658C" w:rsidRDefault="00C248AD" w:rsidP="0059658C">
      <w:pPr>
        <w:pStyle w:val="ListParagraph"/>
        <w:numPr>
          <w:ilvl w:val="1"/>
          <w:numId w:val="135"/>
        </w:numPr>
        <w:spacing w:after="120" w:line="240" w:lineRule="auto"/>
        <w:ind w:left="1276" w:hanging="142"/>
        <w:jc w:val="both"/>
      </w:pPr>
      <w:r w:rsidRPr="0059658C">
        <w:t>For individuals who are out-of-work at the point of baseline data collection, a ‘job start’ is the relevant outcome at this point and this is defined as achieving</w:t>
      </w:r>
      <w:r w:rsidR="00166355" w:rsidRPr="0059658C">
        <w:t xml:space="preserve"> 7 hours of paid work in a single week</w:t>
      </w:r>
      <w:r w:rsidR="00CA170D" w:rsidRPr="0059658C">
        <w:t xml:space="preserve"> following </w:t>
      </w:r>
      <w:r w:rsidR="00170A94" w:rsidRPr="0059658C">
        <w:t>‘</w:t>
      </w:r>
      <w:r w:rsidR="00CA170D" w:rsidRPr="0059658C">
        <w:t>programme start</w:t>
      </w:r>
      <w:r w:rsidR="00170A94" w:rsidRPr="0059658C">
        <w:t>’</w:t>
      </w:r>
      <w:r w:rsidRPr="0059658C">
        <w:t>;</w:t>
      </w:r>
    </w:p>
    <w:p w:rsidR="00C248AD" w:rsidRPr="0059658C" w:rsidRDefault="00C248AD" w:rsidP="0059658C">
      <w:pPr>
        <w:pStyle w:val="ListParagraph"/>
        <w:numPr>
          <w:ilvl w:val="1"/>
          <w:numId w:val="135"/>
        </w:numPr>
        <w:spacing w:after="120" w:line="240" w:lineRule="auto"/>
        <w:ind w:left="1276" w:hanging="142"/>
        <w:jc w:val="both"/>
      </w:pPr>
      <w:r w:rsidRPr="0059658C">
        <w:t xml:space="preserve">For individuals who are in-work but off-sick at the point of baseline data collection, a ‘job return’ is the relevant outcome at this point and this is defined as achieving 7 hours of paid work in a single week following </w:t>
      </w:r>
      <w:r w:rsidR="00170A94" w:rsidRPr="0059658C">
        <w:t>‘</w:t>
      </w:r>
      <w:r w:rsidRPr="0059658C">
        <w:t>programme start</w:t>
      </w:r>
      <w:r w:rsidR="00170A94" w:rsidRPr="0059658C">
        <w:t>’</w:t>
      </w:r>
      <w:r w:rsidRPr="0059658C">
        <w:t>;</w:t>
      </w:r>
    </w:p>
    <w:p w:rsidR="00166355" w:rsidRPr="0059658C" w:rsidRDefault="00C248AD" w:rsidP="0059658C">
      <w:pPr>
        <w:pStyle w:val="ListParagraph"/>
        <w:numPr>
          <w:ilvl w:val="1"/>
          <w:numId w:val="135"/>
        </w:numPr>
        <w:spacing w:after="120" w:line="240" w:lineRule="auto"/>
        <w:ind w:left="1276" w:hanging="142"/>
        <w:jc w:val="both"/>
      </w:pPr>
      <w:r w:rsidRPr="0059658C">
        <w:t>For individuals who are in-work but struggling in the workplace due to their health condition at the point of baseline data collection, ‘job retention’ is the relevant outcome at this point</w:t>
      </w:r>
      <w:r w:rsidR="00CC1716" w:rsidRPr="0059658C">
        <w:t>. T</w:t>
      </w:r>
      <w:r w:rsidRPr="0059658C">
        <w:t xml:space="preserve">his is defined as maintaining at least the same amount of weekly </w:t>
      </w:r>
      <w:r w:rsidR="00D61F7B" w:rsidRPr="0059658C">
        <w:t>hours in paid employment as at the point of baseline data collection</w:t>
      </w:r>
      <w:r w:rsidR="00CC1716" w:rsidRPr="0059658C">
        <w:t xml:space="preserve"> for </w:t>
      </w:r>
      <w:r w:rsidR="00170A94" w:rsidRPr="0059658C">
        <w:t xml:space="preserve">over 12 weeks in a </w:t>
      </w:r>
      <w:r w:rsidR="00E82717" w:rsidRPr="0059658C">
        <w:t>16-week</w:t>
      </w:r>
      <w:r w:rsidR="00170A94" w:rsidRPr="0059658C">
        <w:t xml:space="preserve"> period counted from ‘programme start’.</w:t>
      </w:r>
      <w:r w:rsidR="00D61F7B" w:rsidRPr="0059658C">
        <w:t xml:space="preserve"> </w:t>
      </w:r>
    </w:p>
    <w:p w:rsidR="00CC1716" w:rsidRPr="0059658C" w:rsidRDefault="00D91986" w:rsidP="0059658C">
      <w:pPr>
        <w:pStyle w:val="ListParagraph"/>
        <w:numPr>
          <w:ilvl w:val="0"/>
          <w:numId w:val="135"/>
        </w:numPr>
        <w:spacing w:after="120" w:line="240" w:lineRule="auto"/>
        <w:ind w:left="993" w:hanging="284"/>
        <w:jc w:val="both"/>
      </w:pPr>
      <w:r w:rsidRPr="0059658C">
        <w:rPr>
          <w:b/>
        </w:rPr>
        <w:t>‘Job sustainment’</w:t>
      </w:r>
      <w:r w:rsidR="00166355" w:rsidRPr="0059658C">
        <w:t xml:space="preserve">: </w:t>
      </w:r>
    </w:p>
    <w:p w:rsidR="003E3008" w:rsidRPr="0059658C" w:rsidRDefault="00CC1716" w:rsidP="0059658C">
      <w:pPr>
        <w:pStyle w:val="ListParagraph"/>
        <w:numPr>
          <w:ilvl w:val="1"/>
          <w:numId w:val="135"/>
        </w:numPr>
        <w:spacing w:after="120" w:line="240" w:lineRule="auto"/>
        <w:ind w:left="1276" w:hanging="142"/>
        <w:jc w:val="both"/>
      </w:pPr>
      <w:r w:rsidRPr="0059658C">
        <w:t xml:space="preserve">For individuals who are </w:t>
      </w:r>
      <w:r w:rsidR="009343F2" w:rsidRPr="0059658C">
        <w:t xml:space="preserve">either </w:t>
      </w:r>
      <w:r w:rsidRPr="0059658C">
        <w:t xml:space="preserve">out-of-work or who are in-work but off-sick at the point of baseline data collection, ‘job sustainment’ is defined as </w:t>
      </w:r>
      <w:r w:rsidR="00166355" w:rsidRPr="0059658C">
        <w:t xml:space="preserve">above 7 hours paid work in a single week for over </w:t>
      </w:r>
      <w:r w:rsidR="00397D74" w:rsidRPr="0059658C">
        <w:t>12</w:t>
      </w:r>
      <w:r w:rsidR="00166355" w:rsidRPr="0059658C">
        <w:t xml:space="preserve"> weeks in a </w:t>
      </w:r>
      <w:r w:rsidR="00166FAA" w:rsidRPr="0059658C">
        <w:t>16-week</w:t>
      </w:r>
      <w:r w:rsidR="00166355" w:rsidRPr="0059658C">
        <w:t xml:space="preserve"> period counted from the</w:t>
      </w:r>
      <w:r w:rsidRPr="0059658C">
        <w:t xml:space="preserve"> </w:t>
      </w:r>
      <w:r w:rsidR="00C86650" w:rsidRPr="0059658C">
        <w:t>‘</w:t>
      </w:r>
      <w:r w:rsidR="00166355" w:rsidRPr="0059658C">
        <w:t>job start</w:t>
      </w:r>
      <w:r w:rsidR="00C86650" w:rsidRPr="0059658C">
        <w:t>’</w:t>
      </w:r>
      <w:r w:rsidRPr="0059658C">
        <w:t xml:space="preserve"> / ‘job return’ </w:t>
      </w:r>
      <w:r w:rsidR="00CA406A" w:rsidRPr="0059658C">
        <w:t>date</w:t>
      </w:r>
      <w:r w:rsidRPr="0059658C">
        <w:t xml:space="preserve"> (as applicable);</w:t>
      </w:r>
    </w:p>
    <w:p w:rsidR="00CA406A" w:rsidRPr="0059658C" w:rsidRDefault="00CA406A" w:rsidP="0059658C">
      <w:pPr>
        <w:pStyle w:val="ListParagraph"/>
        <w:numPr>
          <w:ilvl w:val="1"/>
          <w:numId w:val="135"/>
        </w:numPr>
        <w:spacing w:after="120" w:line="240" w:lineRule="auto"/>
        <w:ind w:left="1276" w:hanging="142"/>
        <w:jc w:val="both"/>
      </w:pPr>
      <w:r w:rsidRPr="0059658C">
        <w:t xml:space="preserve">For individuals who are in-work but struggling in the workplace due to their health condition at the point of baseline data collection, ‘job sustainment’ is defined as </w:t>
      </w:r>
      <w:r w:rsidR="00164311" w:rsidRPr="0059658C">
        <w:t>maintaining at least the same amount of weekly hours in paid employment as at the point of baseline data collection for over 12 weeks in a 16 week period counted from the ‘job retention’ date</w:t>
      </w:r>
      <w:r w:rsidR="007A1895" w:rsidRPr="0059658C">
        <w:t>.</w:t>
      </w:r>
    </w:p>
    <w:p w:rsidR="00226C2E" w:rsidRPr="0059658C" w:rsidRDefault="00226C2E" w:rsidP="0059658C">
      <w:pPr>
        <w:pStyle w:val="ListParagraph"/>
        <w:numPr>
          <w:ilvl w:val="1"/>
          <w:numId w:val="60"/>
        </w:numPr>
        <w:spacing w:after="120" w:line="240" w:lineRule="auto"/>
        <w:jc w:val="both"/>
      </w:pPr>
      <w:r w:rsidRPr="0059658C">
        <w:t xml:space="preserve">Providers that consistently under-perform targets may be subject to a Contract Performance Notice and, ultimately, contract termination in accordance with NHS Standard Contract terms and conditions. </w:t>
      </w:r>
    </w:p>
    <w:p w:rsidR="00166355" w:rsidRPr="0059658C" w:rsidRDefault="00166355" w:rsidP="0059658C">
      <w:pPr>
        <w:pStyle w:val="ListParagraph"/>
        <w:numPr>
          <w:ilvl w:val="1"/>
          <w:numId w:val="60"/>
        </w:numPr>
        <w:spacing w:after="120" w:line="240" w:lineRule="auto"/>
        <w:jc w:val="both"/>
      </w:pPr>
      <w:r w:rsidRPr="0059658C">
        <w:t>The Accountable Body may agree to increase cohort volumes based on strong contract Performance in line with contract terms and conditions.</w:t>
      </w:r>
    </w:p>
    <w:p w:rsidR="00955E78" w:rsidRPr="0059658C" w:rsidRDefault="00955E78" w:rsidP="0059658C">
      <w:pPr>
        <w:pStyle w:val="ListParagraph"/>
        <w:numPr>
          <w:ilvl w:val="1"/>
          <w:numId w:val="60"/>
        </w:numPr>
        <w:spacing w:after="120" w:line="240" w:lineRule="auto"/>
        <w:jc w:val="both"/>
      </w:pPr>
      <w:r w:rsidRPr="0059658C">
        <w:rPr>
          <w:iCs/>
        </w:rPr>
        <w:t>Bidders are advised to assure themselves of how VAT rules apply to their organisation in the provision of this type of service.</w:t>
      </w:r>
    </w:p>
    <w:p w:rsidR="00D91986" w:rsidRPr="0059658C" w:rsidRDefault="00D91986" w:rsidP="0059658C">
      <w:pPr>
        <w:pStyle w:val="ListParagraph"/>
        <w:numPr>
          <w:ilvl w:val="1"/>
          <w:numId w:val="60"/>
        </w:numPr>
        <w:spacing w:after="120" w:line="240" w:lineRule="auto"/>
        <w:jc w:val="both"/>
      </w:pPr>
      <w:r w:rsidRPr="0059658C">
        <w:t>Payments will be made quarterly in arrears, with the exception of the initial block mobilisation payment which is paid in advance.</w:t>
      </w:r>
    </w:p>
    <w:p w:rsidR="00E82717" w:rsidRPr="0059658C" w:rsidRDefault="00E82717" w:rsidP="0059658C">
      <w:pPr>
        <w:rPr>
          <w:rFonts w:cs="Arial"/>
        </w:rPr>
      </w:pPr>
      <w:r w:rsidRPr="0059658C">
        <w:br w:type="page"/>
      </w:r>
    </w:p>
    <w:p w:rsidR="00E82717" w:rsidRPr="0059658C" w:rsidRDefault="00E82717" w:rsidP="0059658C">
      <w:pPr>
        <w:pStyle w:val="ListParagraph"/>
        <w:numPr>
          <w:ilvl w:val="0"/>
          <w:numId w:val="0"/>
        </w:numPr>
        <w:spacing w:after="120" w:line="240" w:lineRule="auto"/>
        <w:ind w:left="720"/>
        <w:jc w:val="both"/>
      </w:pPr>
    </w:p>
    <w:p w:rsidR="00B6348A" w:rsidRPr="0059658C" w:rsidRDefault="00B6348A" w:rsidP="0059658C">
      <w:pPr>
        <w:pStyle w:val="Heading1"/>
        <w:numPr>
          <w:ilvl w:val="0"/>
          <w:numId w:val="60"/>
        </w:numPr>
        <w:spacing w:before="0" w:after="120" w:line="240" w:lineRule="auto"/>
        <w:jc w:val="both"/>
      </w:pPr>
      <w:bookmarkStart w:id="81" w:name="_Toc491351933"/>
      <w:r w:rsidRPr="0059658C">
        <w:t>Target outcomes</w:t>
      </w:r>
      <w:r w:rsidR="00335DAA" w:rsidRPr="0059658C">
        <w:t xml:space="preserve"> and referral</w:t>
      </w:r>
      <w:r w:rsidR="00376086" w:rsidRPr="0059658C">
        <w:t xml:space="preserve"> numbers</w:t>
      </w:r>
      <w:bookmarkEnd w:id="81"/>
    </w:p>
    <w:p w:rsidR="00B6348A" w:rsidRPr="0059658C" w:rsidRDefault="00B6348A" w:rsidP="0059658C">
      <w:pPr>
        <w:pStyle w:val="ListParagraph"/>
        <w:numPr>
          <w:ilvl w:val="1"/>
          <w:numId w:val="60"/>
        </w:numPr>
        <w:spacing w:after="120" w:line="240" w:lineRule="auto"/>
        <w:jc w:val="both"/>
      </w:pPr>
      <w:r w:rsidRPr="0059658C">
        <w:t xml:space="preserve">From </w:t>
      </w:r>
      <w:r w:rsidR="00E56410" w:rsidRPr="0059658C">
        <w:t>December</w:t>
      </w:r>
      <w:r w:rsidRPr="0059658C">
        <w:t xml:space="preserve"> 2017 to March 2019, </w:t>
      </w:r>
      <w:r w:rsidR="00FB6E2B" w:rsidRPr="0059658C">
        <w:t xml:space="preserve">we expect </w:t>
      </w:r>
      <w:r w:rsidRPr="0059658C">
        <w:t>services</w:t>
      </w:r>
      <w:r w:rsidR="00F91191" w:rsidRPr="0059658C">
        <w:t xml:space="preserve"> target </w:t>
      </w:r>
      <w:r w:rsidR="00D228F1" w:rsidRPr="0059658C">
        <w:t xml:space="preserve">around </w:t>
      </w:r>
      <w:r w:rsidR="00A11CF2" w:rsidRPr="0059658C">
        <w:t>7500 starts</w:t>
      </w:r>
      <w:r w:rsidR="00F9136D" w:rsidRPr="0059658C">
        <w:t xml:space="preserve"> (3750 on the IPS service, 3750 randomised to the control arm)</w:t>
      </w:r>
      <w:r w:rsidR="00FB6E2B" w:rsidRPr="0059658C">
        <w:t xml:space="preserve">. </w:t>
      </w:r>
      <w:r w:rsidR="00015555" w:rsidRPr="0059658C">
        <w:t xml:space="preserve">Given the drop-out between </w:t>
      </w:r>
      <w:r w:rsidR="00A11CF2" w:rsidRPr="0059658C">
        <w:t>start</w:t>
      </w:r>
      <w:r w:rsidR="00F9136D" w:rsidRPr="0059658C">
        <w:t xml:space="preserve"> and completion</w:t>
      </w:r>
      <w:r w:rsidR="00015555" w:rsidRPr="0059658C">
        <w:t xml:space="preserve"> we expect </w:t>
      </w:r>
      <w:r w:rsidR="00F6036C" w:rsidRPr="0059658C">
        <w:t>6</w:t>
      </w:r>
      <w:r w:rsidR="00575EDC" w:rsidRPr="0059658C">
        <w:t>,000</w:t>
      </w:r>
      <w:r w:rsidR="00FB6E2B" w:rsidRPr="0059658C">
        <w:t xml:space="preserve"> people</w:t>
      </w:r>
      <w:r w:rsidR="00526290" w:rsidRPr="0059658C">
        <w:t xml:space="preserve"> will complete the </w:t>
      </w:r>
      <w:r w:rsidR="00FB6E2B" w:rsidRPr="0059658C">
        <w:t>trial</w:t>
      </w:r>
      <w:r w:rsidR="00F9136D" w:rsidRPr="0059658C">
        <w:t xml:space="preserve"> (i.e. 3000 will complete the modified IPS service).</w:t>
      </w:r>
      <w:r w:rsidR="00FB6E2B" w:rsidRPr="0059658C">
        <w:t xml:space="preserve"> </w:t>
      </w:r>
    </w:p>
    <w:p w:rsidR="00B6348A" w:rsidRPr="00F14501" w:rsidRDefault="00B6348A" w:rsidP="0059658C">
      <w:pPr>
        <w:pStyle w:val="ListParagraph"/>
        <w:numPr>
          <w:ilvl w:val="1"/>
          <w:numId w:val="60"/>
        </w:numPr>
        <w:spacing w:after="120" w:line="240" w:lineRule="auto"/>
        <w:jc w:val="both"/>
      </w:pPr>
      <w:r w:rsidRPr="0059658C">
        <w:t>50% of these individuals will be randomised i</w:t>
      </w:r>
      <w:r w:rsidR="00015555" w:rsidRPr="0059658C">
        <w:t>nt</w:t>
      </w:r>
      <w:r w:rsidR="00575EDC" w:rsidRPr="0059658C">
        <w:t xml:space="preserve">o the control group and 50% </w:t>
      </w:r>
      <w:r w:rsidRPr="0059658C">
        <w:t xml:space="preserve">will be randomised into the treatment group and will go on to receive </w:t>
      </w:r>
      <w:r w:rsidR="00526290" w:rsidRPr="0059658C">
        <w:t xml:space="preserve">modified </w:t>
      </w:r>
      <w:r w:rsidRPr="0059658C">
        <w:t xml:space="preserve">IPS. </w:t>
      </w:r>
      <w:r w:rsidR="005811A2" w:rsidRPr="0059658C">
        <w:t xml:space="preserve"> </w:t>
      </w:r>
      <w:r w:rsidR="00F9136D" w:rsidRPr="0059658C">
        <w:t>7500 starts</w:t>
      </w:r>
      <w:r w:rsidR="00015555" w:rsidRPr="0059658C">
        <w:t xml:space="preserve"> </w:t>
      </w:r>
      <w:r w:rsidR="00F9136D" w:rsidRPr="0059658C">
        <w:t xml:space="preserve">(3750 on the IPS service, 3750 randomised to the control arm) </w:t>
      </w:r>
      <w:r w:rsidR="00015555" w:rsidRPr="0059658C">
        <w:t>is the target number for the</w:t>
      </w:r>
      <w:r w:rsidR="00015555" w:rsidRPr="00F14501">
        <w:t xml:space="preserve"> trial</w:t>
      </w:r>
      <w:r w:rsidR="0006235B" w:rsidRPr="00F14501">
        <w:t xml:space="preserve"> in order</w:t>
      </w:r>
      <w:r w:rsidR="00015555" w:rsidRPr="00F14501">
        <w:t xml:space="preserve"> to provide the evaluator with a sufficient sample from which they can draw robust conclusions. </w:t>
      </w:r>
      <w:r w:rsidR="00771534">
        <w:t xml:space="preserve"> The maximum length of time an individual will receive the service will be 12 months.</w:t>
      </w:r>
    </w:p>
    <w:p w:rsidR="00226C2E" w:rsidRDefault="00B86D8B" w:rsidP="0059658C">
      <w:pPr>
        <w:numPr>
          <w:ilvl w:val="1"/>
          <w:numId w:val="60"/>
        </w:numPr>
        <w:spacing w:after="120" w:line="240" w:lineRule="auto"/>
        <w:jc w:val="both"/>
      </w:pPr>
      <w:r w:rsidRPr="00F14501">
        <w:t xml:space="preserve">Each of the lots will </w:t>
      </w:r>
      <w:r w:rsidR="00F9136D">
        <w:t xml:space="preserve">be expected to </w:t>
      </w:r>
      <w:r w:rsidRPr="00F14501">
        <w:t>require a different number of referrals</w:t>
      </w:r>
      <w:r w:rsidR="00F9136D">
        <w:t xml:space="preserve"> and starts</w:t>
      </w:r>
      <w:r w:rsidRPr="00F14501">
        <w:t>.</w:t>
      </w:r>
      <w:r w:rsidR="00F9136D">
        <w:t xml:space="preserve"> This is shown in F</w:t>
      </w:r>
      <w:r w:rsidR="0064585D" w:rsidRPr="00F14501">
        <w:t xml:space="preserve">igure </w:t>
      </w:r>
      <w:r w:rsidR="00F9136D">
        <w:t>5</w:t>
      </w:r>
      <w:r w:rsidR="0006235B" w:rsidRPr="00F14501">
        <w:t xml:space="preserve"> </w:t>
      </w:r>
      <w:r w:rsidR="0064585D" w:rsidRPr="00F14501">
        <w:t xml:space="preserve">below. </w:t>
      </w:r>
    </w:p>
    <w:p w:rsidR="00785CEE" w:rsidRPr="00226C2E" w:rsidRDefault="00B86D8B" w:rsidP="0059658C">
      <w:pPr>
        <w:spacing w:after="120" w:line="240" w:lineRule="auto"/>
        <w:ind w:left="720"/>
        <w:jc w:val="both"/>
      </w:pPr>
      <w:r w:rsidRPr="00226C2E">
        <w:rPr>
          <w:i/>
        </w:rPr>
        <w:t xml:space="preserve">Fig </w:t>
      </w:r>
      <w:r w:rsidR="00166355" w:rsidRPr="00226C2E">
        <w:rPr>
          <w:i/>
        </w:rPr>
        <w:t>5</w:t>
      </w:r>
      <w:r w:rsidR="00CF43A4" w:rsidRPr="00226C2E">
        <w:rPr>
          <w:i/>
        </w:rPr>
        <w:t>.</w:t>
      </w:r>
      <w:r w:rsidRPr="00226C2E">
        <w:rPr>
          <w:i/>
        </w:rPr>
        <w:t xml:space="preserve"> Expected</w:t>
      </w:r>
      <w:r w:rsidR="00F91191" w:rsidRPr="00226C2E">
        <w:rPr>
          <w:i/>
        </w:rPr>
        <w:t xml:space="preserve"> start</w:t>
      </w:r>
      <w:r w:rsidRPr="00226C2E">
        <w:rPr>
          <w:i/>
        </w:rPr>
        <w:t xml:space="preserve"> volumes</w:t>
      </w:r>
    </w:p>
    <w:p w:rsidR="008A4EEC" w:rsidRDefault="00A11CF2" w:rsidP="0059658C">
      <w:pPr>
        <w:spacing w:after="120" w:line="240" w:lineRule="auto"/>
        <w:ind w:left="680"/>
        <w:jc w:val="both"/>
        <w:rPr>
          <w:highlight w:val="yellow"/>
        </w:rPr>
      </w:pPr>
      <w:r>
        <w:rPr>
          <w:noProof/>
          <w:lang w:eastAsia="en-GB"/>
        </w:rPr>
        <w:drawing>
          <wp:inline distT="0" distB="0" distL="0" distR="0" wp14:anchorId="46C945E2" wp14:editId="39C60051">
            <wp:extent cx="3302746" cy="21812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ervice starts.PNG"/>
                    <pic:cNvPicPr/>
                  </pic:nvPicPr>
                  <pic:blipFill>
                    <a:blip r:embed="rId18">
                      <a:extLst>
                        <a:ext uri="{28A0092B-C50C-407E-A947-70E740481C1C}">
                          <a14:useLocalDpi xmlns:a14="http://schemas.microsoft.com/office/drawing/2010/main" val="0"/>
                        </a:ext>
                      </a:extLst>
                    </a:blip>
                    <a:stretch>
                      <a:fillRect/>
                    </a:stretch>
                  </pic:blipFill>
                  <pic:spPr>
                    <a:xfrm>
                      <a:off x="0" y="0"/>
                      <a:ext cx="3324215" cy="2195404"/>
                    </a:xfrm>
                    <a:prstGeom prst="rect">
                      <a:avLst/>
                    </a:prstGeom>
                  </pic:spPr>
                </pic:pic>
              </a:graphicData>
            </a:graphic>
          </wp:inline>
        </w:drawing>
      </w:r>
    </w:p>
    <w:p w:rsidR="00B6348A" w:rsidRDefault="00B6348A" w:rsidP="0059658C">
      <w:pPr>
        <w:pStyle w:val="ListParagraph"/>
        <w:numPr>
          <w:ilvl w:val="1"/>
          <w:numId w:val="60"/>
        </w:numPr>
        <w:spacing w:after="120" w:line="240" w:lineRule="auto"/>
        <w:jc w:val="both"/>
      </w:pPr>
      <w:r w:rsidRPr="00831BBE">
        <w:t>From</w:t>
      </w:r>
      <w:r w:rsidR="00575EDC">
        <w:t xml:space="preserve"> </w:t>
      </w:r>
      <w:r w:rsidR="008A4EEC">
        <w:t>April 20</w:t>
      </w:r>
      <w:r w:rsidR="00F6036C">
        <w:t>19</w:t>
      </w:r>
      <w:r w:rsidRPr="00831BBE">
        <w:t xml:space="preserve"> to March 2020, services are expected to </w:t>
      </w:r>
      <w:r>
        <w:t xml:space="preserve">focus on delivering </w:t>
      </w:r>
      <w:r w:rsidR="00707E03">
        <w:t>modified IPS</w:t>
      </w:r>
      <w:r>
        <w:t xml:space="preserve"> to people </w:t>
      </w:r>
      <w:r w:rsidR="0006235B">
        <w:t xml:space="preserve">who were referred </w:t>
      </w:r>
      <w:r>
        <w:t xml:space="preserve">into the trial prior to </w:t>
      </w:r>
      <w:r w:rsidR="008A4EEC">
        <w:t xml:space="preserve">March </w:t>
      </w:r>
      <w:r>
        <w:t xml:space="preserve">2019 and randomised into the treatment group. </w:t>
      </w:r>
      <w:r w:rsidR="008A4EEC">
        <w:t xml:space="preserve"> </w:t>
      </w:r>
      <w:r w:rsidR="00F9136D">
        <w:t>No further referrals are expected beyond April 2019.</w:t>
      </w:r>
    </w:p>
    <w:p w:rsidR="00B6348A" w:rsidRDefault="00B6348A" w:rsidP="0059658C">
      <w:pPr>
        <w:pStyle w:val="ListParagraph"/>
        <w:numPr>
          <w:ilvl w:val="1"/>
          <w:numId w:val="60"/>
        </w:numPr>
        <w:spacing w:after="120" w:line="240" w:lineRule="auto"/>
        <w:jc w:val="both"/>
      </w:pPr>
      <w:r>
        <w:t xml:space="preserve">In the </w:t>
      </w:r>
      <w:r w:rsidR="00707E03">
        <w:t>delivery only</w:t>
      </w:r>
      <w:r>
        <w:t xml:space="preserve"> phase from April 2019 providers will need to continue working with any clients already engaged in the service but who have not completed the full </w:t>
      </w:r>
      <w:r w:rsidR="005811A2">
        <w:t>12</w:t>
      </w:r>
      <w:r w:rsidR="00771534">
        <w:t xml:space="preserve"> months.  </w:t>
      </w:r>
      <w:r>
        <w:t xml:space="preserve">We, therefore, expect that providers will need to continue operating sizeable IPS teams. </w:t>
      </w:r>
    </w:p>
    <w:p w:rsidR="005811A2" w:rsidRDefault="005811A2" w:rsidP="0059658C">
      <w:pPr>
        <w:pStyle w:val="Title"/>
        <w:spacing w:before="0" w:after="120"/>
      </w:pPr>
    </w:p>
    <w:p w:rsidR="00654FAC" w:rsidRPr="00321F1E" w:rsidRDefault="00654FAC" w:rsidP="0059658C">
      <w:pPr>
        <w:pStyle w:val="Title"/>
        <w:spacing w:before="0" w:after="120"/>
      </w:pPr>
      <w:r w:rsidRPr="001A3543">
        <w:t xml:space="preserve">Section </w:t>
      </w:r>
      <w:r w:rsidR="00B6348A" w:rsidRPr="001A3543">
        <w:t>D</w:t>
      </w:r>
      <w:r w:rsidRPr="001A3543">
        <w:t xml:space="preserve">. Other </w:t>
      </w:r>
      <w:r w:rsidR="00335DAA" w:rsidRPr="001A3543">
        <w:t>R</w:t>
      </w:r>
      <w:r w:rsidRPr="001A3543">
        <w:t>equirements</w:t>
      </w:r>
    </w:p>
    <w:p w:rsidR="008636F9" w:rsidRPr="0046584C" w:rsidRDefault="008636F9" w:rsidP="0059658C">
      <w:pPr>
        <w:pStyle w:val="Heading1"/>
        <w:numPr>
          <w:ilvl w:val="0"/>
          <w:numId w:val="60"/>
        </w:numPr>
        <w:spacing w:before="0" w:after="120" w:line="240" w:lineRule="auto"/>
      </w:pPr>
      <w:bookmarkStart w:id="82" w:name="_Toc491351934"/>
      <w:r w:rsidRPr="000D41B9">
        <w:t>Other programmes and trials in the region</w:t>
      </w:r>
      <w:bookmarkEnd w:id="82"/>
    </w:p>
    <w:p w:rsidR="000B2175" w:rsidRPr="00F14501" w:rsidRDefault="008636F9" w:rsidP="0059658C">
      <w:pPr>
        <w:pStyle w:val="ListParagraph"/>
        <w:numPr>
          <w:ilvl w:val="1"/>
          <w:numId w:val="60"/>
        </w:numPr>
        <w:spacing w:after="120" w:line="240" w:lineRule="auto"/>
        <w:jc w:val="both"/>
      </w:pPr>
      <w:r w:rsidRPr="00F14501">
        <w:t xml:space="preserve">There are several other programmes in the </w:t>
      </w:r>
      <w:r w:rsidR="000E64DA" w:rsidRPr="00F14501">
        <w:t>Sheffield City Region</w:t>
      </w:r>
      <w:r w:rsidRPr="00F14501">
        <w:t xml:space="preserve"> </w:t>
      </w:r>
      <w:r w:rsidR="006B2BBC">
        <w:t xml:space="preserve">alongside this modified IPS employment trial. </w:t>
      </w:r>
      <w:r w:rsidR="00707E03">
        <w:t>P</w:t>
      </w:r>
      <w:r w:rsidRPr="00F14501">
        <w:t xml:space="preserve">roviders should be clear on how they will navigate this. </w:t>
      </w:r>
      <w:r w:rsidR="000B2175" w:rsidRPr="00F14501">
        <w:t>This is important not only because of the large number of referrals expected as part of this programm</w:t>
      </w:r>
      <w:r w:rsidR="006B2BBC">
        <w:t>e</w:t>
      </w:r>
      <w:r w:rsidR="000B2175" w:rsidRPr="00F14501">
        <w:t xml:space="preserve"> but also because of the risks to </w:t>
      </w:r>
      <w:r w:rsidR="006B2BBC">
        <w:t xml:space="preserve">practitioners and to </w:t>
      </w:r>
      <w:r w:rsidR="000B2175" w:rsidRPr="00F14501">
        <w:t xml:space="preserve">the evaluation if individuals engaged are involved in other programmes. For reference, an overview of some of the existing services is </w:t>
      </w:r>
      <w:r w:rsidR="00006410">
        <w:t xml:space="preserve">given </w:t>
      </w:r>
      <w:r w:rsidR="000B2175" w:rsidRPr="00F14501">
        <w:t xml:space="preserve">in Appendix </w:t>
      </w:r>
      <w:r w:rsidR="00CF43A4" w:rsidRPr="00F14501">
        <w:t>1</w:t>
      </w:r>
      <w:r w:rsidR="000B2175" w:rsidRPr="00F14501">
        <w:t xml:space="preserve">. </w:t>
      </w:r>
      <w:r w:rsidR="00771534">
        <w:t xml:space="preserve"> </w:t>
      </w:r>
    </w:p>
    <w:p w:rsidR="008636F9" w:rsidRPr="00D20B55" w:rsidRDefault="000B2175" w:rsidP="0059658C">
      <w:pPr>
        <w:pStyle w:val="ListParagraph"/>
        <w:numPr>
          <w:ilvl w:val="1"/>
          <w:numId w:val="60"/>
        </w:numPr>
        <w:spacing w:after="120" w:line="240" w:lineRule="auto"/>
        <w:jc w:val="both"/>
      </w:pPr>
      <w:r>
        <w:t xml:space="preserve">One key mitigation is for provider(s) to </w:t>
      </w:r>
      <w:r w:rsidR="008636F9" w:rsidRPr="00D20B55">
        <w:t>intensively integrate (</w:t>
      </w:r>
      <w:r w:rsidR="00AC7398">
        <w:t>and</w:t>
      </w:r>
      <w:r w:rsidR="008636F9" w:rsidRPr="00D20B55">
        <w:t xml:space="preserve"> co-locate) with primary</w:t>
      </w:r>
      <w:r w:rsidR="00F6036C">
        <w:t>, ac</w:t>
      </w:r>
      <w:r w:rsidR="006F4A02">
        <w:t>ute</w:t>
      </w:r>
      <w:r w:rsidR="008636F9" w:rsidRPr="00D20B55">
        <w:t xml:space="preserve"> </w:t>
      </w:r>
      <w:r w:rsidR="00AC7398">
        <w:t xml:space="preserve">and community </w:t>
      </w:r>
      <w:r w:rsidR="008636F9" w:rsidRPr="00D20B55">
        <w:t xml:space="preserve">care </w:t>
      </w:r>
      <w:r>
        <w:t xml:space="preserve">teams. This will allow them to better manage the relationship with referrers and </w:t>
      </w:r>
      <w:r w:rsidR="00AC7398">
        <w:t xml:space="preserve">ensure appropriate individuals are referred into </w:t>
      </w:r>
      <w:r w:rsidR="00620D3B">
        <w:t>the t</w:t>
      </w:r>
      <w:r w:rsidR="000E64DA">
        <w:t>rial</w:t>
      </w:r>
      <w:r w:rsidR="00AC7398">
        <w:t xml:space="preserve"> by clinicians in the selected geographies</w:t>
      </w:r>
      <w:r w:rsidR="008636F9" w:rsidRPr="00D20B55">
        <w:t>.</w:t>
      </w:r>
      <w:r w:rsidR="00D54BE2">
        <w:t xml:space="preserve"> </w:t>
      </w:r>
      <w:r w:rsidR="00620D3B">
        <w:t>Health partners have been involved in the co-design of the SCR trial and are responsive to working with the appointed provider(s).</w:t>
      </w:r>
    </w:p>
    <w:p w:rsidR="008636F9" w:rsidRDefault="008636F9" w:rsidP="0059658C">
      <w:pPr>
        <w:pStyle w:val="ListParagraph"/>
        <w:numPr>
          <w:ilvl w:val="1"/>
          <w:numId w:val="60"/>
        </w:numPr>
        <w:spacing w:after="120" w:line="240" w:lineRule="auto"/>
        <w:jc w:val="both"/>
      </w:pPr>
      <w:r w:rsidRPr="00D20B55">
        <w:t xml:space="preserve">The central </w:t>
      </w:r>
      <w:r w:rsidR="00620D3B">
        <w:t xml:space="preserve">SCR </w:t>
      </w:r>
      <w:r w:rsidRPr="00D20B55">
        <w:t>programme team will play a</w:t>
      </w:r>
      <w:r w:rsidR="000F57EA">
        <w:t xml:space="preserve">n active </w:t>
      </w:r>
      <w:r w:rsidRPr="00D20B55">
        <w:t>role in engaging with other programmes to avoid overlap and confusion with other trials.</w:t>
      </w:r>
      <w:r w:rsidR="00655C80" w:rsidRPr="00D20B55">
        <w:t xml:space="preserve"> Providers should be prepared to assist with this.</w:t>
      </w:r>
    </w:p>
    <w:p w:rsidR="003043D8" w:rsidRPr="00226C2E" w:rsidRDefault="00FC78B5" w:rsidP="0059658C">
      <w:pPr>
        <w:pStyle w:val="ListParagraph"/>
        <w:numPr>
          <w:ilvl w:val="1"/>
          <w:numId w:val="60"/>
        </w:numPr>
        <w:spacing w:after="120" w:line="240" w:lineRule="auto"/>
        <w:jc w:val="both"/>
      </w:pPr>
      <w:r w:rsidRPr="00F14501">
        <w:lastRenderedPageBreak/>
        <w:t>The SCR is establishing a series of Local Integration Boards across the whole LEP area.  It will be an expectation that providers work through that infrastructure to ensure service alignment and relationships are developed</w:t>
      </w:r>
      <w:r w:rsidR="00B86D8B" w:rsidRPr="00F14501">
        <w:t xml:space="preserve"> in each contract lot area</w:t>
      </w:r>
      <w:r w:rsidR="00707E03">
        <w:t xml:space="preserve"> to address the wider support needs of clients</w:t>
      </w:r>
      <w:r w:rsidRPr="00F14501">
        <w:t>.</w:t>
      </w:r>
      <w:r w:rsidR="007E1AE5">
        <w:t xml:space="preserve">  Engagement with Local Integration Boards and employer engagement arrangements will be facilitated by the </w:t>
      </w:r>
      <w:r w:rsidR="00226C2E">
        <w:t>SCR programme team.</w:t>
      </w:r>
    </w:p>
    <w:p w:rsidR="003043D8" w:rsidRPr="00F14501" w:rsidRDefault="003043D8" w:rsidP="0059658C">
      <w:pPr>
        <w:pStyle w:val="ListParagraph"/>
        <w:numPr>
          <w:ilvl w:val="0"/>
          <w:numId w:val="0"/>
        </w:numPr>
        <w:spacing w:after="120" w:line="240" w:lineRule="auto"/>
        <w:ind w:left="720"/>
        <w:jc w:val="both"/>
      </w:pPr>
    </w:p>
    <w:p w:rsidR="001421B7" w:rsidRPr="00D20B55" w:rsidRDefault="001421B7" w:rsidP="0059658C">
      <w:pPr>
        <w:pStyle w:val="Heading1"/>
        <w:numPr>
          <w:ilvl w:val="0"/>
          <w:numId w:val="60"/>
        </w:numPr>
        <w:spacing w:before="0" w:after="120" w:line="240" w:lineRule="auto"/>
        <w:jc w:val="both"/>
      </w:pPr>
      <w:bookmarkStart w:id="83" w:name="_Toc485402633"/>
      <w:bookmarkStart w:id="84" w:name="_Toc485402634"/>
      <w:bookmarkStart w:id="85" w:name="_Toc485402635"/>
      <w:bookmarkStart w:id="86" w:name="_Toc485402636"/>
      <w:bookmarkStart w:id="87" w:name="_Toc485402637"/>
      <w:bookmarkStart w:id="88" w:name="_Toc485402638"/>
      <w:bookmarkStart w:id="89" w:name="_Toc485402639"/>
      <w:bookmarkStart w:id="90" w:name="_Toc485402640"/>
      <w:bookmarkStart w:id="91" w:name="_Toc491351935"/>
      <w:bookmarkEnd w:id="83"/>
      <w:bookmarkEnd w:id="84"/>
      <w:bookmarkEnd w:id="85"/>
      <w:bookmarkEnd w:id="86"/>
      <w:bookmarkEnd w:id="87"/>
      <w:bookmarkEnd w:id="88"/>
      <w:bookmarkEnd w:id="89"/>
      <w:bookmarkEnd w:id="90"/>
      <w:r w:rsidRPr="00D20B55">
        <w:t xml:space="preserve">Promotion of the </w:t>
      </w:r>
      <w:r w:rsidR="000B0945" w:rsidRPr="00D20B55">
        <w:t>trial</w:t>
      </w:r>
      <w:bookmarkEnd w:id="91"/>
    </w:p>
    <w:p w:rsidR="0029758D" w:rsidRPr="0059658C" w:rsidRDefault="00A603FB" w:rsidP="0059658C">
      <w:pPr>
        <w:pStyle w:val="ListParagraph"/>
        <w:numPr>
          <w:ilvl w:val="1"/>
          <w:numId w:val="60"/>
        </w:numPr>
        <w:spacing w:after="120" w:line="240" w:lineRule="auto"/>
        <w:jc w:val="both"/>
      </w:pPr>
      <w:r w:rsidRPr="0059658C">
        <w:t>The service provider</w:t>
      </w:r>
      <w:r w:rsidR="00125D74" w:rsidRPr="0059658C">
        <w:t>(s)</w:t>
      </w:r>
      <w:r w:rsidRPr="0059658C">
        <w:t xml:space="preserve"> </w:t>
      </w:r>
      <w:r w:rsidR="000510A5" w:rsidRPr="0059658C">
        <w:t xml:space="preserve">must be prepared to </w:t>
      </w:r>
      <w:r w:rsidRPr="0059658C">
        <w:t xml:space="preserve">work in partnership with </w:t>
      </w:r>
      <w:r w:rsidR="0029758D" w:rsidRPr="0059658C">
        <w:t xml:space="preserve">the </w:t>
      </w:r>
      <w:r w:rsidR="00125D74" w:rsidRPr="0059658C">
        <w:t xml:space="preserve">SCR </w:t>
      </w:r>
      <w:r w:rsidR="00BE6F67" w:rsidRPr="0059658C">
        <w:t xml:space="preserve">central programme team </w:t>
      </w:r>
      <w:r w:rsidRPr="0059658C">
        <w:t xml:space="preserve">to actively promote the </w:t>
      </w:r>
      <w:r w:rsidR="000B0945" w:rsidRPr="0059658C">
        <w:t xml:space="preserve">trial </w:t>
      </w:r>
      <w:r w:rsidRPr="0059658C">
        <w:t xml:space="preserve">and raise its profile across the </w:t>
      </w:r>
      <w:r w:rsidR="005B070B" w:rsidRPr="0059658C">
        <w:t>locality</w:t>
      </w:r>
      <w:r w:rsidR="000D76BA" w:rsidRPr="0059658C">
        <w:t>, in particular with hard-to-reach communities</w:t>
      </w:r>
      <w:r w:rsidRPr="0059658C">
        <w:t>.</w:t>
      </w:r>
      <w:r w:rsidR="000D76BA" w:rsidRPr="0059658C">
        <w:t xml:space="preserve"> </w:t>
      </w:r>
      <w:r w:rsidRPr="0059658C">
        <w:t>This will include</w:t>
      </w:r>
      <w:r w:rsidR="0029758D" w:rsidRPr="0059658C">
        <w:t>:</w:t>
      </w:r>
    </w:p>
    <w:p w:rsidR="00FB0536" w:rsidRPr="0059658C" w:rsidRDefault="00A603FB" w:rsidP="0059658C">
      <w:pPr>
        <w:pStyle w:val="ListParagraph"/>
        <w:numPr>
          <w:ilvl w:val="2"/>
          <w:numId w:val="130"/>
        </w:numPr>
        <w:spacing w:after="120" w:line="240" w:lineRule="auto"/>
        <w:ind w:left="1134" w:hanging="425"/>
      </w:pPr>
      <w:r w:rsidRPr="0059658C">
        <w:t>ensuring</w:t>
      </w:r>
      <w:r w:rsidR="0029758D" w:rsidRPr="0059658C">
        <w:t xml:space="preserve"> easy access to</w:t>
      </w:r>
      <w:r w:rsidR="00FB0536" w:rsidRPr="0059658C">
        <w:t xml:space="preserve"> information</w:t>
      </w:r>
      <w:r w:rsidRPr="0059658C">
        <w:t xml:space="preserve"> </w:t>
      </w:r>
      <w:r w:rsidR="0029758D" w:rsidRPr="0059658C">
        <w:t xml:space="preserve">on the </w:t>
      </w:r>
      <w:r w:rsidR="000B0945" w:rsidRPr="0059658C">
        <w:t>trial</w:t>
      </w:r>
      <w:r w:rsidR="0029758D" w:rsidRPr="0059658C">
        <w:t xml:space="preserve">, through </w:t>
      </w:r>
      <w:r w:rsidR="00D54BE2" w:rsidRPr="0059658C">
        <w:t xml:space="preserve">social, </w:t>
      </w:r>
      <w:r w:rsidR="00FB0536" w:rsidRPr="0059658C">
        <w:t>online and print media</w:t>
      </w:r>
      <w:r w:rsidRPr="0059658C">
        <w:t>;</w:t>
      </w:r>
    </w:p>
    <w:p w:rsidR="000510A5" w:rsidRPr="0059658C" w:rsidRDefault="00A603FB" w:rsidP="0059658C">
      <w:pPr>
        <w:pStyle w:val="ListParagraph"/>
        <w:numPr>
          <w:ilvl w:val="2"/>
          <w:numId w:val="130"/>
        </w:numPr>
        <w:spacing w:after="120" w:line="240" w:lineRule="auto"/>
        <w:ind w:left="1134" w:hanging="425"/>
      </w:pPr>
      <w:r w:rsidRPr="0059658C">
        <w:t xml:space="preserve">making information about the </w:t>
      </w:r>
      <w:r w:rsidR="000B0945" w:rsidRPr="0059658C">
        <w:t xml:space="preserve">trial </w:t>
      </w:r>
      <w:r w:rsidRPr="0059658C">
        <w:t>accessible</w:t>
      </w:r>
      <w:r w:rsidR="00FB0536" w:rsidRPr="0059658C">
        <w:t xml:space="preserve"> in </w:t>
      </w:r>
      <w:r w:rsidRPr="0059658C">
        <w:t xml:space="preserve">formats </w:t>
      </w:r>
      <w:r w:rsidR="00FB0536" w:rsidRPr="0059658C">
        <w:t>suitable for</w:t>
      </w:r>
      <w:r w:rsidRPr="0059658C">
        <w:t xml:space="preserve"> people with sensory impairment and/or </w:t>
      </w:r>
      <w:r w:rsidR="000D76BA" w:rsidRPr="0059658C">
        <w:t>in other languages</w:t>
      </w:r>
      <w:r w:rsidR="005B070B" w:rsidRPr="0059658C">
        <w:t>;</w:t>
      </w:r>
    </w:p>
    <w:p w:rsidR="000510A5" w:rsidRPr="0059658C" w:rsidRDefault="005B070B" w:rsidP="0059658C">
      <w:pPr>
        <w:pStyle w:val="ListParagraph"/>
        <w:numPr>
          <w:ilvl w:val="2"/>
          <w:numId w:val="130"/>
        </w:numPr>
        <w:spacing w:after="120" w:line="240" w:lineRule="auto"/>
        <w:ind w:left="1134" w:hanging="425"/>
      </w:pPr>
      <w:r w:rsidRPr="0059658C">
        <w:t xml:space="preserve">working closely with community </w:t>
      </w:r>
      <w:r w:rsidR="00A603FB" w:rsidRPr="0059658C">
        <w:t xml:space="preserve">and primary care </w:t>
      </w:r>
      <w:r w:rsidR="000510A5" w:rsidRPr="0059658C">
        <w:t xml:space="preserve">teams </w:t>
      </w:r>
      <w:r w:rsidR="00A603FB" w:rsidRPr="0059658C">
        <w:t xml:space="preserve">to promote the </w:t>
      </w:r>
      <w:r w:rsidR="000B0945" w:rsidRPr="0059658C">
        <w:t>trial</w:t>
      </w:r>
      <w:r w:rsidR="000510A5" w:rsidRPr="0059658C">
        <w:t>;</w:t>
      </w:r>
    </w:p>
    <w:p w:rsidR="007A64FD" w:rsidRPr="0059658C" w:rsidRDefault="00BE6F67" w:rsidP="0059658C">
      <w:pPr>
        <w:pStyle w:val="ListParagraph"/>
        <w:numPr>
          <w:ilvl w:val="2"/>
          <w:numId w:val="130"/>
        </w:numPr>
        <w:spacing w:after="120" w:line="240" w:lineRule="auto"/>
        <w:ind w:left="1134" w:hanging="425"/>
      </w:pPr>
      <w:r w:rsidRPr="0059658C">
        <w:t>making</w:t>
      </w:r>
      <w:r w:rsidR="000510A5" w:rsidRPr="0059658C">
        <w:t xml:space="preserve"> use of existing or new networks to promote the </w:t>
      </w:r>
      <w:r w:rsidR="000B0945" w:rsidRPr="0059658C">
        <w:t xml:space="preserve">trial </w:t>
      </w:r>
      <w:r w:rsidR="000510A5" w:rsidRPr="0059658C">
        <w:t>across the health and employment systems.</w:t>
      </w:r>
    </w:p>
    <w:p w:rsidR="007A64FD" w:rsidRPr="0059658C" w:rsidRDefault="007A64FD" w:rsidP="0059658C">
      <w:pPr>
        <w:pStyle w:val="ListParagraph"/>
        <w:numPr>
          <w:ilvl w:val="2"/>
          <w:numId w:val="130"/>
        </w:numPr>
        <w:spacing w:after="120" w:line="240" w:lineRule="auto"/>
        <w:ind w:left="1134" w:hanging="425"/>
      </w:pPr>
      <w:r w:rsidRPr="0059658C">
        <w:t>engaging employers to secure employment opportunities for clients working alongside existing local mechanisms.</w:t>
      </w:r>
    </w:p>
    <w:p w:rsidR="007A64FD" w:rsidRPr="00D20B55" w:rsidRDefault="007A64FD" w:rsidP="0059658C">
      <w:pPr>
        <w:spacing w:after="120" w:line="240" w:lineRule="auto"/>
        <w:ind w:left="709" w:hanging="709"/>
      </w:pPr>
      <w:r w:rsidRPr="0059658C">
        <w:t>21.2</w:t>
      </w:r>
      <w:r w:rsidRPr="0059658C">
        <w:tab/>
        <w:t>SCR, working through CCG’s within this trial, will support promotion of the trial to GP’s</w:t>
      </w:r>
      <w:r>
        <w:t xml:space="preserve"> and other health stakeholders in order to support referrals into this trial.  Providers will be expected to work with and add value to this activity to ensure a co-ordinated and efficient approach to health stakeholder engagement is adopted.</w:t>
      </w:r>
    </w:p>
    <w:p w:rsidR="0039285D" w:rsidRDefault="0039285D" w:rsidP="0059658C">
      <w:pPr>
        <w:pStyle w:val="Heading1"/>
        <w:numPr>
          <w:ilvl w:val="0"/>
          <w:numId w:val="60"/>
        </w:numPr>
        <w:spacing w:before="0" w:after="120" w:line="240" w:lineRule="auto"/>
      </w:pPr>
      <w:bookmarkStart w:id="92" w:name="_Toc491351936"/>
      <w:r>
        <w:t>Working with hard-to-reach communities</w:t>
      </w:r>
      <w:bookmarkEnd w:id="92"/>
    </w:p>
    <w:p w:rsidR="0039285D" w:rsidRDefault="0039285D" w:rsidP="0059658C">
      <w:pPr>
        <w:pStyle w:val="ListParagraph"/>
        <w:numPr>
          <w:ilvl w:val="1"/>
          <w:numId w:val="60"/>
        </w:numPr>
        <w:spacing w:after="120" w:line="240" w:lineRule="auto"/>
        <w:jc w:val="both"/>
      </w:pPr>
      <w:r>
        <w:t>It will be</w:t>
      </w:r>
      <w:r w:rsidR="007E1AE5">
        <w:t xml:space="preserve"> important</w:t>
      </w:r>
      <w:r>
        <w:t xml:space="preserve"> for provider(s) to take active measures to ensure the trial is promoted </w:t>
      </w:r>
      <w:r w:rsidR="006215B4">
        <w:t xml:space="preserve">to </w:t>
      </w:r>
      <w:r>
        <w:t xml:space="preserve">and accessible </w:t>
      </w:r>
      <w:r w:rsidR="006215B4">
        <w:t>for</w:t>
      </w:r>
      <w:r>
        <w:t xml:space="preserve"> hard-to-reach communities in the </w:t>
      </w:r>
      <w:r w:rsidR="000E64DA">
        <w:t>Sheffield City Region</w:t>
      </w:r>
      <w:r w:rsidR="0037049B">
        <w:t>, including</w:t>
      </w:r>
      <w:r w:rsidR="006215B4">
        <w:t xml:space="preserve"> but not limited to</w:t>
      </w:r>
      <w:r w:rsidR="0037049B">
        <w:t xml:space="preserve"> BMER communities, people with disabilities, and people with English as an additional language</w:t>
      </w:r>
      <w:r>
        <w:t xml:space="preserve">. </w:t>
      </w:r>
    </w:p>
    <w:p w:rsidR="0039285D" w:rsidRPr="0039285D" w:rsidRDefault="006215B4" w:rsidP="0059658C">
      <w:pPr>
        <w:pStyle w:val="ListParagraph"/>
        <w:numPr>
          <w:ilvl w:val="1"/>
          <w:numId w:val="60"/>
        </w:numPr>
        <w:spacing w:after="120" w:line="240" w:lineRule="auto"/>
        <w:jc w:val="both"/>
      </w:pPr>
      <w:r>
        <w:t xml:space="preserve">Staff should be able </w:t>
      </w:r>
      <w:r w:rsidR="00DE3424">
        <w:t>to access</w:t>
      </w:r>
      <w:r w:rsidR="0039285D">
        <w:t xml:space="preserve"> </w:t>
      </w:r>
      <w:r>
        <w:t xml:space="preserve">intensive </w:t>
      </w:r>
      <w:r w:rsidR="0039285D">
        <w:t xml:space="preserve">translation support where needed and/or other resources (such as </w:t>
      </w:r>
      <w:r>
        <w:t xml:space="preserve">translation technology or </w:t>
      </w:r>
      <w:r w:rsidR="0039285D">
        <w:t xml:space="preserve">multilingual staff) to mitigate language as a barrier to access. </w:t>
      </w:r>
    </w:p>
    <w:p w:rsidR="001421B7" w:rsidRPr="00D20B55" w:rsidRDefault="001421B7" w:rsidP="0059658C">
      <w:pPr>
        <w:pStyle w:val="Heading1"/>
        <w:numPr>
          <w:ilvl w:val="0"/>
          <w:numId w:val="60"/>
        </w:numPr>
        <w:spacing w:before="0" w:after="120" w:line="240" w:lineRule="auto"/>
      </w:pPr>
      <w:bookmarkStart w:id="93" w:name="_Toc491351937"/>
      <w:r w:rsidRPr="00D20B55">
        <w:t>Co-production with service users</w:t>
      </w:r>
      <w:bookmarkEnd w:id="93"/>
    </w:p>
    <w:p w:rsidR="003144D0" w:rsidRPr="00D20B55" w:rsidRDefault="003C68B4" w:rsidP="0059658C">
      <w:pPr>
        <w:pStyle w:val="ListParagraph"/>
        <w:numPr>
          <w:ilvl w:val="1"/>
          <w:numId w:val="60"/>
        </w:numPr>
        <w:spacing w:after="120" w:line="240" w:lineRule="auto"/>
        <w:jc w:val="both"/>
      </w:pPr>
      <w:r w:rsidRPr="00D20B55">
        <w:t xml:space="preserve">The </w:t>
      </w:r>
      <w:r w:rsidR="009901D4" w:rsidRPr="00D20B55">
        <w:t>provider</w:t>
      </w:r>
      <w:r w:rsidR="001C7304" w:rsidRPr="00D20B55">
        <w:t>(s)</w:t>
      </w:r>
      <w:r w:rsidR="009901D4" w:rsidRPr="00D20B55">
        <w:t xml:space="preserve"> </w:t>
      </w:r>
      <w:r w:rsidRPr="00D20B55">
        <w:t>will demonstrate</w:t>
      </w:r>
      <w:r w:rsidR="00373B9D" w:rsidRPr="00D20B55">
        <w:t>,</w:t>
      </w:r>
      <w:r w:rsidRPr="00D20B55">
        <w:t xml:space="preserve"> through outcomes, practices, policies, and procedures</w:t>
      </w:r>
      <w:r w:rsidR="00373B9D" w:rsidRPr="00D20B55">
        <w:t>,</w:t>
      </w:r>
      <w:r w:rsidRPr="00D20B55">
        <w:t xml:space="preserve"> </w:t>
      </w:r>
      <w:r w:rsidR="009901D4" w:rsidRPr="00D20B55">
        <w:t xml:space="preserve">a </w:t>
      </w:r>
      <w:r w:rsidRPr="00D20B55">
        <w:t xml:space="preserve">commitment to working with </w:t>
      </w:r>
      <w:r w:rsidR="00EB7EF5">
        <w:t>service users</w:t>
      </w:r>
      <w:r w:rsidRPr="00D20B55">
        <w:t xml:space="preserve"> with </w:t>
      </w:r>
      <w:r w:rsidR="00373B9D" w:rsidRPr="00D20B55">
        <w:t xml:space="preserve">a variety of </w:t>
      </w:r>
      <w:r w:rsidR="003144D0" w:rsidRPr="00D20B55">
        <w:t>health conditions</w:t>
      </w:r>
      <w:r w:rsidR="009901D4" w:rsidRPr="00D20B55">
        <w:t xml:space="preserve"> </w:t>
      </w:r>
      <w:r w:rsidRPr="00D20B55">
        <w:t xml:space="preserve">in </w:t>
      </w:r>
      <w:r w:rsidR="003144D0" w:rsidRPr="00D20B55">
        <w:t xml:space="preserve">the </w:t>
      </w:r>
      <w:r w:rsidRPr="00D20B55">
        <w:t>design, delivery, and evaluation of all services.</w:t>
      </w:r>
    </w:p>
    <w:p w:rsidR="003144D0" w:rsidRPr="00D20B55" w:rsidRDefault="003C68B4" w:rsidP="0059658C">
      <w:pPr>
        <w:pStyle w:val="ListParagraph"/>
        <w:numPr>
          <w:ilvl w:val="1"/>
          <w:numId w:val="60"/>
        </w:numPr>
        <w:spacing w:after="120" w:line="240" w:lineRule="auto"/>
        <w:jc w:val="both"/>
      </w:pPr>
      <w:r w:rsidRPr="00D20B55">
        <w:t>The principles of equality, diversity, accessibility, an</w:t>
      </w:r>
      <w:r w:rsidR="003144D0" w:rsidRPr="00D20B55">
        <w:t xml:space="preserve">d reciprocity will be essential, </w:t>
      </w:r>
      <w:r w:rsidRPr="00D20B55">
        <w:t xml:space="preserve">when co-producing services with people. The </w:t>
      </w:r>
      <w:r w:rsidR="009901D4" w:rsidRPr="00D20B55">
        <w:t xml:space="preserve">provider(s) </w:t>
      </w:r>
      <w:r w:rsidRPr="00D20B55">
        <w:t>will ensure:</w:t>
      </w:r>
    </w:p>
    <w:p w:rsidR="003C68B4" w:rsidRPr="00D20B55" w:rsidRDefault="003C68B4" w:rsidP="0059658C">
      <w:pPr>
        <w:pStyle w:val="ListParagraph"/>
        <w:numPr>
          <w:ilvl w:val="2"/>
          <w:numId w:val="3"/>
        </w:numPr>
        <w:spacing w:after="120" w:line="240" w:lineRule="auto"/>
        <w:jc w:val="both"/>
      </w:pPr>
      <w:r w:rsidRPr="00D20B55">
        <w:t>service users are represented and play an active role in consultation, service planning and delivery;</w:t>
      </w:r>
    </w:p>
    <w:p w:rsidR="003C68B4" w:rsidRPr="00D20B55" w:rsidRDefault="00FD2296" w:rsidP="0059658C">
      <w:pPr>
        <w:pStyle w:val="ListParagraph"/>
        <w:numPr>
          <w:ilvl w:val="2"/>
          <w:numId w:val="3"/>
        </w:numPr>
        <w:spacing w:after="120" w:line="240" w:lineRule="auto"/>
        <w:jc w:val="both"/>
      </w:pPr>
      <w:r>
        <w:t xml:space="preserve">a </w:t>
      </w:r>
      <w:r w:rsidR="003C68B4" w:rsidRPr="00D20B55">
        <w:t>model of co-production</w:t>
      </w:r>
      <w:r w:rsidR="009901D4" w:rsidRPr="00D20B55">
        <w:t xml:space="preserve"> is adopted</w:t>
      </w:r>
      <w:r w:rsidR="003C68B4" w:rsidRPr="00D20B55">
        <w:t xml:space="preserve"> whereby the service is planned and delivered in mutually beneficial ways that acknowledge and reward local ‘lay’ experience while continuing to value professional expertise;</w:t>
      </w:r>
    </w:p>
    <w:p w:rsidR="003C68B4" w:rsidRPr="00D20B55" w:rsidRDefault="003C68B4" w:rsidP="0059658C">
      <w:pPr>
        <w:pStyle w:val="ListParagraph"/>
        <w:numPr>
          <w:ilvl w:val="2"/>
          <w:numId w:val="3"/>
        </w:numPr>
        <w:spacing w:after="120" w:line="240" w:lineRule="auto"/>
        <w:jc w:val="both"/>
      </w:pPr>
      <w:r w:rsidRPr="00D20B55">
        <w:t>service users are regarded as an asset and encouraged to work alongside professionals as partners in the delivery of the service;</w:t>
      </w:r>
    </w:p>
    <w:p w:rsidR="003C68B4" w:rsidRPr="00D20B55" w:rsidRDefault="003C68B4" w:rsidP="0059658C">
      <w:pPr>
        <w:pStyle w:val="ListParagraph"/>
        <w:numPr>
          <w:ilvl w:val="2"/>
          <w:numId w:val="3"/>
        </w:numPr>
        <w:spacing w:after="120" w:line="240" w:lineRule="auto"/>
        <w:jc w:val="both"/>
      </w:pPr>
      <w:r w:rsidRPr="00D20B55">
        <w:t>the service is operated and provided in a</w:t>
      </w:r>
      <w:r w:rsidR="00A7279E" w:rsidRPr="00D20B55">
        <w:t xml:space="preserve"> person-centred</w:t>
      </w:r>
      <w:r w:rsidRPr="00D20B55">
        <w:t xml:space="preserve"> way</w:t>
      </w:r>
      <w:r w:rsidR="00A7279E" w:rsidRPr="00D20B55">
        <w:t>,</w:t>
      </w:r>
      <w:r w:rsidRPr="00D20B55">
        <w:t xml:space="preserve"> which requires professionals and service managers to </w:t>
      </w:r>
      <w:r w:rsidR="00A7279E" w:rsidRPr="00D20B55">
        <w:t>distance themselves from</w:t>
      </w:r>
      <w:r w:rsidRPr="00D20B55">
        <w:t xml:space="preserve"> traditional roles as ‘experts’ and ‘providers’</w:t>
      </w:r>
      <w:r w:rsidR="00B60BAD" w:rsidRPr="00D20B55">
        <w:t>,</w:t>
      </w:r>
      <w:r w:rsidRPr="00D20B55">
        <w:t xml:space="preserve"> into partnership models that work with ‘individuals’ and ‘communities’;</w:t>
      </w:r>
    </w:p>
    <w:p w:rsidR="003C68B4" w:rsidRPr="00D20B55" w:rsidRDefault="003C68B4" w:rsidP="0059658C">
      <w:pPr>
        <w:pStyle w:val="ListParagraph"/>
        <w:numPr>
          <w:ilvl w:val="2"/>
          <w:numId w:val="3"/>
        </w:numPr>
        <w:spacing w:after="120" w:line="240" w:lineRule="auto"/>
        <w:jc w:val="both"/>
      </w:pPr>
      <w:r w:rsidRPr="00D20B55">
        <w:lastRenderedPageBreak/>
        <w:t>approaches that build on and/or strengthen social networks</w:t>
      </w:r>
      <w:r w:rsidR="00B60BAD" w:rsidRPr="00D20B55">
        <w:t xml:space="preserve"> are adopted</w:t>
      </w:r>
      <w:r w:rsidRPr="00D20B55">
        <w:t>;</w:t>
      </w:r>
    </w:p>
    <w:p w:rsidR="00AC1E64" w:rsidRPr="00D20B55" w:rsidRDefault="003C68B4" w:rsidP="0059658C">
      <w:pPr>
        <w:pStyle w:val="ListParagraph"/>
        <w:numPr>
          <w:ilvl w:val="2"/>
          <w:numId w:val="3"/>
        </w:numPr>
        <w:spacing w:after="120" w:line="240" w:lineRule="auto"/>
        <w:jc w:val="both"/>
      </w:pPr>
      <w:r w:rsidRPr="00D20B55">
        <w:t xml:space="preserve">service user networks </w:t>
      </w:r>
      <w:r w:rsidR="00B60BAD" w:rsidRPr="00D20B55">
        <w:t>(</w:t>
      </w:r>
      <w:r w:rsidRPr="00D20B55">
        <w:t>friends and families</w:t>
      </w:r>
      <w:r w:rsidR="00B60BAD" w:rsidRPr="00D20B55">
        <w:t>) are engaged</w:t>
      </w:r>
      <w:r w:rsidRPr="00D20B55">
        <w:t xml:space="preserve">; </w:t>
      </w:r>
    </w:p>
    <w:p w:rsidR="003144D0" w:rsidRDefault="001C7304" w:rsidP="0059658C">
      <w:pPr>
        <w:pStyle w:val="ListParagraph"/>
        <w:numPr>
          <w:ilvl w:val="1"/>
          <w:numId w:val="60"/>
        </w:numPr>
        <w:spacing w:after="120" w:line="240" w:lineRule="auto"/>
        <w:jc w:val="both"/>
      </w:pPr>
      <w:r w:rsidRPr="00D20B55">
        <w:t xml:space="preserve">The provider(s) will look to develop client surveys, user advisory groups, or other means to get direct feedback from users on the service. </w:t>
      </w:r>
      <w:r w:rsidR="002425DB">
        <w:t xml:space="preserve">Provider(s) will work with the programme team and national evaluator to determine the best way of managing this, given the other data collection tools that the evaluator intends to deploy (e.g. user surveys). </w:t>
      </w:r>
    </w:p>
    <w:p w:rsidR="003043D8" w:rsidRDefault="003043D8" w:rsidP="0059658C">
      <w:pPr>
        <w:pStyle w:val="ListParagraph"/>
        <w:numPr>
          <w:ilvl w:val="0"/>
          <w:numId w:val="0"/>
        </w:numPr>
        <w:spacing w:after="120" w:line="240" w:lineRule="auto"/>
        <w:ind w:left="720"/>
        <w:jc w:val="both"/>
      </w:pPr>
    </w:p>
    <w:p w:rsidR="001421B7" w:rsidRPr="00D20B55" w:rsidRDefault="001421B7" w:rsidP="0059658C">
      <w:pPr>
        <w:pStyle w:val="Heading1"/>
        <w:numPr>
          <w:ilvl w:val="0"/>
          <w:numId w:val="60"/>
        </w:numPr>
        <w:spacing w:before="0" w:after="120" w:line="240" w:lineRule="auto"/>
      </w:pPr>
      <w:bookmarkStart w:id="94" w:name="_Toc491351938"/>
      <w:r w:rsidRPr="00D20B55">
        <w:t>Partnerships and networks</w:t>
      </w:r>
      <w:bookmarkEnd w:id="94"/>
    </w:p>
    <w:p w:rsidR="0012149C" w:rsidRPr="0059658C" w:rsidRDefault="0012149C" w:rsidP="0059658C">
      <w:pPr>
        <w:pStyle w:val="ListParagraph"/>
        <w:numPr>
          <w:ilvl w:val="1"/>
          <w:numId w:val="60"/>
        </w:numPr>
        <w:spacing w:after="120" w:line="240" w:lineRule="auto"/>
        <w:jc w:val="both"/>
      </w:pPr>
      <w:r w:rsidRPr="0059658C">
        <w:t xml:space="preserve">Partnership working is </w:t>
      </w:r>
      <w:r w:rsidR="00B60BAD" w:rsidRPr="0059658C">
        <w:t xml:space="preserve">considered </w:t>
      </w:r>
      <w:r w:rsidRPr="0059658C">
        <w:t xml:space="preserve">essential to the success of </w:t>
      </w:r>
      <w:r w:rsidR="00FB7469" w:rsidRPr="0059658C">
        <w:t xml:space="preserve">the trial </w:t>
      </w:r>
      <w:r w:rsidRPr="0059658C">
        <w:t>and therefore the provider(s) will be expected to:</w:t>
      </w:r>
    </w:p>
    <w:p w:rsidR="00FB7469" w:rsidRPr="0059658C" w:rsidRDefault="00FB7469" w:rsidP="0059658C">
      <w:pPr>
        <w:pStyle w:val="ListParagraph"/>
        <w:numPr>
          <w:ilvl w:val="2"/>
          <w:numId w:val="4"/>
        </w:numPr>
        <w:spacing w:after="120" w:line="240" w:lineRule="auto"/>
        <w:jc w:val="both"/>
      </w:pPr>
      <w:r w:rsidRPr="0059658C">
        <w:t>Work closely with the programme team, national evaluator, and Work and Health Unit to ensure adherence to the trial protocol, robust data collection, and data validation;</w:t>
      </w:r>
    </w:p>
    <w:p w:rsidR="0012149C" w:rsidRPr="0059658C" w:rsidRDefault="0012149C" w:rsidP="0059658C">
      <w:pPr>
        <w:pStyle w:val="ListParagraph"/>
        <w:numPr>
          <w:ilvl w:val="2"/>
          <w:numId w:val="4"/>
        </w:numPr>
        <w:spacing w:after="120" w:line="240" w:lineRule="auto"/>
        <w:jc w:val="both"/>
      </w:pPr>
      <w:r w:rsidRPr="0059658C">
        <w:t xml:space="preserve">be committed to developing and maintaining strong partnerships with primary and </w:t>
      </w:r>
      <w:r w:rsidR="00F07E59" w:rsidRPr="0059658C">
        <w:t xml:space="preserve">community </w:t>
      </w:r>
      <w:r w:rsidRPr="0059658C">
        <w:t>h</w:t>
      </w:r>
      <w:r w:rsidR="00F07E59" w:rsidRPr="0059658C">
        <w:t>ealth</w:t>
      </w:r>
      <w:r w:rsidRPr="0059658C">
        <w:t xml:space="preserve"> services</w:t>
      </w:r>
      <w:r w:rsidR="00B352BE" w:rsidRPr="0059658C">
        <w:t>, including establishing co-location and co-working arrangements with a range of clinical teams</w:t>
      </w:r>
      <w:r w:rsidRPr="0059658C">
        <w:t xml:space="preserve">; </w:t>
      </w:r>
    </w:p>
    <w:p w:rsidR="0012149C" w:rsidRPr="0059658C" w:rsidRDefault="0012149C" w:rsidP="0059658C">
      <w:pPr>
        <w:pStyle w:val="ListParagraph"/>
        <w:numPr>
          <w:ilvl w:val="2"/>
          <w:numId w:val="4"/>
        </w:numPr>
        <w:spacing w:after="120" w:line="240" w:lineRule="auto"/>
        <w:jc w:val="both"/>
      </w:pPr>
      <w:r w:rsidRPr="0059658C">
        <w:t xml:space="preserve">to work in a collaborative way </w:t>
      </w:r>
      <w:r w:rsidR="00F63DB9" w:rsidRPr="0059658C">
        <w:t>with Local Integration Boards across the trial area in order to address the wider support needs of clients</w:t>
      </w:r>
      <w:r w:rsidRPr="0059658C">
        <w:t xml:space="preserve">; </w:t>
      </w:r>
    </w:p>
    <w:p w:rsidR="00F63DB9" w:rsidRPr="0059658C" w:rsidRDefault="00F63DB9" w:rsidP="0059658C">
      <w:pPr>
        <w:pStyle w:val="ListParagraph"/>
        <w:numPr>
          <w:ilvl w:val="2"/>
          <w:numId w:val="4"/>
        </w:numPr>
        <w:spacing w:after="120" w:line="240" w:lineRule="auto"/>
        <w:jc w:val="both"/>
      </w:pPr>
      <w:r w:rsidRPr="0059658C">
        <w:t xml:space="preserve">to </w:t>
      </w:r>
      <w:r w:rsidR="00253C04" w:rsidRPr="0059658C">
        <w:t>work in a collaborative way</w:t>
      </w:r>
      <w:r w:rsidR="00D831B3" w:rsidRPr="0059658C">
        <w:t xml:space="preserve"> with </w:t>
      </w:r>
      <w:r w:rsidRPr="0059658C">
        <w:t>Jobcentre Plus</w:t>
      </w:r>
      <w:r w:rsidR="00DB666D" w:rsidRPr="0059658C">
        <w:t>, facilitated by the SCR programme team</w:t>
      </w:r>
      <w:r w:rsidR="00D831B3" w:rsidRPr="0059658C">
        <w:t xml:space="preserve">.  </w:t>
      </w:r>
      <w:r w:rsidR="00253C04" w:rsidRPr="0059658C">
        <w:t xml:space="preserve">An important element of this trial is to ensure that no client is disadvantaged through participation within it, particularly with regard to satisfying any DWP conditionality requirements around ongoing benefit receipts.  </w:t>
      </w:r>
      <w:r w:rsidR="00D831B3" w:rsidRPr="0059658C">
        <w:t xml:space="preserve">It is expected </w:t>
      </w:r>
      <w:r w:rsidR="00DB666D" w:rsidRPr="0059658C">
        <w:t>that provider(s)</w:t>
      </w:r>
      <w:r w:rsidRPr="0059658C">
        <w:t xml:space="preserve"> w</w:t>
      </w:r>
      <w:r w:rsidR="00D831B3" w:rsidRPr="0059658C">
        <w:t xml:space="preserve">ill </w:t>
      </w:r>
      <w:r w:rsidRPr="0059658C">
        <w:t>provide a standard letter from the trial provider</w:t>
      </w:r>
      <w:r w:rsidR="00253C04" w:rsidRPr="0059658C">
        <w:t xml:space="preserve"> to their JCP Work Coach </w:t>
      </w:r>
      <w:r w:rsidRPr="0059658C">
        <w:t>explain</w:t>
      </w:r>
      <w:r w:rsidR="00253C04" w:rsidRPr="0059658C">
        <w:t>ing</w:t>
      </w:r>
      <w:r w:rsidRPr="0059658C">
        <w:t xml:space="preserve"> they are on the trial</w:t>
      </w:r>
      <w:r w:rsidR="00253C04" w:rsidRPr="0059658C">
        <w:t xml:space="preserve">.  </w:t>
      </w:r>
      <w:r w:rsidRPr="0059658C">
        <w:t xml:space="preserve">On the basis of </w:t>
      </w:r>
      <w:r w:rsidR="00253C04" w:rsidRPr="0059658C">
        <w:t>consent,</w:t>
      </w:r>
      <w:r w:rsidRPr="0059658C">
        <w:t xml:space="preserve"> the Work Coach could check the person is on trial by calling their </w:t>
      </w:r>
      <w:r w:rsidR="009037ED" w:rsidRPr="0059658C">
        <w:t>IPS Employment Specialist</w:t>
      </w:r>
      <w:r w:rsidRPr="0059658C">
        <w:t>.</w:t>
      </w:r>
      <w:r w:rsidR="00253C04" w:rsidRPr="0059658C">
        <w:t xml:space="preserve">  This will be facilitated by the SCR programme team and senior local Jobcentre Plus colleagues.</w:t>
      </w:r>
    </w:p>
    <w:p w:rsidR="0012149C" w:rsidRPr="0059658C" w:rsidRDefault="0012149C" w:rsidP="0059658C">
      <w:pPr>
        <w:pStyle w:val="ListParagraph"/>
        <w:numPr>
          <w:ilvl w:val="2"/>
          <w:numId w:val="4"/>
        </w:numPr>
        <w:spacing w:after="120" w:line="240" w:lineRule="auto"/>
        <w:jc w:val="both"/>
      </w:pPr>
      <w:r w:rsidRPr="0059658C">
        <w:t xml:space="preserve">be aware of and form working relationships with existing </w:t>
      </w:r>
      <w:r w:rsidR="00D73AE1" w:rsidRPr="0059658C">
        <w:t xml:space="preserve">Sheffield City Region </w:t>
      </w:r>
      <w:r w:rsidR="00771534" w:rsidRPr="0059658C">
        <w:t>s</w:t>
      </w:r>
      <w:r w:rsidRPr="0059658C">
        <w:t xml:space="preserve">ervices to maximise the use of resources, share good practice, and develop new initiatives; </w:t>
      </w:r>
    </w:p>
    <w:p w:rsidR="003144D0" w:rsidRPr="0059658C" w:rsidRDefault="0012149C" w:rsidP="0059658C">
      <w:pPr>
        <w:pStyle w:val="ListParagraph"/>
        <w:numPr>
          <w:ilvl w:val="2"/>
          <w:numId w:val="4"/>
        </w:numPr>
        <w:spacing w:after="120" w:line="240" w:lineRule="auto"/>
        <w:jc w:val="both"/>
      </w:pPr>
      <w:r w:rsidRPr="0059658C">
        <w:t>work collaborative</w:t>
      </w:r>
      <w:r w:rsidR="001C7304" w:rsidRPr="0059658C">
        <w:t>ly</w:t>
      </w:r>
      <w:r w:rsidR="00FA1024" w:rsidRPr="0059658C">
        <w:t xml:space="preserve"> with partners to target Black Minority Ethnic and Refugee (BMER) </w:t>
      </w:r>
      <w:r w:rsidRPr="0059658C">
        <w:t xml:space="preserve">communities and hard to reach groups within </w:t>
      </w:r>
      <w:r w:rsidR="00D73AE1" w:rsidRPr="0059658C">
        <w:t>Sheffield City Region</w:t>
      </w:r>
      <w:r w:rsidR="006E6342" w:rsidRPr="0059658C">
        <w:t>, such as communities</w:t>
      </w:r>
      <w:r w:rsidR="001C7304" w:rsidRPr="0059658C">
        <w:t xml:space="preserve"> with high rates of English as an Additional Language (EAL)</w:t>
      </w:r>
      <w:r w:rsidRPr="0059658C">
        <w:t xml:space="preserve">; </w:t>
      </w:r>
    </w:p>
    <w:p w:rsidR="003144D0" w:rsidRPr="0059658C" w:rsidRDefault="0012149C" w:rsidP="0059658C">
      <w:pPr>
        <w:pStyle w:val="ListParagraph"/>
        <w:numPr>
          <w:ilvl w:val="2"/>
          <w:numId w:val="4"/>
        </w:numPr>
        <w:spacing w:after="120" w:line="240" w:lineRule="auto"/>
        <w:jc w:val="both"/>
      </w:pPr>
      <w:r w:rsidRPr="0059658C">
        <w:t xml:space="preserve">work with community organisations to reduce stigma around </w:t>
      </w:r>
      <w:r w:rsidR="003144D0" w:rsidRPr="0059658C">
        <w:t xml:space="preserve">disability and health conditions. </w:t>
      </w:r>
      <w:r w:rsidRPr="0059658C">
        <w:t>They will ensure that services are designed and developed in a co-produced way and that the voice of the community is hea</w:t>
      </w:r>
      <w:r w:rsidR="003144D0" w:rsidRPr="0059658C">
        <w:t>rd in developing the offer; and</w:t>
      </w:r>
    </w:p>
    <w:p w:rsidR="003144D0" w:rsidRPr="0059658C" w:rsidRDefault="0012149C" w:rsidP="0059658C">
      <w:pPr>
        <w:pStyle w:val="ListParagraph"/>
        <w:numPr>
          <w:ilvl w:val="2"/>
          <w:numId w:val="4"/>
        </w:numPr>
        <w:spacing w:after="120" w:line="240" w:lineRule="auto"/>
        <w:jc w:val="both"/>
      </w:pPr>
      <w:r w:rsidRPr="0059658C">
        <w:t>actively engage with employ</w:t>
      </w:r>
      <w:r w:rsidR="00C2173E" w:rsidRPr="0059658C">
        <w:t>ers</w:t>
      </w:r>
      <w:r w:rsidR="00D75655" w:rsidRPr="0059658C">
        <w:t xml:space="preserve"> (large and small)</w:t>
      </w:r>
      <w:r w:rsidR="00C2173E" w:rsidRPr="0059658C">
        <w:t xml:space="preserve"> in line with the IPS model</w:t>
      </w:r>
      <w:r w:rsidR="00253C04" w:rsidRPr="0059658C">
        <w:t>, including working through existing local area employer engagement arrangements.</w:t>
      </w:r>
    </w:p>
    <w:p w:rsidR="00CA0543" w:rsidRPr="0059658C" w:rsidRDefault="00C2173E" w:rsidP="0059658C">
      <w:pPr>
        <w:pStyle w:val="ListParagraph"/>
        <w:numPr>
          <w:ilvl w:val="1"/>
          <w:numId w:val="60"/>
        </w:numPr>
        <w:spacing w:after="120" w:line="240" w:lineRule="auto"/>
        <w:jc w:val="both"/>
      </w:pPr>
      <w:r w:rsidRPr="0059658C">
        <w:t>The provider</w:t>
      </w:r>
      <w:r w:rsidR="00EE6716" w:rsidRPr="0059658C">
        <w:t>(</w:t>
      </w:r>
      <w:r w:rsidRPr="0059658C">
        <w:t>s</w:t>
      </w:r>
      <w:r w:rsidR="00EE6716" w:rsidRPr="0059658C">
        <w:t>)</w:t>
      </w:r>
      <w:r w:rsidRPr="0059658C">
        <w:t xml:space="preserve"> will be expected to show evidence of existing networks in place and </w:t>
      </w:r>
      <w:r w:rsidR="00EE6716" w:rsidRPr="0059658C">
        <w:t xml:space="preserve">a commitment </w:t>
      </w:r>
      <w:r w:rsidRPr="0059658C">
        <w:t>to form</w:t>
      </w:r>
      <w:r w:rsidR="00EE6716" w:rsidRPr="0059658C">
        <w:t>ing</w:t>
      </w:r>
      <w:r w:rsidRPr="0059658C">
        <w:t xml:space="preserve"> new ones</w:t>
      </w:r>
      <w:r w:rsidR="00EE6716" w:rsidRPr="0059658C">
        <w:t xml:space="preserve"> where applicable</w:t>
      </w:r>
      <w:r w:rsidRPr="0059658C">
        <w:t>.</w:t>
      </w:r>
    </w:p>
    <w:p w:rsidR="003144D0" w:rsidRPr="0059658C" w:rsidRDefault="00C2173E" w:rsidP="0059658C">
      <w:pPr>
        <w:pStyle w:val="ListParagraph"/>
        <w:numPr>
          <w:ilvl w:val="1"/>
          <w:numId w:val="60"/>
        </w:numPr>
        <w:spacing w:after="120" w:line="240" w:lineRule="auto"/>
        <w:jc w:val="both"/>
      </w:pPr>
      <w:r w:rsidRPr="0059658C">
        <w:t xml:space="preserve">In practice, the providers will </w:t>
      </w:r>
      <w:r w:rsidR="006E6342" w:rsidRPr="0059658C">
        <w:t xml:space="preserve">also </w:t>
      </w:r>
      <w:r w:rsidRPr="0059658C">
        <w:t>be supported by the networks formed by the central programme team and the wider</w:t>
      </w:r>
      <w:r w:rsidR="00CA0543" w:rsidRPr="0059658C">
        <w:t xml:space="preserve"> </w:t>
      </w:r>
      <w:r w:rsidR="00F1327F" w:rsidRPr="0059658C">
        <w:t>SCR</w:t>
      </w:r>
      <w:r w:rsidR="00CA0543" w:rsidRPr="0059658C">
        <w:t xml:space="preserve"> </w:t>
      </w:r>
      <w:r w:rsidR="005B6BC2" w:rsidRPr="0059658C">
        <w:t>p</w:t>
      </w:r>
      <w:r w:rsidR="00CA0543" w:rsidRPr="0059658C">
        <w:t>rogramme</w:t>
      </w:r>
      <w:r w:rsidR="00F1327F" w:rsidRPr="0059658C">
        <w:t>s.</w:t>
      </w:r>
    </w:p>
    <w:p w:rsidR="00AC1E64" w:rsidRPr="0059658C" w:rsidRDefault="00AC1E64" w:rsidP="0059658C">
      <w:pPr>
        <w:pStyle w:val="ListParagraph"/>
        <w:numPr>
          <w:ilvl w:val="0"/>
          <w:numId w:val="0"/>
        </w:numPr>
        <w:spacing w:after="120" w:line="240" w:lineRule="auto"/>
        <w:ind w:left="720"/>
        <w:jc w:val="both"/>
      </w:pPr>
    </w:p>
    <w:p w:rsidR="001421B7" w:rsidRPr="0059658C" w:rsidRDefault="004E7561" w:rsidP="0059658C">
      <w:pPr>
        <w:pStyle w:val="Heading1"/>
        <w:numPr>
          <w:ilvl w:val="0"/>
          <w:numId w:val="60"/>
        </w:numPr>
        <w:spacing w:before="0" w:after="120" w:line="240" w:lineRule="auto"/>
      </w:pPr>
      <w:bookmarkStart w:id="95" w:name="_Toc491351939"/>
      <w:r w:rsidRPr="0059658C">
        <w:t>Data collection</w:t>
      </w:r>
      <w:r w:rsidR="007A59F7" w:rsidRPr="0059658C">
        <w:t>, reporting, and contract monitoring</w:t>
      </w:r>
      <w:bookmarkEnd w:id="95"/>
    </w:p>
    <w:p w:rsidR="007A59F7" w:rsidRPr="0059658C" w:rsidRDefault="007A59F7" w:rsidP="0059658C">
      <w:pPr>
        <w:pStyle w:val="ListParagraph"/>
        <w:numPr>
          <w:ilvl w:val="1"/>
          <w:numId w:val="60"/>
        </w:numPr>
        <w:spacing w:after="120" w:line="240" w:lineRule="auto"/>
      </w:pPr>
      <w:r w:rsidRPr="0059658C">
        <w:t xml:space="preserve">Throughout service delivery, data will </w:t>
      </w:r>
      <w:r w:rsidR="00AB3A63" w:rsidRPr="0059658C">
        <w:t xml:space="preserve">need to </w:t>
      </w:r>
      <w:r w:rsidRPr="0059658C">
        <w:t xml:space="preserve">be collected by both the provider(s) and the national evaluators. </w:t>
      </w:r>
    </w:p>
    <w:p w:rsidR="007A59F7" w:rsidRPr="0059658C" w:rsidRDefault="00564F23" w:rsidP="0059658C">
      <w:pPr>
        <w:pStyle w:val="ListParagraph"/>
        <w:numPr>
          <w:ilvl w:val="1"/>
          <w:numId w:val="60"/>
        </w:numPr>
        <w:spacing w:after="120" w:line="240" w:lineRule="auto"/>
      </w:pPr>
      <w:r w:rsidRPr="0059658C">
        <w:t>This data will serve three</w:t>
      </w:r>
      <w:r w:rsidR="007A59F7" w:rsidRPr="0059658C">
        <w:t xml:space="preserve"> purposes:</w:t>
      </w:r>
    </w:p>
    <w:p w:rsidR="00AB3A63" w:rsidRPr="0059658C" w:rsidRDefault="00AB3A63" w:rsidP="0059658C">
      <w:pPr>
        <w:pStyle w:val="ListParagraph"/>
        <w:numPr>
          <w:ilvl w:val="2"/>
          <w:numId w:val="78"/>
        </w:numPr>
        <w:spacing w:after="120" w:line="240" w:lineRule="auto"/>
        <w:ind w:left="1276" w:hanging="567"/>
      </w:pPr>
      <w:r w:rsidRPr="0059658C">
        <w:t>To enable effective service delivery</w:t>
      </w:r>
    </w:p>
    <w:p w:rsidR="007A59F7" w:rsidRPr="0059658C" w:rsidRDefault="007A59F7" w:rsidP="0059658C">
      <w:pPr>
        <w:pStyle w:val="ListParagraph"/>
        <w:numPr>
          <w:ilvl w:val="2"/>
          <w:numId w:val="78"/>
        </w:numPr>
        <w:spacing w:after="120" w:line="240" w:lineRule="auto"/>
        <w:ind w:left="1276" w:hanging="567"/>
      </w:pPr>
      <w:r w:rsidRPr="0059658C">
        <w:lastRenderedPageBreak/>
        <w:t>To enable analysis for the trial evaluation; and</w:t>
      </w:r>
    </w:p>
    <w:p w:rsidR="007A59F7" w:rsidRPr="0059658C" w:rsidRDefault="007A59F7" w:rsidP="0059658C">
      <w:pPr>
        <w:pStyle w:val="ListParagraph"/>
        <w:numPr>
          <w:ilvl w:val="2"/>
          <w:numId w:val="78"/>
        </w:numPr>
        <w:spacing w:after="120" w:line="240" w:lineRule="auto"/>
        <w:ind w:left="1276" w:hanging="567"/>
      </w:pPr>
      <w:r w:rsidRPr="0059658C">
        <w:t xml:space="preserve">To monitor operational KPIs as part of the contract and performance management of the service. </w:t>
      </w:r>
    </w:p>
    <w:p w:rsidR="00226C2E" w:rsidRPr="0059658C" w:rsidRDefault="00226C2E" w:rsidP="0059658C">
      <w:pPr>
        <w:pStyle w:val="ListParagraph"/>
        <w:numPr>
          <w:ilvl w:val="1"/>
          <w:numId w:val="60"/>
        </w:numPr>
        <w:spacing w:after="120" w:line="240" w:lineRule="auto"/>
        <w:jc w:val="both"/>
      </w:pPr>
      <w:r w:rsidRPr="0059658C">
        <w:t xml:space="preserve">The provider will be required to collect baseline data from all individuals who are eligible for the trial and consent to take part. This baseline data will need to be collected by the IPS Employment Specialist in the initial meeting with the client. The precise baseline data requirements are still being finalised. The key elements are outlined in Appendices 5 &amp; 6. </w:t>
      </w:r>
    </w:p>
    <w:p w:rsidR="007A59F7" w:rsidRPr="0059658C" w:rsidRDefault="007A59F7" w:rsidP="0059658C">
      <w:pPr>
        <w:pStyle w:val="ListParagraph"/>
        <w:numPr>
          <w:ilvl w:val="1"/>
          <w:numId w:val="60"/>
        </w:numPr>
        <w:spacing w:after="120" w:line="240" w:lineRule="auto"/>
        <w:jc w:val="both"/>
      </w:pPr>
      <w:r w:rsidRPr="0059658C">
        <w:t xml:space="preserve">For individuals randomised into the control group, no further data collection is required by the provider. </w:t>
      </w:r>
    </w:p>
    <w:p w:rsidR="007A59F7" w:rsidRPr="0059658C" w:rsidRDefault="007A59F7" w:rsidP="0059658C">
      <w:pPr>
        <w:pStyle w:val="ListParagraph"/>
        <w:numPr>
          <w:ilvl w:val="1"/>
          <w:numId w:val="60"/>
        </w:numPr>
        <w:spacing w:after="120" w:line="240" w:lineRule="auto"/>
        <w:jc w:val="both"/>
      </w:pPr>
      <w:r w:rsidRPr="0059658C">
        <w:t xml:space="preserve">For individuals randomised into the treatment group who go on to receive </w:t>
      </w:r>
      <w:r w:rsidR="00D831B3" w:rsidRPr="0059658C">
        <w:t>modified</w:t>
      </w:r>
      <w:r w:rsidR="00707E03" w:rsidRPr="0059658C">
        <w:t xml:space="preserve"> IPS</w:t>
      </w:r>
      <w:r w:rsidRPr="0059658C">
        <w:t xml:space="preserve">, the provider(s) will be expected to collect </w:t>
      </w:r>
      <w:r w:rsidR="00E1440D" w:rsidRPr="0059658C">
        <w:t xml:space="preserve">further </w:t>
      </w:r>
      <w:r w:rsidRPr="0059658C">
        <w:t>data throughout service delivery.</w:t>
      </w:r>
      <w:r w:rsidR="003860D9" w:rsidRPr="0059658C">
        <w:t xml:space="preserve">  This </w:t>
      </w:r>
      <w:r w:rsidR="00E1440D" w:rsidRPr="0059658C">
        <w:t xml:space="preserve">will be finalised and will </w:t>
      </w:r>
      <w:r w:rsidR="003860D9" w:rsidRPr="0059658C">
        <w:t xml:space="preserve">include both </w:t>
      </w:r>
      <w:r w:rsidR="00E1440D" w:rsidRPr="0059658C">
        <w:t>k</w:t>
      </w:r>
      <w:r w:rsidR="003860D9" w:rsidRPr="0059658C">
        <w:t xml:space="preserve">ey </w:t>
      </w:r>
      <w:r w:rsidR="00E1440D" w:rsidRPr="0059658C">
        <w:t>o</w:t>
      </w:r>
      <w:r w:rsidR="003860D9" w:rsidRPr="0059658C">
        <w:t>utcome</w:t>
      </w:r>
      <w:r w:rsidR="00E1440D" w:rsidRPr="0059658C">
        <w:t xml:space="preserve"> measures</w:t>
      </w:r>
      <w:r w:rsidR="003860D9" w:rsidRPr="0059658C">
        <w:t xml:space="preserve">, for which evidence will be required, and operational KPIs. </w:t>
      </w:r>
      <w:r w:rsidRPr="0059658C">
        <w:t xml:space="preserve">The key operational data requirements are outlined in Appendix </w:t>
      </w:r>
      <w:r w:rsidR="004B1C78" w:rsidRPr="0059658C">
        <w:t>5</w:t>
      </w:r>
      <w:r w:rsidRPr="0059658C">
        <w:t xml:space="preserve">, although these are subject to </w:t>
      </w:r>
      <w:r w:rsidR="003860D9" w:rsidRPr="0059658C">
        <w:t>change</w:t>
      </w:r>
      <w:r w:rsidRPr="0059658C">
        <w:t xml:space="preserve">. </w:t>
      </w:r>
    </w:p>
    <w:p w:rsidR="007A59F7" w:rsidRPr="0059658C" w:rsidRDefault="007A59F7" w:rsidP="0059658C">
      <w:pPr>
        <w:pStyle w:val="ListParagraph"/>
        <w:numPr>
          <w:ilvl w:val="1"/>
          <w:numId w:val="60"/>
        </w:numPr>
        <w:spacing w:after="120" w:line="240" w:lineRule="auto"/>
        <w:jc w:val="both"/>
      </w:pPr>
      <w:r w:rsidRPr="0059658C">
        <w:t xml:space="preserve">It is critical that data </w:t>
      </w:r>
      <w:r w:rsidR="0047383E" w:rsidRPr="0059658C">
        <w:t xml:space="preserve">are </w:t>
      </w:r>
      <w:r w:rsidRPr="0059658C">
        <w:t>collected in a consistent way across the trial</w:t>
      </w:r>
      <w:r w:rsidR="00637DFC" w:rsidRPr="0059658C">
        <w:t>, given the complexities around operational reporting and information sharing with the evaluator</w:t>
      </w:r>
      <w:r w:rsidRPr="0059658C">
        <w:t>. We will collaborate with the provider(s) to refine and finalise the system</w:t>
      </w:r>
      <w:r w:rsidR="00A91124" w:rsidRPr="0059658C">
        <w:t xml:space="preserve"> to ensure that it delivers the required data in a standardised and easily accessible format</w:t>
      </w:r>
      <w:r w:rsidRPr="0059658C">
        <w:t xml:space="preserve">. </w:t>
      </w:r>
    </w:p>
    <w:p w:rsidR="007D0C94" w:rsidRPr="0059658C" w:rsidRDefault="00B1047A" w:rsidP="0059658C">
      <w:pPr>
        <w:pStyle w:val="ListParagraph"/>
        <w:numPr>
          <w:ilvl w:val="1"/>
          <w:numId w:val="60"/>
        </w:numPr>
        <w:spacing w:after="120" w:line="240" w:lineRule="auto"/>
        <w:jc w:val="both"/>
      </w:pPr>
      <w:r w:rsidRPr="0059658C">
        <w:t xml:space="preserve">The sensitive nature of the data being collected, stored, and transferred raises the importance of strong compliance to the Information Governance protocols of the trial. These are being developed by the trial Information Governance Steering Group in conjunction with the Work and Health Unit, NHS England, the national evaluation consortia and local data and information governance experts.  These information governance protocols are subject to Health Research Authority (HRA) approval.  </w:t>
      </w:r>
      <w:r w:rsidR="00637DFC" w:rsidRPr="0059658C">
        <w:t>To manage the data</w:t>
      </w:r>
      <w:r w:rsidR="00A91124" w:rsidRPr="0059658C">
        <w:t xml:space="preserve"> </w:t>
      </w:r>
      <w:r w:rsidR="00637DFC" w:rsidRPr="0059658C">
        <w:t xml:space="preserve">flows for the evaluation, </w:t>
      </w:r>
      <w:r w:rsidR="0047383E" w:rsidRPr="0059658C">
        <w:t>provider</w:t>
      </w:r>
      <w:r w:rsidR="00A91124" w:rsidRPr="0059658C">
        <w:t>(</w:t>
      </w:r>
      <w:r w:rsidR="0047383E" w:rsidRPr="0059658C">
        <w:t>s</w:t>
      </w:r>
      <w:r w:rsidR="00A91124" w:rsidRPr="0059658C">
        <w:t>)</w:t>
      </w:r>
      <w:r w:rsidR="0047383E" w:rsidRPr="0059658C">
        <w:t xml:space="preserve"> will be expected to work with the SCR programme team, the Work and Health Unit and the national evaluation consortia to collect and transfer data in an agreed, secure manner.  </w:t>
      </w:r>
    </w:p>
    <w:p w:rsidR="007A59F7" w:rsidRPr="0059658C" w:rsidRDefault="007A59F7" w:rsidP="0059658C">
      <w:pPr>
        <w:pStyle w:val="ListParagraph"/>
        <w:numPr>
          <w:ilvl w:val="1"/>
          <w:numId w:val="60"/>
        </w:numPr>
        <w:spacing w:after="120" w:line="240" w:lineRule="auto"/>
        <w:jc w:val="both"/>
        <w:rPr>
          <w:b/>
        </w:rPr>
      </w:pPr>
      <w:r w:rsidRPr="0059658C">
        <w:t xml:space="preserve">The evaluator will </w:t>
      </w:r>
      <w:r w:rsidR="00637DFC" w:rsidRPr="0059658C">
        <w:t xml:space="preserve">collect </w:t>
      </w:r>
      <w:r w:rsidRPr="0059658C">
        <w:t>follow-up data from</w:t>
      </w:r>
      <w:r w:rsidR="00637DFC" w:rsidRPr="0059658C">
        <w:t xml:space="preserve"> service </w:t>
      </w:r>
      <w:r w:rsidRPr="0059658C">
        <w:t xml:space="preserve">users </w:t>
      </w:r>
      <w:r w:rsidR="00637DFC" w:rsidRPr="0059658C">
        <w:t xml:space="preserve">in both the treatment and control groups. The evaluator will also conduct a number of qualitative interviews with service users in both groups. </w:t>
      </w:r>
      <w:r w:rsidR="00B1047A" w:rsidRPr="0059658C">
        <w:t>Provider</w:t>
      </w:r>
      <w:r w:rsidR="00A91124" w:rsidRPr="0059658C">
        <w:t>(</w:t>
      </w:r>
      <w:r w:rsidR="00B1047A" w:rsidRPr="0059658C">
        <w:t>s</w:t>
      </w:r>
      <w:r w:rsidR="00A91124" w:rsidRPr="0059658C">
        <w:t>)</w:t>
      </w:r>
      <w:r w:rsidR="00B1047A" w:rsidRPr="0059658C">
        <w:t xml:space="preserve"> will be expected to facilitate this as needed.  </w:t>
      </w:r>
      <w:r w:rsidR="00637DFC" w:rsidRPr="0059658C">
        <w:t xml:space="preserve">We will look to coordinate data collection between the provider(s) and evaluator for people in the treatment group to avoid placing excessive burdens on service users. </w:t>
      </w:r>
    </w:p>
    <w:p w:rsidR="00403FDF" w:rsidRPr="0059658C" w:rsidRDefault="00403FDF" w:rsidP="0059658C">
      <w:pPr>
        <w:pStyle w:val="ListParagraph"/>
        <w:numPr>
          <w:ilvl w:val="1"/>
          <w:numId w:val="60"/>
        </w:numPr>
        <w:spacing w:after="120" w:line="240" w:lineRule="auto"/>
        <w:jc w:val="both"/>
      </w:pPr>
      <w:r w:rsidRPr="0059658C">
        <w:t>The provider will be required to submit a proposed forecast against each of the KPIs and metrics set out in Appendix 5.  This will be finalised and locked down with the approved provider in their contract inception meeting and will form the baseline against which contract performance will be assessed.</w:t>
      </w:r>
    </w:p>
    <w:p w:rsidR="006D24C6" w:rsidRPr="0059658C" w:rsidRDefault="00637DFC" w:rsidP="0059658C">
      <w:pPr>
        <w:pStyle w:val="ListParagraph"/>
        <w:numPr>
          <w:ilvl w:val="1"/>
          <w:numId w:val="60"/>
        </w:numPr>
        <w:spacing w:after="120" w:line="240" w:lineRule="auto"/>
        <w:jc w:val="both"/>
      </w:pPr>
      <w:r w:rsidRPr="0059658C">
        <w:t>As part of the monitoring of the service, the provider</w:t>
      </w:r>
      <w:r w:rsidR="006D24C6" w:rsidRPr="0059658C">
        <w:t>(s) will be required</w:t>
      </w:r>
      <w:r w:rsidR="00D51CC0" w:rsidRPr="0059658C">
        <w:t xml:space="preserve"> to</w:t>
      </w:r>
      <w:r w:rsidR="006D24C6" w:rsidRPr="0059658C">
        <w:t>:</w:t>
      </w:r>
    </w:p>
    <w:p w:rsidR="006D24C6" w:rsidRPr="0059658C" w:rsidRDefault="007341C9" w:rsidP="0059658C">
      <w:pPr>
        <w:pStyle w:val="ListParagraph"/>
        <w:numPr>
          <w:ilvl w:val="2"/>
          <w:numId w:val="77"/>
        </w:numPr>
        <w:spacing w:after="120" w:line="240" w:lineRule="auto"/>
        <w:ind w:left="1134" w:hanging="283"/>
        <w:jc w:val="both"/>
      </w:pPr>
      <w:r w:rsidRPr="0059658C">
        <w:t xml:space="preserve">Submit a </w:t>
      </w:r>
      <w:r w:rsidR="0044547C" w:rsidRPr="0059658C">
        <w:t xml:space="preserve">detailed </w:t>
      </w:r>
      <w:r w:rsidR="00623884" w:rsidRPr="0059658C">
        <w:t>monthly</w:t>
      </w:r>
      <w:r w:rsidR="006D24C6" w:rsidRPr="0059658C">
        <w:t xml:space="preserve"> Data Report</w:t>
      </w:r>
      <w:r w:rsidR="00AC1E64" w:rsidRPr="0059658C">
        <w:t xml:space="preserve"> </w:t>
      </w:r>
      <w:r w:rsidR="00A13A1A" w:rsidRPr="0059658C">
        <w:t>against KPIs (appendix 5)</w:t>
      </w:r>
      <w:r w:rsidRPr="0059658C">
        <w:t xml:space="preserve"> </w:t>
      </w:r>
      <w:r w:rsidR="00AC1E64" w:rsidRPr="0059658C">
        <w:t>no later than the 7</w:t>
      </w:r>
      <w:r w:rsidR="00AC1E64" w:rsidRPr="0059658C">
        <w:rPr>
          <w:vertAlign w:val="superscript"/>
        </w:rPr>
        <w:t>th</w:t>
      </w:r>
      <w:r w:rsidR="00AC1E64" w:rsidRPr="0059658C">
        <w:t xml:space="preserve"> of each calendar month (appendix 5)</w:t>
      </w:r>
      <w:r w:rsidRPr="0059658C">
        <w:t xml:space="preserve"> making all supporting evidence available to validation by the contract management team;</w:t>
      </w:r>
    </w:p>
    <w:p w:rsidR="006D24C6" w:rsidRPr="0059658C" w:rsidRDefault="008E504B" w:rsidP="0059658C">
      <w:pPr>
        <w:pStyle w:val="ListParagraph"/>
        <w:numPr>
          <w:ilvl w:val="2"/>
          <w:numId w:val="77"/>
        </w:numPr>
        <w:spacing w:after="120" w:line="240" w:lineRule="auto"/>
        <w:ind w:left="1134" w:hanging="283"/>
        <w:jc w:val="both"/>
      </w:pPr>
      <w:r w:rsidRPr="0059658C">
        <w:t xml:space="preserve">comply with </w:t>
      </w:r>
      <w:r w:rsidR="006D24C6" w:rsidRPr="0059658C">
        <w:t xml:space="preserve">a robust </w:t>
      </w:r>
      <w:r w:rsidR="00B1047A" w:rsidRPr="0059658C">
        <w:t>M</w:t>
      </w:r>
      <w:r w:rsidR="009E4FD8" w:rsidRPr="0059658C">
        <w:t xml:space="preserve">anagement Information </w:t>
      </w:r>
      <w:r w:rsidR="006D24C6" w:rsidRPr="0059658C">
        <w:t xml:space="preserve">framework that will monitor </w:t>
      </w:r>
      <w:r w:rsidR="00B1047A" w:rsidRPr="0059658C">
        <w:t xml:space="preserve">service delivery including modified IPS fidelity, </w:t>
      </w:r>
      <w:r w:rsidR="006D24C6" w:rsidRPr="0059658C">
        <w:t xml:space="preserve">outcomes and set goals for service development; </w:t>
      </w:r>
    </w:p>
    <w:p w:rsidR="00A13A1A" w:rsidRPr="0059658C" w:rsidRDefault="00A13A1A" w:rsidP="0059658C">
      <w:pPr>
        <w:pStyle w:val="ListParagraph"/>
        <w:numPr>
          <w:ilvl w:val="2"/>
          <w:numId w:val="77"/>
        </w:numPr>
        <w:spacing w:after="120" w:line="240" w:lineRule="auto"/>
        <w:ind w:left="1134" w:hanging="283"/>
        <w:jc w:val="both"/>
      </w:pPr>
      <w:r w:rsidRPr="0059658C">
        <w:t>additional reports may be required by the evaluation team, further details and frequency should these be required at any point will be confirmed through contr</w:t>
      </w:r>
      <w:r w:rsidR="009E4FD8" w:rsidRPr="0059658C">
        <w:t>act meetings with the providers;</w:t>
      </w:r>
    </w:p>
    <w:p w:rsidR="006D24C6" w:rsidRPr="0059658C" w:rsidRDefault="006D24C6" w:rsidP="0059658C">
      <w:pPr>
        <w:pStyle w:val="ListParagraph"/>
        <w:numPr>
          <w:ilvl w:val="2"/>
          <w:numId w:val="77"/>
        </w:numPr>
        <w:spacing w:after="120" w:line="240" w:lineRule="auto"/>
        <w:ind w:left="1134" w:hanging="283"/>
        <w:jc w:val="both"/>
      </w:pPr>
      <w:r w:rsidRPr="0059658C">
        <w:t>submit complete, accurate, and timely monitoring retu</w:t>
      </w:r>
      <w:r w:rsidR="000C6392" w:rsidRPr="0059658C">
        <w:t>rns</w:t>
      </w:r>
      <w:r w:rsidR="009E4FD8" w:rsidRPr="0059658C">
        <w:t>.</w:t>
      </w:r>
    </w:p>
    <w:p w:rsidR="00466CAC" w:rsidRPr="0059658C" w:rsidRDefault="00466CAC" w:rsidP="0059658C">
      <w:pPr>
        <w:pStyle w:val="ListParagraph"/>
        <w:numPr>
          <w:ilvl w:val="1"/>
          <w:numId w:val="60"/>
        </w:numPr>
        <w:spacing w:after="120" w:line="240" w:lineRule="auto"/>
        <w:jc w:val="both"/>
      </w:pPr>
      <w:r w:rsidRPr="0059658C">
        <w:t xml:space="preserve">Formal monitoring meetings will take place </w:t>
      </w:r>
      <w:r w:rsidR="002E321A" w:rsidRPr="0059658C">
        <w:t xml:space="preserve">in the </w:t>
      </w:r>
      <w:r w:rsidR="006117EA" w:rsidRPr="0059658C">
        <w:t>Sheffield City Region</w:t>
      </w:r>
      <w:r w:rsidR="002E321A" w:rsidRPr="0059658C">
        <w:t xml:space="preserve"> </w:t>
      </w:r>
      <w:r w:rsidRPr="0059658C">
        <w:t>and will be attended by the</w:t>
      </w:r>
      <w:r w:rsidR="00B1047A" w:rsidRPr="0059658C">
        <w:t xml:space="preserve"> programme team</w:t>
      </w:r>
      <w:r w:rsidRPr="0059658C">
        <w:t xml:space="preserve"> </w:t>
      </w:r>
      <w:r w:rsidR="00B54D68" w:rsidRPr="0059658C">
        <w:t xml:space="preserve">a </w:t>
      </w:r>
      <w:r w:rsidR="00AC0492" w:rsidRPr="0059658C">
        <w:t>representative</w:t>
      </w:r>
      <w:r w:rsidR="00B54D68" w:rsidRPr="0059658C">
        <w:t xml:space="preserve"> from</w:t>
      </w:r>
      <w:r w:rsidRPr="0059658C">
        <w:t xml:space="preserve"> the provider(s) and</w:t>
      </w:r>
      <w:r w:rsidR="00050AA8" w:rsidRPr="0059658C">
        <w:t>,</w:t>
      </w:r>
      <w:r w:rsidRPr="0059658C">
        <w:t xml:space="preserve"> </w:t>
      </w:r>
      <w:r w:rsidR="00050AA8" w:rsidRPr="0059658C">
        <w:t xml:space="preserve">potentially, </w:t>
      </w:r>
      <w:r w:rsidR="00163504" w:rsidRPr="0059658C">
        <w:t>service user representatives at a timescale agreed in contract inception.</w:t>
      </w:r>
    </w:p>
    <w:p w:rsidR="00B54D68" w:rsidRPr="0059658C" w:rsidRDefault="00B54D68" w:rsidP="0059658C">
      <w:pPr>
        <w:pStyle w:val="ListParagraph"/>
        <w:numPr>
          <w:ilvl w:val="1"/>
          <w:numId w:val="60"/>
        </w:numPr>
        <w:spacing w:after="120" w:line="240" w:lineRule="auto"/>
        <w:jc w:val="both"/>
      </w:pPr>
      <w:r w:rsidRPr="0059658C">
        <w:lastRenderedPageBreak/>
        <w:t xml:space="preserve">The Provider(s) shall inform the </w:t>
      </w:r>
      <w:r w:rsidR="00050AA8" w:rsidRPr="0059658C">
        <w:t xml:space="preserve">programme team </w:t>
      </w:r>
      <w:r w:rsidRPr="0059658C">
        <w:t>immediately if there is a change to the contract manager and if there is likely to be a substantive change to the service or any matter affecting any provision of the service during the term of the contract.</w:t>
      </w:r>
    </w:p>
    <w:p w:rsidR="00B54D68" w:rsidRPr="0059658C" w:rsidRDefault="00B54D68" w:rsidP="0059658C">
      <w:pPr>
        <w:pStyle w:val="ListParagraph"/>
        <w:numPr>
          <w:ilvl w:val="1"/>
          <w:numId w:val="60"/>
        </w:numPr>
        <w:spacing w:after="120" w:line="240" w:lineRule="auto"/>
        <w:jc w:val="both"/>
      </w:pPr>
      <w:r w:rsidRPr="0059658C">
        <w:t xml:space="preserve">The </w:t>
      </w:r>
      <w:r w:rsidR="000C6392" w:rsidRPr="0059658C">
        <w:t xml:space="preserve">SCR </w:t>
      </w:r>
      <w:r w:rsidR="00050AA8" w:rsidRPr="0059658C">
        <w:t>programme team</w:t>
      </w:r>
      <w:r w:rsidR="00D51CC0" w:rsidRPr="0059658C">
        <w:t xml:space="preserve"> </w:t>
      </w:r>
      <w:r w:rsidRPr="0059658C">
        <w:t xml:space="preserve">will be the first point of contact for the functioning of the </w:t>
      </w:r>
      <w:r w:rsidR="00D51CC0" w:rsidRPr="0059658C">
        <w:t>c</w:t>
      </w:r>
      <w:r w:rsidRPr="0059658C">
        <w:t xml:space="preserve">ontract and </w:t>
      </w:r>
      <w:r w:rsidR="00D51CC0" w:rsidRPr="0059658C">
        <w:t xml:space="preserve">shall </w:t>
      </w:r>
      <w:r w:rsidRPr="0059658C">
        <w:t>be responsible for the monitoring of the ser</w:t>
      </w:r>
      <w:r w:rsidR="00D51CC0" w:rsidRPr="0059658C">
        <w:t>vice and consultation with the p</w:t>
      </w:r>
      <w:r w:rsidRPr="0059658C">
        <w:t>rovider(s).</w:t>
      </w:r>
    </w:p>
    <w:p w:rsidR="00B54D68" w:rsidRPr="0059658C" w:rsidRDefault="00D51CC0" w:rsidP="0059658C">
      <w:pPr>
        <w:pStyle w:val="ListParagraph"/>
        <w:numPr>
          <w:ilvl w:val="1"/>
          <w:numId w:val="60"/>
        </w:numPr>
        <w:spacing w:after="120" w:line="240" w:lineRule="auto"/>
        <w:jc w:val="both"/>
      </w:pPr>
      <w:r w:rsidRPr="0059658C">
        <w:t xml:space="preserve">The </w:t>
      </w:r>
      <w:r w:rsidR="000C6392" w:rsidRPr="0059658C">
        <w:t xml:space="preserve">SCR </w:t>
      </w:r>
      <w:r w:rsidR="00050AA8" w:rsidRPr="0059658C">
        <w:t>programme team</w:t>
      </w:r>
      <w:r w:rsidRPr="0059658C">
        <w:t xml:space="preserve"> </w:t>
      </w:r>
      <w:r w:rsidR="00B54D68" w:rsidRPr="0059658C">
        <w:t>will be entitled to introduce or change any systems of contract monitoring and quality control giving reasonable prior notification to the provider(s).</w:t>
      </w:r>
    </w:p>
    <w:p w:rsidR="003043D8" w:rsidRPr="0059658C" w:rsidRDefault="001D6D30" w:rsidP="0059658C">
      <w:pPr>
        <w:pStyle w:val="ListParagraph"/>
        <w:numPr>
          <w:ilvl w:val="1"/>
          <w:numId w:val="60"/>
        </w:numPr>
        <w:spacing w:after="120" w:line="240" w:lineRule="auto"/>
        <w:jc w:val="both"/>
      </w:pPr>
      <w:r w:rsidRPr="0059658C">
        <w:t>Given the service is operating as a randomised control trial there wi</w:t>
      </w:r>
      <w:r w:rsidR="008043EA" w:rsidRPr="0059658C">
        <w:t xml:space="preserve">ll be </w:t>
      </w:r>
      <w:r w:rsidRPr="0059658C">
        <w:t xml:space="preserve">an expectation for the service provider to liaise and work with the evaluator on a needs basis to ensure the research objectives are met. </w:t>
      </w:r>
    </w:p>
    <w:p w:rsidR="000444B4" w:rsidRPr="0059658C" w:rsidRDefault="000444B4" w:rsidP="0059658C">
      <w:pPr>
        <w:pStyle w:val="Heading1"/>
        <w:numPr>
          <w:ilvl w:val="0"/>
          <w:numId w:val="60"/>
        </w:numPr>
        <w:spacing w:before="0" w:after="120" w:line="240" w:lineRule="auto"/>
      </w:pPr>
      <w:bookmarkStart w:id="96" w:name="_Toc491351940"/>
      <w:r w:rsidRPr="0059658C">
        <w:t>Policies and procedures</w:t>
      </w:r>
      <w:bookmarkEnd w:id="96"/>
    </w:p>
    <w:p w:rsidR="00EE43E5" w:rsidRPr="0059658C" w:rsidRDefault="00EE43E5" w:rsidP="0059658C">
      <w:pPr>
        <w:pStyle w:val="ListParagraph"/>
        <w:numPr>
          <w:ilvl w:val="1"/>
          <w:numId w:val="60"/>
        </w:numPr>
        <w:spacing w:after="120" w:line="240" w:lineRule="auto"/>
        <w:jc w:val="both"/>
      </w:pPr>
      <w:r w:rsidRPr="0059658C">
        <w:t>The provider(s) will be expected to have developed a detailed project plan (Please do not use MS Project) and associated Gantt chart (or equivalent) on the mobilisation of the new service, which will be agreed with the SCR programme team.</w:t>
      </w:r>
    </w:p>
    <w:p w:rsidR="00565072" w:rsidRPr="0059658C" w:rsidRDefault="00565072" w:rsidP="0059658C">
      <w:pPr>
        <w:pStyle w:val="ListParagraph"/>
        <w:numPr>
          <w:ilvl w:val="1"/>
          <w:numId w:val="60"/>
        </w:numPr>
        <w:spacing w:after="120" w:line="240" w:lineRule="auto"/>
        <w:jc w:val="both"/>
      </w:pPr>
      <w:r w:rsidRPr="0059658C">
        <w:t>The provider(s</w:t>
      </w:r>
      <w:r w:rsidR="00D87055" w:rsidRPr="0059658C">
        <w:t xml:space="preserve">) will be expected to develop an annual business plan, with the first year starting in </w:t>
      </w:r>
      <w:r w:rsidR="00E56410" w:rsidRPr="0059658C">
        <w:t>December</w:t>
      </w:r>
      <w:r w:rsidR="006117EA" w:rsidRPr="0059658C">
        <w:t xml:space="preserve"> </w:t>
      </w:r>
      <w:r w:rsidR="00D87055" w:rsidRPr="0059658C">
        <w:t>2017</w:t>
      </w:r>
      <w:r w:rsidRPr="0059658C">
        <w:t>, with key objectives, time frames, responsibilities and measures for success to ensure the ongoing viability of the research and service.</w:t>
      </w:r>
    </w:p>
    <w:p w:rsidR="007A6018" w:rsidRPr="0059658C" w:rsidRDefault="007A6018" w:rsidP="0059658C">
      <w:pPr>
        <w:pStyle w:val="ListParagraph"/>
        <w:numPr>
          <w:ilvl w:val="1"/>
          <w:numId w:val="60"/>
        </w:numPr>
        <w:spacing w:after="120" w:line="240" w:lineRule="auto"/>
        <w:rPr>
          <w:lang w:val="en-US"/>
        </w:rPr>
      </w:pPr>
      <w:r w:rsidRPr="0059658C">
        <w:t xml:space="preserve">The service is </w:t>
      </w:r>
      <w:r w:rsidR="00D87055" w:rsidRPr="0059658C">
        <w:t xml:space="preserve">also </w:t>
      </w:r>
      <w:r w:rsidRPr="0059658C">
        <w:t xml:space="preserve">expected to have the following policies in place: </w:t>
      </w:r>
    </w:p>
    <w:p w:rsidR="007A6018" w:rsidRPr="0059658C" w:rsidRDefault="00AF62BE" w:rsidP="0059658C">
      <w:pPr>
        <w:pStyle w:val="ListParagraph"/>
        <w:numPr>
          <w:ilvl w:val="2"/>
          <w:numId w:val="79"/>
        </w:numPr>
        <w:spacing w:after="120" w:line="240" w:lineRule="auto"/>
        <w:ind w:left="993" w:hanging="142"/>
      </w:pPr>
      <w:r w:rsidRPr="0059658C">
        <w:t>Complaints (see Appendix 2)</w:t>
      </w:r>
    </w:p>
    <w:p w:rsidR="007A6018" w:rsidRPr="0059658C" w:rsidRDefault="007A6018" w:rsidP="0059658C">
      <w:pPr>
        <w:pStyle w:val="ListParagraph"/>
        <w:numPr>
          <w:ilvl w:val="2"/>
          <w:numId w:val="79"/>
        </w:numPr>
        <w:spacing w:after="120" w:line="240" w:lineRule="auto"/>
        <w:ind w:left="993" w:hanging="142"/>
      </w:pPr>
      <w:r w:rsidRPr="0059658C">
        <w:t>Risk m</w:t>
      </w:r>
      <w:r w:rsidR="00AF62BE" w:rsidRPr="0059658C">
        <w:t>anagement and serious incidents (see Appendix 3)</w:t>
      </w:r>
    </w:p>
    <w:p w:rsidR="007A6018" w:rsidRPr="0059658C" w:rsidRDefault="007A6018" w:rsidP="0059658C">
      <w:pPr>
        <w:pStyle w:val="ListParagraph"/>
        <w:numPr>
          <w:ilvl w:val="2"/>
          <w:numId w:val="79"/>
        </w:numPr>
        <w:spacing w:after="120" w:line="240" w:lineRule="auto"/>
        <w:ind w:left="993" w:hanging="142"/>
      </w:pPr>
      <w:r w:rsidRPr="0059658C">
        <w:t xml:space="preserve">Health and Safety </w:t>
      </w:r>
    </w:p>
    <w:p w:rsidR="007A6018" w:rsidRPr="0059658C" w:rsidRDefault="007A6018" w:rsidP="0059658C">
      <w:pPr>
        <w:pStyle w:val="ListParagraph"/>
        <w:numPr>
          <w:ilvl w:val="2"/>
          <w:numId w:val="79"/>
        </w:numPr>
        <w:spacing w:after="120" w:line="240" w:lineRule="auto"/>
        <w:ind w:left="993" w:hanging="142"/>
      </w:pPr>
      <w:r w:rsidRPr="0059658C">
        <w:t xml:space="preserve">Quality Assurance and Knowledge management </w:t>
      </w:r>
    </w:p>
    <w:p w:rsidR="007A6018" w:rsidRPr="0059658C" w:rsidRDefault="007A6018" w:rsidP="0059658C">
      <w:pPr>
        <w:pStyle w:val="ListParagraph"/>
        <w:numPr>
          <w:ilvl w:val="2"/>
          <w:numId w:val="79"/>
        </w:numPr>
        <w:spacing w:after="120" w:line="240" w:lineRule="auto"/>
        <w:ind w:left="993" w:hanging="142"/>
      </w:pPr>
      <w:r w:rsidRPr="0059658C">
        <w:t xml:space="preserve">Business Planning </w:t>
      </w:r>
    </w:p>
    <w:p w:rsidR="007A6018" w:rsidRPr="0059658C" w:rsidRDefault="007A6018" w:rsidP="0059658C">
      <w:pPr>
        <w:pStyle w:val="ListParagraph"/>
        <w:numPr>
          <w:ilvl w:val="2"/>
          <w:numId w:val="79"/>
        </w:numPr>
        <w:spacing w:after="120" w:line="240" w:lineRule="auto"/>
        <w:ind w:left="993" w:hanging="142"/>
      </w:pPr>
      <w:r w:rsidRPr="0059658C">
        <w:t xml:space="preserve">Staff appraisal, supervision and training </w:t>
      </w:r>
    </w:p>
    <w:p w:rsidR="007A6018" w:rsidRPr="0059658C" w:rsidRDefault="007A6018" w:rsidP="0059658C">
      <w:pPr>
        <w:pStyle w:val="ListParagraph"/>
        <w:numPr>
          <w:ilvl w:val="2"/>
          <w:numId w:val="79"/>
        </w:numPr>
        <w:spacing w:after="120" w:line="240" w:lineRule="auto"/>
        <w:ind w:left="993" w:hanging="142"/>
      </w:pPr>
      <w:r w:rsidRPr="0059658C">
        <w:t xml:space="preserve">Staff grievance and disciplinary </w:t>
      </w:r>
    </w:p>
    <w:p w:rsidR="007A6018" w:rsidRPr="0059658C" w:rsidRDefault="007A6018" w:rsidP="0059658C">
      <w:pPr>
        <w:pStyle w:val="ListParagraph"/>
        <w:numPr>
          <w:ilvl w:val="2"/>
          <w:numId w:val="79"/>
        </w:numPr>
        <w:spacing w:after="120" w:line="240" w:lineRule="auto"/>
        <w:ind w:left="993" w:hanging="142"/>
      </w:pPr>
      <w:r w:rsidRPr="0059658C">
        <w:t xml:space="preserve">Recruitment </w:t>
      </w:r>
    </w:p>
    <w:p w:rsidR="007A6018" w:rsidRPr="0059658C" w:rsidRDefault="007A6018" w:rsidP="0059658C">
      <w:pPr>
        <w:pStyle w:val="ListParagraph"/>
        <w:numPr>
          <w:ilvl w:val="2"/>
          <w:numId w:val="79"/>
        </w:numPr>
        <w:spacing w:after="120" w:line="240" w:lineRule="auto"/>
        <w:ind w:left="993" w:hanging="142"/>
      </w:pPr>
      <w:r w:rsidRPr="0059658C">
        <w:t xml:space="preserve">Lone Working </w:t>
      </w:r>
    </w:p>
    <w:p w:rsidR="007A6018" w:rsidRPr="0059658C" w:rsidRDefault="007A6018" w:rsidP="0059658C">
      <w:pPr>
        <w:pStyle w:val="ListParagraph"/>
        <w:numPr>
          <w:ilvl w:val="2"/>
          <w:numId w:val="79"/>
        </w:numPr>
        <w:spacing w:after="120" w:line="240" w:lineRule="auto"/>
        <w:ind w:left="993" w:hanging="142"/>
      </w:pPr>
      <w:r w:rsidRPr="0059658C">
        <w:t xml:space="preserve">Safeguarding vulnerable groups </w:t>
      </w:r>
    </w:p>
    <w:p w:rsidR="007A6018" w:rsidRPr="0059658C" w:rsidRDefault="007A6018" w:rsidP="0059658C">
      <w:pPr>
        <w:pStyle w:val="ListParagraph"/>
        <w:numPr>
          <w:ilvl w:val="2"/>
          <w:numId w:val="79"/>
        </w:numPr>
        <w:spacing w:after="120" w:line="240" w:lineRule="auto"/>
        <w:ind w:left="993" w:hanging="142"/>
      </w:pPr>
      <w:r w:rsidRPr="0059658C">
        <w:t xml:space="preserve">Confidentiality </w:t>
      </w:r>
    </w:p>
    <w:p w:rsidR="007A6018" w:rsidRPr="0059658C" w:rsidRDefault="007A6018" w:rsidP="0059658C">
      <w:pPr>
        <w:pStyle w:val="ListParagraph"/>
        <w:numPr>
          <w:ilvl w:val="2"/>
          <w:numId w:val="79"/>
        </w:numPr>
        <w:spacing w:after="120" w:line="240" w:lineRule="auto"/>
        <w:ind w:left="993" w:hanging="142"/>
      </w:pPr>
      <w:r w:rsidRPr="0059658C">
        <w:t xml:space="preserve">Service user consultation, involvement and empowerment </w:t>
      </w:r>
    </w:p>
    <w:p w:rsidR="007A6018" w:rsidRPr="0059658C" w:rsidRDefault="007A6018" w:rsidP="0059658C">
      <w:pPr>
        <w:pStyle w:val="ListParagraph"/>
        <w:numPr>
          <w:ilvl w:val="2"/>
          <w:numId w:val="79"/>
        </w:numPr>
        <w:spacing w:after="120" w:line="240" w:lineRule="auto"/>
        <w:ind w:left="993" w:hanging="142"/>
      </w:pPr>
      <w:r w:rsidRPr="0059658C">
        <w:t xml:space="preserve">Information sharing </w:t>
      </w:r>
    </w:p>
    <w:p w:rsidR="007A6018" w:rsidRPr="0059658C" w:rsidRDefault="007A6018" w:rsidP="0059658C">
      <w:pPr>
        <w:pStyle w:val="ListParagraph"/>
        <w:numPr>
          <w:ilvl w:val="2"/>
          <w:numId w:val="79"/>
        </w:numPr>
        <w:spacing w:after="120" w:line="240" w:lineRule="auto"/>
        <w:ind w:left="993" w:hanging="142"/>
      </w:pPr>
      <w:r w:rsidRPr="0059658C">
        <w:t xml:space="preserve">Data management </w:t>
      </w:r>
    </w:p>
    <w:p w:rsidR="00954C72" w:rsidRPr="0059658C" w:rsidRDefault="00954C72" w:rsidP="0059658C">
      <w:pPr>
        <w:pStyle w:val="Heading1"/>
        <w:numPr>
          <w:ilvl w:val="0"/>
          <w:numId w:val="60"/>
        </w:numPr>
        <w:spacing w:before="0" w:after="120" w:line="240" w:lineRule="auto"/>
      </w:pPr>
      <w:bookmarkStart w:id="97" w:name="_Toc491351941"/>
      <w:r w:rsidRPr="0059658C">
        <w:t>Workforce standards</w:t>
      </w:r>
      <w:bookmarkEnd w:id="97"/>
    </w:p>
    <w:p w:rsidR="003E5551" w:rsidRPr="0059658C" w:rsidRDefault="00211FC6" w:rsidP="0059658C">
      <w:pPr>
        <w:pStyle w:val="ListParagraph"/>
        <w:numPr>
          <w:ilvl w:val="1"/>
          <w:numId w:val="60"/>
        </w:numPr>
        <w:spacing w:after="120" w:line="240" w:lineRule="auto"/>
        <w:jc w:val="both"/>
      </w:pPr>
      <w:r w:rsidRPr="0059658C">
        <w:t xml:space="preserve">The </w:t>
      </w:r>
      <w:r w:rsidR="00CE2B59" w:rsidRPr="0059658C">
        <w:t>Sheffield City Region</w:t>
      </w:r>
      <w:r w:rsidR="00050AA8" w:rsidRPr="0059658C">
        <w:t xml:space="preserve"> Combined</w:t>
      </w:r>
      <w:r w:rsidRPr="0059658C">
        <w:t xml:space="preserve"> Authority recognises the importance and value of good employment practices in delivering public services.</w:t>
      </w:r>
    </w:p>
    <w:p w:rsidR="006E5DE4" w:rsidRPr="0059658C" w:rsidRDefault="00211FC6" w:rsidP="0059658C">
      <w:pPr>
        <w:pStyle w:val="ListParagraph"/>
        <w:numPr>
          <w:ilvl w:val="1"/>
          <w:numId w:val="60"/>
        </w:numPr>
        <w:spacing w:after="120" w:line="240" w:lineRule="auto"/>
        <w:jc w:val="both"/>
      </w:pPr>
      <w:r w:rsidRPr="0059658C">
        <w:t>To safeguard good employment practice</w:t>
      </w:r>
      <w:r w:rsidR="00050AA8" w:rsidRPr="0059658C">
        <w:t>s</w:t>
      </w:r>
      <w:r w:rsidRPr="0059658C">
        <w:t xml:space="preserve">, the </w:t>
      </w:r>
      <w:r w:rsidR="00050AA8" w:rsidRPr="0059658C">
        <w:t>Combined A</w:t>
      </w:r>
      <w:r w:rsidRPr="0059658C">
        <w:t xml:space="preserve">uthority has developed a set of minimum standards. The provider(s) will be required to demonstrate adherence to these standards through discussion and provision of information as part of the monitoring and review process. Details </w:t>
      </w:r>
      <w:r w:rsidR="003E5551" w:rsidRPr="0059658C">
        <w:t xml:space="preserve">are </w:t>
      </w:r>
      <w:r w:rsidR="00B54E4E" w:rsidRPr="0059658C">
        <w:t xml:space="preserve">provided in Appendix </w:t>
      </w:r>
      <w:r w:rsidR="00DD1D5F" w:rsidRPr="0059658C">
        <w:t>4</w:t>
      </w:r>
      <w:r w:rsidR="0000278C" w:rsidRPr="0059658C">
        <w:t>.</w:t>
      </w:r>
    </w:p>
    <w:p w:rsidR="00050AA8" w:rsidRPr="0059658C" w:rsidRDefault="00050AA8" w:rsidP="0059658C">
      <w:pPr>
        <w:rPr>
          <w:rFonts w:cs="Arial"/>
        </w:rPr>
      </w:pPr>
    </w:p>
    <w:p w:rsidR="00166355" w:rsidRPr="0059658C" w:rsidRDefault="00166355" w:rsidP="0059658C">
      <w:pPr>
        <w:rPr>
          <w:rFonts w:cs="Arial"/>
        </w:rPr>
      </w:pPr>
      <w:r w:rsidRPr="0059658C">
        <w:br w:type="page"/>
      </w:r>
    </w:p>
    <w:p w:rsidR="00E6004F" w:rsidRPr="00C247B8" w:rsidRDefault="00E6004F" w:rsidP="0059658C">
      <w:pPr>
        <w:pStyle w:val="Heading1"/>
        <w:numPr>
          <w:ilvl w:val="0"/>
          <w:numId w:val="0"/>
        </w:numPr>
        <w:ind w:left="397" w:hanging="397"/>
      </w:pPr>
      <w:bookmarkStart w:id="98" w:name="_Toc491351942"/>
      <w:r w:rsidRPr="0059658C">
        <w:lastRenderedPageBreak/>
        <w:t xml:space="preserve">Appendix </w:t>
      </w:r>
      <w:r w:rsidR="00871503" w:rsidRPr="0059658C">
        <w:t>1</w:t>
      </w:r>
      <w:r w:rsidR="00576C0C" w:rsidRPr="0059658C">
        <w:t xml:space="preserve"> – </w:t>
      </w:r>
      <w:r w:rsidR="00871503" w:rsidRPr="0059658C">
        <w:t>Summary of e</w:t>
      </w:r>
      <w:r w:rsidR="00576C0C" w:rsidRPr="0059658C">
        <w:t>xisting service provision</w:t>
      </w:r>
      <w:bookmarkEnd w:id="98"/>
    </w:p>
    <w:p w:rsidR="00871503" w:rsidRDefault="00871503" w:rsidP="0059658C">
      <w:pPr>
        <w:spacing w:after="120" w:line="240" w:lineRule="auto"/>
        <w:jc w:val="both"/>
        <w:rPr>
          <w:rFonts w:cs="Arial"/>
        </w:rPr>
      </w:pPr>
      <w:r>
        <w:rPr>
          <w:rFonts w:cs="Arial"/>
        </w:rPr>
        <w:t xml:space="preserve">The list below summarises some of the existing provision locally. The programme team will work with provider(s) to fully detail this list to ensure all relevant stakeholders are engaged prior to service launch. </w:t>
      </w:r>
    </w:p>
    <w:p w:rsidR="00871503" w:rsidRDefault="00050AA8" w:rsidP="0059658C">
      <w:pPr>
        <w:spacing w:after="120" w:line="240" w:lineRule="auto"/>
        <w:jc w:val="both"/>
        <w:rPr>
          <w:rFonts w:cs="Arial"/>
        </w:rPr>
      </w:pPr>
      <w:r>
        <w:rPr>
          <w:rFonts w:cs="Arial"/>
          <w:b/>
        </w:rPr>
        <w:t>Existing programmes:</w:t>
      </w:r>
    </w:p>
    <w:p w:rsidR="00871503" w:rsidRDefault="008D59CF" w:rsidP="0059658C">
      <w:pPr>
        <w:pStyle w:val="ListParagraph"/>
        <w:numPr>
          <w:ilvl w:val="0"/>
          <w:numId w:val="13"/>
        </w:numPr>
        <w:spacing w:after="120" w:line="240" w:lineRule="auto"/>
        <w:jc w:val="both"/>
      </w:pPr>
      <w:r>
        <w:t>Jobcentre</w:t>
      </w:r>
      <w:r w:rsidR="002D3C55">
        <w:t xml:space="preserve"> Plus</w:t>
      </w:r>
      <w:r w:rsidR="00871503">
        <w:t>: Provided by DWP to JSA and ESA recipients (excluding Support Group)</w:t>
      </w:r>
    </w:p>
    <w:p w:rsidR="00871503" w:rsidRDefault="00871503" w:rsidP="0059658C">
      <w:pPr>
        <w:pStyle w:val="ListParagraph"/>
        <w:numPr>
          <w:ilvl w:val="0"/>
          <w:numId w:val="13"/>
        </w:numPr>
        <w:spacing w:after="120" w:line="240" w:lineRule="auto"/>
        <w:jc w:val="both"/>
      </w:pPr>
      <w:r>
        <w:t>Work Choice: Provided to a mix of JSA and ESA recipients with disabilities. This programme is coming to an end in late 2017</w:t>
      </w:r>
    </w:p>
    <w:p w:rsidR="00F66FB7" w:rsidRDefault="00F66FB7" w:rsidP="0059658C">
      <w:pPr>
        <w:pStyle w:val="ListParagraph"/>
        <w:numPr>
          <w:ilvl w:val="0"/>
          <w:numId w:val="13"/>
        </w:numPr>
        <w:spacing w:after="120" w:line="240" w:lineRule="auto"/>
        <w:jc w:val="both"/>
      </w:pPr>
      <w:r>
        <w:t>Work and Health Programme: To be provided from late 2017</w:t>
      </w:r>
      <w:r w:rsidR="00E93E4A">
        <w:t>/early 2018</w:t>
      </w:r>
      <w:r>
        <w:t xml:space="preserve"> to the long-term unemployed and people with a health condition. Most referrals likely to originate from </w:t>
      </w:r>
      <w:r w:rsidR="008D59CF">
        <w:t>Jobcentre</w:t>
      </w:r>
      <w:r w:rsidR="002D3C55">
        <w:t xml:space="preserve"> Plus</w:t>
      </w:r>
      <w:r>
        <w:t>, though other referral sources may be also be available</w:t>
      </w:r>
    </w:p>
    <w:p w:rsidR="00D73E83" w:rsidRPr="00DA6519" w:rsidRDefault="00871503" w:rsidP="0059658C">
      <w:pPr>
        <w:pStyle w:val="ListParagraph"/>
        <w:numPr>
          <w:ilvl w:val="0"/>
          <w:numId w:val="13"/>
        </w:numPr>
        <w:spacing w:after="120" w:line="240" w:lineRule="auto"/>
        <w:jc w:val="both"/>
      </w:pPr>
      <w:r>
        <w:t xml:space="preserve">Most areas in the </w:t>
      </w:r>
      <w:r w:rsidR="00CE2B59">
        <w:t>Sheffield City Region</w:t>
      </w:r>
      <w:r>
        <w:t xml:space="preserve"> have a range of local job readiness, training and support</w:t>
      </w:r>
      <w:r w:rsidR="00F66FB7">
        <w:t xml:space="preserve"> programmes (</w:t>
      </w:r>
      <w:r w:rsidR="003043D8">
        <w:t>e.g.</w:t>
      </w:r>
      <w:r w:rsidR="00F66FB7">
        <w:t xml:space="preserve">, </w:t>
      </w:r>
      <w:r w:rsidR="00CE2B59">
        <w:t>Skills Bank</w:t>
      </w:r>
      <w:r w:rsidR="007B13BC">
        <w:t xml:space="preserve"> </w:t>
      </w:r>
      <w:r w:rsidR="00DA6519">
        <w:t xml:space="preserve">and the Early </w:t>
      </w:r>
      <w:r w:rsidR="00DA6519" w:rsidRPr="00DA6519">
        <w:t>Intervention Employment Support Pilot</w:t>
      </w:r>
      <w:r w:rsidR="00CE2B59" w:rsidRPr="00DA6519">
        <w:t>)</w:t>
      </w:r>
      <w:r w:rsidR="00D73E83">
        <w:t>.  Note, bidders are expected to exclude participants of the Early Intervention Employment Support pilot only from this trial.</w:t>
      </w:r>
    </w:p>
    <w:p w:rsidR="00F66FB7" w:rsidRPr="00DA6519" w:rsidRDefault="00F66FB7" w:rsidP="0059658C">
      <w:pPr>
        <w:pStyle w:val="ListParagraph"/>
        <w:numPr>
          <w:ilvl w:val="0"/>
          <w:numId w:val="13"/>
        </w:numPr>
        <w:spacing w:after="120" w:line="240" w:lineRule="auto"/>
        <w:jc w:val="both"/>
      </w:pPr>
      <w:r w:rsidRPr="00DA6519">
        <w:t xml:space="preserve">There are also a range of ESF-funded programmes through Building Better Opportunities or </w:t>
      </w:r>
      <w:r w:rsidR="004020BE" w:rsidRPr="00DA6519">
        <w:t xml:space="preserve">related </w:t>
      </w:r>
      <w:r w:rsidRPr="00DA6519">
        <w:t xml:space="preserve">schemes (e.g., </w:t>
      </w:r>
      <w:r w:rsidR="00CE2B59" w:rsidRPr="00DA6519">
        <w:t>Skills for Jobs Growth, Pathways to Progression</w:t>
      </w:r>
      <w:r w:rsidRPr="00DA6519">
        <w:t>)</w:t>
      </w:r>
    </w:p>
    <w:p w:rsidR="00CF43A4" w:rsidRDefault="004020BE" w:rsidP="0059658C">
      <w:pPr>
        <w:pStyle w:val="ListParagraph"/>
        <w:numPr>
          <w:ilvl w:val="0"/>
          <w:numId w:val="13"/>
        </w:numPr>
        <w:spacing w:after="120" w:line="240" w:lineRule="auto"/>
        <w:jc w:val="both"/>
      </w:pPr>
      <w:r w:rsidRPr="00F14501">
        <w:t xml:space="preserve">In addition, the region benefits from a number of small employment or employability programmes targeting specific cohorts (e.g., ex-offenders, people with learning disabilities) </w:t>
      </w:r>
    </w:p>
    <w:p w:rsidR="00CF43A4" w:rsidRPr="00771534" w:rsidRDefault="00771534" w:rsidP="0059658C">
      <w:pPr>
        <w:spacing w:after="120" w:line="240" w:lineRule="auto"/>
        <w:jc w:val="both"/>
        <w:rPr>
          <w:b/>
        </w:rPr>
      </w:pPr>
      <w:r w:rsidRPr="00771534">
        <w:t>Please note</w:t>
      </w:r>
      <w:r>
        <w:rPr>
          <w:b/>
        </w:rPr>
        <w:t xml:space="preserve"> </w:t>
      </w:r>
      <w:r>
        <w:t xml:space="preserve">this is a fast moving environment so it is expected that the </w:t>
      </w:r>
      <w:r w:rsidR="00050AA8">
        <w:t xml:space="preserve">provider </w:t>
      </w:r>
      <w:r>
        <w:t xml:space="preserve">takes responsibility for making sure they have a good understanding of the existing provision in the area and is able to share that </w:t>
      </w:r>
      <w:r w:rsidR="00050AA8">
        <w:t>with</w:t>
      </w:r>
      <w:r>
        <w:t xml:space="preserve"> people who are randomised into the control group</w:t>
      </w:r>
      <w:r w:rsidR="00050AA8">
        <w:t>, including in written format</w:t>
      </w:r>
      <w:r w:rsidR="00CF43A4">
        <w:t>.</w:t>
      </w:r>
    </w:p>
    <w:p w:rsidR="00B33492" w:rsidRDefault="00B33492" w:rsidP="0059658C">
      <w:pPr>
        <w:jc w:val="both"/>
        <w:rPr>
          <w:rFonts w:eastAsiaTheme="majorEastAsia" w:cs="Arial"/>
          <w:b/>
          <w:szCs w:val="32"/>
        </w:rPr>
      </w:pPr>
      <w:r>
        <w:rPr>
          <w:rFonts w:eastAsiaTheme="majorEastAsia" w:cs="Arial"/>
          <w:b/>
          <w:szCs w:val="32"/>
        </w:rPr>
        <w:br w:type="page"/>
      </w:r>
    </w:p>
    <w:p w:rsidR="00CF43A4" w:rsidRDefault="00CF43A4" w:rsidP="0059658C">
      <w:pPr>
        <w:spacing w:after="120" w:line="240" w:lineRule="auto"/>
        <w:rPr>
          <w:rFonts w:eastAsiaTheme="majorEastAsia" w:cs="Arial"/>
          <w:b/>
          <w:szCs w:val="32"/>
        </w:rPr>
      </w:pPr>
    </w:p>
    <w:p w:rsidR="00211FC6" w:rsidRPr="00C247B8" w:rsidRDefault="000B03A7" w:rsidP="0059658C">
      <w:pPr>
        <w:pStyle w:val="Heading1"/>
        <w:numPr>
          <w:ilvl w:val="0"/>
          <w:numId w:val="0"/>
        </w:numPr>
        <w:spacing w:before="0" w:after="120" w:line="240" w:lineRule="auto"/>
        <w:ind w:left="397" w:hanging="397"/>
      </w:pPr>
      <w:bookmarkStart w:id="99" w:name="_Toc491351943"/>
      <w:r w:rsidRPr="001A3543">
        <w:t>A</w:t>
      </w:r>
      <w:r w:rsidR="00AF62BE" w:rsidRPr="001A3543">
        <w:t>ppendix 2</w:t>
      </w:r>
      <w:r w:rsidRPr="001A3543">
        <w:t xml:space="preserve"> – Complaints</w:t>
      </w:r>
      <w:bookmarkEnd w:id="99"/>
    </w:p>
    <w:p w:rsidR="00211FC6" w:rsidRPr="00D20B55" w:rsidRDefault="00211FC6" w:rsidP="0059658C">
      <w:pPr>
        <w:widowControl w:val="0"/>
        <w:autoSpaceDE w:val="0"/>
        <w:autoSpaceDN w:val="0"/>
        <w:adjustRightInd w:val="0"/>
        <w:spacing w:after="120" w:line="240" w:lineRule="auto"/>
        <w:jc w:val="both"/>
        <w:rPr>
          <w:rFonts w:cs="Arial"/>
          <w:lang w:val="en-US"/>
        </w:rPr>
      </w:pPr>
      <w:r w:rsidRPr="00D20B55">
        <w:rPr>
          <w:rFonts w:cs="Arial"/>
          <w:lang w:val="en-US"/>
        </w:rPr>
        <w:t xml:space="preserve">The Provider(s) will provide service users with a </w:t>
      </w:r>
      <w:r w:rsidR="00B51271">
        <w:rPr>
          <w:rFonts w:cs="Arial"/>
          <w:lang w:val="en-US"/>
        </w:rPr>
        <w:t xml:space="preserve">written </w:t>
      </w:r>
      <w:r w:rsidRPr="00D20B55">
        <w:rPr>
          <w:rFonts w:cs="Arial"/>
          <w:lang w:val="en-US"/>
        </w:rPr>
        <w:t xml:space="preserve">copy of its </w:t>
      </w:r>
      <w:r w:rsidR="00B51271">
        <w:rPr>
          <w:rFonts w:cs="Arial"/>
          <w:lang w:val="en-US"/>
        </w:rPr>
        <w:t xml:space="preserve">service standards and </w:t>
      </w:r>
      <w:r w:rsidRPr="00D20B55">
        <w:rPr>
          <w:rFonts w:cs="Arial"/>
          <w:lang w:val="en-US"/>
        </w:rPr>
        <w:t>complaints procedure at the c</w:t>
      </w:r>
      <w:r w:rsidR="00B51271">
        <w:rPr>
          <w:rFonts w:cs="Arial"/>
          <w:lang w:val="en-US"/>
        </w:rPr>
        <w:t xml:space="preserve">ommencement of the service. These </w:t>
      </w:r>
      <w:r w:rsidRPr="00D20B55">
        <w:rPr>
          <w:rFonts w:cs="Arial"/>
          <w:lang w:val="en-US"/>
        </w:rPr>
        <w:t xml:space="preserve">should be available in the main local community languages and accessible formats where appropriate (e.g. easy read braille etc.). </w:t>
      </w:r>
    </w:p>
    <w:p w:rsidR="00211FC6" w:rsidRPr="00D20B55" w:rsidRDefault="00211FC6" w:rsidP="0059658C">
      <w:pPr>
        <w:widowControl w:val="0"/>
        <w:autoSpaceDE w:val="0"/>
        <w:autoSpaceDN w:val="0"/>
        <w:adjustRightInd w:val="0"/>
        <w:spacing w:after="120" w:line="240" w:lineRule="auto"/>
        <w:jc w:val="both"/>
        <w:rPr>
          <w:rFonts w:cs="Arial"/>
          <w:lang w:val="en-US"/>
        </w:rPr>
      </w:pPr>
      <w:r w:rsidRPr="00D20B55">
        <w:rPr>
          <w:rFonts w:cs="Arial"/>
          <w:lang w:val="en-US"/>
        </w:rPr>
        <w:t xml:space="preserve">Service users have the right to make a complaint directly to the </w:t>
      </w:r>
      <w:r w:rsidR="00B51271">
        <w:rPr>
          <w:rFonts w:cs="Arial"/>
          <w:lang w:val="en-US"/>
        </w:rPr>
        <w:t xml:space="preserve">SCR programme team </w:t>
      </w:r>
      <w:r w:rsidRPr="00D20B55">
        <w:rPr>
          <w:rFonts w:cs="Arial"/>
          <w:lang w:val="en-US"/>
        </w:rPr>
        <w:t>a</w:t>
      </w:r>
      <w:r w:rsidR="00B51271">
        <w:rPr>
          <w:rFonts w:cs="Arial"/>
          <w:lang w:val="en-US"/>
        </w:rPr>
        <w:t>nd this shall be made clear to service u</w:t>
      </w:r>
      <w:r w:rsidRPr="00D20B55">
        <w:rPr>
          <w:rFonts w:cs="Arial"/>
          <w:lang w:val="en-US"/>
        </w:rPr>
        <w:t xml:space="preserve">sers. </w:t>
      </w:r>
    </w:p>
    <w:p w:rsidR="00211FC6" w:rsidRPr="00D20B55" w:rsidRDefault="00211FC6" w:rsidP="0059658C">
      <w:pPr>
        <w:widowControl w:val="0"/>
        <w:autoSpaceDE w:val="0"/>
        <w:autoSpaceDN w:val="0"/>
        <w:adjustRightInd w:val="0"/>
        <w:spacing w:after="120" w:line="240" w:lineRule="auto"/>
        <w:jc w:val="both"/>
        <w:rPr>
          <w:rFonts w:cs="Arial"/>
          <w:lang w:val="en-US"/>
        </w:rPr>
      </w:pPr>
      <w:r w:rsidRPr="00D20B55">
        <w:rPr>
          <w:rFonts w:cs="Arial"/>
          <w:lang w:val="en-US"/>
        </w:rPr>
        <w:t>The</w:t>
      </w:r>
      <w:r w:rsidR="0060528D">
        <w:rPr>
          <w:rFonts w:cs="Arial"/>
          <w:lang w:val="en-US"/>
        </w:rPr>
        <w:t xml:space="preserve"> Combined Authority</w:t>
      </w:r>
      <w:r w:rsidRPr="00D20B55">
        <w:rPr>
          <w:rFonts w:cs="Arial"/>
          <w:lang w:val="en-US"/>
        </w:rPr>
        <w:t xml:space="preserve"> has the right to investigate a complaint at any stage. </w:t>
      </w:r>
    </w:p>
    <w:p w:rsidR="00B33492" w:rsidRDefault="004553A1" w:rsidP="0059658C">
      <w:pPr>
        <w:widowControl w:val="0"/>
        <w:autoSpaceDE w:val="0"/>
        <w:autoSpaceDN w:val="0"/>
        <w:adjustRightInd w:val="0"/>
        <w:spacing w:after="120" w:line="240" w:lineRule="auto"/>
        <w:jc w:val="both"/>
        <w:rPr>
          <w:rFonts w:cs="Arial"/>
          <w:lang w:val="en-US"/>
        </w:rPr>
      </w:pPr>
      <w:r>
        <w:rPr>
          <w:rFonts w:cs="Arial"/>
          <w:lang w:val="en-US"/>
        </w:rPr>
        <w:t>The p</w:t>
      </w:r>
      <w:r w:rsidR="00211FC6" w:rsidRPr="00D20B55">
        <w:rPr>
          <w:rFonts w:cs="Arial"/>
          <w:lang w:val="en-US"/>
        </w:rPr>
        <w:t>rovider(s) will maintain a complaint register which records all complaints and their outcome</w:t>
      </w:r>
      <w:r w:rsidR="0060528D">
        <w:rPr>
          <w:rFonts w:cs="Arial"/>
          <w:lang w:val="en-US"/>
        </w:rPr>
        <w:t xml:space="preserve"> including timescales</w:t>
      </w:r>
      <w:r w:rsidR="00211FC6" w:rsidRPr="00D20B55">
        <w:rPr>
          <w:rFonts w:cs="Arial"/>
          <w:lang w:val="en-US"/>
        </w:rPr>
        <w:t>. These will be made available upon reques</w:t>
      </w:r>
      <w:r>
        <w:rPr>
          <w:rFonts w:cs="Arial"/>
          <w:lang w:val="en-US"/>
        </w:rPr>
        <w:t>t for monitoring purposes. The p</w:t>
      </w:r>
      <w:r w:rsidR="00211FC6" w:rsidRPr="00D20B55">
        <w:rPr>
          <w:rFonts w:cs="Arial"/>
          <w:lang w:val="en-US"/>
        </w:rPr>
        <w:t xml:space="preserve">rovider(s) will inform the </w:t>
      </w:r>
      <w:r w:rsidR="0060528D">
        <w:rPr>
          <w:rFonts w:cs="Arial"/>
          <w:lang w:val="en-US"/>
        </w:rPr>
        <w:t xml:space="preserve">Combined Authority </w:t>
      </w:r>
      <w:r w:rsidR="00211FC6" w:rsidRPr="00D20B55">
        <w:rPr>
          <w:rFonts w:cs="Arial"/>
          <w:lang w:val="en-US"/>
        </w:rPr>
        <w:t>of any serious complaint immediately.</w:t>
      </w:r>
      <w:r w:rsidR="00B54E4E" w:rsidRPr="00D20B55">
        <w:rPr>
          <w:rFonts w:cs="Arial"/>
          <w:lang w:val="en-US"/>
        </w:rPr>
        <w:t xml:space="preserve"> </w:t>
      </w:r>
      <w:r w:rsidR="0060528D">
        <w:rPr>
          <w:rFonts w:cs="Arial"/>
          <w:lang w:val="en-US"/>
        </w:rPr>
        <w:br/>
      </w:r>
    </w:p>
    <w:p w:rsidR="00B33492" w:rsidRDefault="00B33492" w:rsidP="0059658C">
      <w:pPr>
        <w:rPr>
          <w:rFonts w:cs="Arial"/>
          <w:lang w:val="en-US"/>
        </w:rPr>
      </w:pPr>
      <w:r>
        <w:rPr>
          <w:rFonts w:cs="Arial"/>
          <w:lang w:val="en-US"/>
        </w:rPr>
        <w:br w:type="page"/>
      </w:r>
    </w:p>
    <w:p w:rsidR="00B54E4E" w:rsidRDefault="00B54E4E" w:rsidP="0059658C">
      <w:pPr>
        <w:widowControl w:val="0"/>
        <w:autoSpaceDE w:val="0"/>
        <w:autoSpaceDN w:val="0"/>
        <w:adjustRightInd w:val="0"/>
        <w:spacing w:after="120" w:line="240" w:lineRule="auto"/>
        <w:rPr>
          <w:rFonts w:cs="Arial"/>
          <w:lang w:val="en-US"/>
        </w:rPr>
      </w:pPr>
    </w:p>
    <w:p w:rsidR="00211FC6" w:rsidRPr="00C247B8" w:rsidRDefault="00AF62BE" w:rsidP="0059658C">
      <w:pPr>
        <w:pStyle w:val="Heading1"/>
        <w:numPr>
          <w:ilvl w:val="0"/>
          <w:numId w:val="0"/>
        </w:numPr>
        <w:spacing w:before="0" w:after="120" w:line="240" w:lineRule="auto"/>
        <w:ind w:left="397" w:hanging="397"/>
      </w:pPr>
      <w:bookmarkStart w:id="100" w:name="_Toc491351944"/>
      <w:r w:rsidRPr="001A3543">
        <w:t>Appendix 3</w:t>
      </w:r>
      <w:r w:rsidR="000B03A7" w:rsidRPr="001A3543">
        <w:t xml:space="preserve"> –</w:t>
      </w:r>
      <w:r w:rsidR="00211FC6" w:rsidRPr="001A3543">
        <w:t xml:space="preserve"> Risk management and serious incidents</w:t>
      </w:r>
      <w:bookmarkEnd w:id="100"/>
      <w:r w:rsidR="00211FC6" w:rsidRPr="001A3543">
        <w:t xml:space="preserve"> </w:t>
      </w:r>
    </w:p>
    <w:p w:rsidR="00211FC6" w:rsidRPr="00D20B55" w:rsidRDefault="00211FC6" w:rsidP="0059658C">
      <w:pPr>
        <w:widowControl w:val="0"/>
        <w:autoSpaceDE w:val="0"/>
        <w:autoSpaceDN w:val="0"/>
        <w:adjustRightInd w:val="0"/>
        <w:spacing w:after="120" w:line="240" w:lineRule="auto"/>
        <w:jc w:val="both"/>
        <w:rPr>
          <w:rFonts w:cs="Arial"/>
          <w:lang w:val="en-US"/>
        </w:rPr>
      </w:pPr>
      <w:r w:rsidRPr="00D20B55">
        <w:rPr>
          <w:rFonts w:cs="Arial"/>
          <w:lang w:val="en-US"/>
        </w:rPr>
        <w:t>The service will have in place a risk ma</w:t>
      </w:r>
      <w:r w:rsidR="00AF62BE">
        <w:rPr>
          <w:rFonts w:cs="Arial"/>
          <w:lang w:val="en-US"/>
        </w:rPr>
        <w:t xml:space="preserve">nagement policy that includes: </w:t>
      </w:r>
    </w:p>
    <w:p w:rsidR="00AF62BE" w:rsidRDefault="00211FC6" w:rsidP="0059658C">
      <w:pPr>
        <w:pStyle w:val="ListParagraph"/>
        <w:numPr>
          <w:ilvl w:val="0"/>
          <w:numId w:val="14"/>
        </w:numPr>
        <w:spacing w:after="120" w:line="240" w:lineRule="auto"/>
        <w:jc w:val="both"/>
        <w:rPr>
          <w:lang w:val="en-US"/>
        </w:rPr>
      </w:pPr>
      <w:r w:rsidRPr="00AF62BE">
        <w:rPr>
          <w:lang w:val="en-US"/>
        </w:rPr>
        <w:t xml:space="preserve">Working with </w:t>
      </w:r>
      <w:r w:rsidRPr="00AF62BE">
        <w:t>risk</w:t>
      </w:r>
      <w:r w:rsidRPr="00AF62BE">
        <w:rPr>
          <w:lang w:val="en-US"/>
        </w:rPr>
        <w:t xml:space="preserve"> in a positive way to increase Service Users’ independence; working jointly with other organisations, statutory and voluntary, to jointly manage individual risks; protecting staff (including where necessary minimum staffing requirements) and those using the service, from risk; lone wo</w:t>
      </w:r>
      <w:r w:rsidR="00AF62BE">
        <w:rPr>
          <w:lang w:val="en-US"/>
        </w:rPr>
        <w:t>rking guidelines and procedures;</w:t>
      </w:r>
      <w:r w:rsidRPr="00AF62BE">
        <w:rPr>
          <w:lang w:val="en-US"/>
        </w:rPr>
        <w:t xml:space="preserve"> </w:t>
      </w:r>
    </w:p>
    <w:p w:rsidR="00AF62BE" w:rsidRDefault="00AF62BE" w:rsidP="0059658C">
      <w:pPr>
        <w:pStyle w:val="ListParagraph"/>
        <w:numPr>
          <w:ilvl w:val="0"/>
          <w:numId w:val="14"/>
        </w:numPr>
        <w:spacing w:after="120" w:line="240" w:lineRule="auto"/>
        <w:jc w:val="both"/>
        <w:rPr>
          <w:lang w:val="en-US"/>
        </w:rPr>
      </w:pPr>
      <w:r>
        <w:rPr>
          <w:lang w:val="en-US"/>
        </w:rPr>
        <w:t xml:space="preserve">Ensuring </w:t>
      </w:r>
      <w:r w:rsidR="00211FC6" w:rsidRPr="00AF62BE">
        <w:rPr>
          <w:lang w:val="en-US"/>
        </w:rPr>
        <w:t xml:space="preserve">that an assessment of the potential risks to Service Users and staff associated with delivering the </w:t>
      </w:r>
      <w:r>
        <w:rPr>
          <w:lang w:val="en-US"/>
        </w:rPr>
        <w:t>service is undertaken</w:t>
      </w:r>
      <w:r w:rsidR="00211FC6" w:rsidRPr="00AF62BE">
        <w:rPr>
          <w:lang w:val="en-US"/>
        </w:rPr>
        <w:t xml:space="preserve"> by</w:t>
      </w:r>
      <w:r>
        <w:rPr>
          <w:lang w:val="en-US"/>
        </w:rPr>
        <w:t xml:space="preserve"> a trained and qualified person</w:t>
      </w:r>
      <w:r w:rsidR="00211FC6" w:rsidRPr="00AF62BE">
        <w:rPr>
          <w:lang w:val="en-US"/>
        </w:rPr>
        <w:t xml:space="preserve"> before staff commence work and </w:t>
      </w:r>
      <w:r>
        <w:rPr>
          <w:lang w:val="en-US"/>
        </w:rPr>
        <w:t xml:space="preserve">that </w:t>
      </w:r>
      <w:r w:rsidR="00211FC6" w:rsidRPr="00AF62BE">
        <w:rPr>
          <w:lang w:val="en-US"/>
        </w:rPr>
        <w:t xml:space="preserve">a risk management plan </w:t>
      </w:r>
      <w:r>
        <w:rPr>
          <w:lang w:val="en-US"/>
        </w:rPr>
        <w:t xml:space="preserve">is </w:t>
      </w:r>
      <w:r w:rsidR="00211FC6" w:rsidRPr="00AF62BE">
        <w:rPr>
          <w:lang w:val="en-US"/>
        </w:rPr>
        <w:t>put in place. This should be updated annually o</w:t>
      </w:r>
      <w:r>
        <w:rPr>
          <w:lang w:val="en-US"/>
        </w:rPr>
        <w:t>r more frequently if necessary;</w:t>
      </w:r>
    </w:p>
    <w:p w:rsidR="00AF62BE" w:rsidRDefault="00211FC6" w:rsidP="0059658C">
      <w:pPr>
        <w:pStyle w:val="ListParagraph"/>
        <w:numPr>
          <w:ilvl w:val="0"/>
          <w:numId w:val="14"/>
        </w:numPr>
        <w:spacing w:after="120" w:line="240" w:lineRule="auto"/>
        <w:jc w:val="both"/>
        <w:rPr>
          <w:lang w:val="en-US"/>
        </w:rPr>
      </w:pPr>
      <w:r w:rsidRPr="00AF62BE">
        <w:rPr>
          <w:lang w:val="en-US"/>
        </w:rPr>
        <w:t xml:space="preserve">Where the service is concerned for the health, safety or comfort of other people as a consequence of a Service User’s actions or behaviour, the service must discuss those </w:t>
      </w:r>
      <w:r w:rsidR="00AF62BE">
        <w:rPr>
          <w:lang w:val="en-US"/>
        </w:rPr>
        <w:t>concerns with the Service User;</w:t>
      </w:r>
    </w:p>
    <w:p w:rsidR="00AF62BE" w:rsidRDefault="00211FC6" w:rsidP="0059658C">
      <w:pPr>
        <w:pStyle w:val="ListParagraph"/>
        <w:numPr>
          <w:ilvl w:val="0"/>
          <w:numId w:val="14"/>
        </w:numPr>
        <w:spacing w:after="120" w:line="240" w:lineRule="auto"/>
        <w:jc w:val="both"/>
        <w:rPr>
          <w:lang w:val="en-US"/>
        </w:rPr>
      </w:pPr>
      <w:r w:rsidRPr="00AF62BE">
        <w:rPr>
          <w:lang w:val="en-US"/>
        </w:rPr>
        <w:t>Where the Service User persists in continuing with their actions and the provider remains concerned for the well-being of the Service User or other people, the treating health practitioner must be informed immediately in order to id</w:t>
      </w:r>
      <w:r w:rsidR="00AF62BE">
        <w:rPr>
          <w:lang w:val="en-US"/>
        </w:rPr>
        <w:t>entify how to address the risk;</w:t>
      </w:r>
    </w:p>
    <w:p w:rsidR="00405F1D" w:rsidRDefault="00211FC6" w:rsidP="0059658C">
      <w:pPr>
        <w:pStyle w:val="ListParagraph"/>
        <w:numPr>
          <w:ilvl w:val="0"/>
          <w:numId w:val="14"/>
        </w:numPr>
        <w:spacing w:after="120" w:line="240" w:lineRule="auto"/>
        <w:jc w:val="both"/>
        <w:rPr>
          <w:lang w:val="en-US"/>
        </w:rPr>
      </w:pPr>
      <w:r w:rsidRPr="00AF62BE">
        <w:rPr>
          <w:lang w:val="en-US"/>
        </w:rPr>
        <w:t>The service shall record in writing any serious incident that occurs in the provision of the service and report the incident to the Host Authority within 24 hours of the incident occurring</w:t>
      </w:r>
    </w:p>
    <w:p w:rsidR="00FE59F3" w:rsidRDefault="000B60DC" w:rsidP="0059658C">
      <w:pPr>
        <w:pStyle w:val="ListParagraph"/>
        <w:numPr>
          <w:ilvl w:val="0"/>
          <w:numId w:val="14"/>
        </w:numPr>
        <w:spacing w:after="120" w:line="240" w:lineRule="auto"/>
        <w:jc w:val="both"/>
        <w:rPr>
          <w:lang w:val="en-US"/>
        </w:rPr>
      </w:pPr>
      <w:r>
        <w:rPr>
          <w:lang w:val="en-US"/>
        </w:rPr>
        <w:t>Managing the particular risks of a randomised control trial, e.g., the risk of patient harm as a result of the trial, managing the process of onward referral for people randomised into the control group</w:t>
      </w:r>
      <w:r w:rsidR="00DD1D5F">
        <w:rPr>
          <w:lang w:val="en-US"/>
        </w:rPr>
        <w:t>.</w:t>
      </w:r>
    </w:p>
    <w:p w:rsidR="00B33492" w:rsidRDefault="00B33492" w:rsidP="0059658C">
      <w:pPr>
        <w:jc w:val="both"/>
        <w:rPr>
          <w:rFonts w:cs="Arial"/>
          <w:lang w:val="en-US"/>
        </w:rPr>
      </w:pPr>
      <w:r>
        <w:rPr>
          <w:lang w:val="en-US"/>
        </w:rPr>
        <w:br w:type="page"/>
      </w:r>
    </w:p>
    <w:p w:rsidR="00B33492" w:rsidRPr="00166355" w:rsidRDefault="00B33492" w:rsidP="0059658C">
      <w:pPr>
        <w:pStyle w:val="ListParagraph"/>
        <w:numPr>
          <w:ilvl w:val="0"/>
          <w:numId w:val="0"/>
        </w:numPr>
        <w:spacing w:after="120" w:line="240" w:lineRule="auto"/>
        <w:ind w:left="720"/>
        <w:rPr>
          <w:lang w:val="en-US"/>
        </w:rPr>
      </w:pPr>
    </w:p>
    <w:p w:rsidR="00405F1D" w:rsidRPr="00C247B8" w:rsidRDefault="00211FC6" w:rsidP="0059658C">
      <w:pPr>
        <w:pStyle w:val="Heading1"/>
        <w:numPr>
          <w:ilvl w:val="0"/>
          <w:numId w:val="0"/>
        </w:numPr>
        <w:spacing w:before="0" w:after="120" w:line="240" w:lineRule="auto"/>
        <w:ind w:left="397" w:hanging="397"/>
      </w:pPr>
      <w:bookmarkStart w:id="101" w:name="_Toc491351945"/>
      <w:r w:rsidRPr="001A3543">
        <w:t xml:space="preserve">Appendix </w:t>
      </w:r>
      <w:r w:rsidR="00AF62BE" w:rsidRPr="001A3543">
        <w:t>4</w:t>
      </w:r>
      <w:r w:rsidR="000B03A7" w:rsidRPr="001A3543">
        <w:t xml:space="preserve"> –</w:t>
      </w:r>
      <w:r w:rsidRPr="001A3543">
        <w:t xml:space="preserve"> Workforce Standards</w:t>
      </w:r>
      <w:bookmarkEnd w:id="101"/>
    </w:p>
    <w:p w:rsidR="001953A9" w:rsidRPr="009419AD" w:rsidRDefault="001953A9" w:rsidP="0059658C">
      <w:pPr>
        <w:spacing w:after="120" w:line="240" w:lineRule="auto"/>
        <w:rPr>
          <w:rFonts w:cs="Arial"/>
          <w:b/>
        </w:rPr>
      </w:pPr>
      <w:r w:rsidRPr="009419AD">
        <w:rPr>
          <w:rFonts w:cs="Arial"/>
          <w:b/>
        </w:rPr>
        <w:t>Managing employees</w:t>
      </w:r>
    </w:p>
    <w:p w:rsidR="002C026E" w:rsidRPr="00D20B55" w:rsidRDefault="0060528D" w:rsidP="0059658C">
      <w:pPr>
        <w:spacing w:after="120" w:line="240" w:lineRule="auto"/>
        <w:jc w:val="both"/>
        <w:rPr>
          <w:rFonts w:cs="Arial"/>
        </w:rPr>
      </w:pPr>
      <w:r>
        <w:rPr>
          <w:rFonts w:cs="Arial"/>
        </w:rPr>
        <w:t>Providers</w:t>
      </w:r>
      <w:r w:rsidR="002C026E" w:rsidRPr="00D20B55">
        <w:rPr>
          <w:rFonts w:cs="Arial"/>
        </w:rPr>
        <w:t xml:space="preserve"> will have clear policies, processes and/or practices in place for dealing with employees in relation to performance, attendance, conduct and employee concerns.</w:t>
      </w:r>
    </w:p>
    <w:p w:rsidR="002C026E" w:rsidRPr="00D20B55" w:rsidRDefault="002C026E" w:rsidP="0059658C">
      <w:pPr>
        <w:spacing w:after="120" w:line="240" w:lineRule="auto"/>
        <w:jc w:val="both"/>
        <w:rPr>
          <w:rFonts w:cs="Arial"/>
        </w:rPr>
      </w:pPr>
      <w:r w:rsidRPr="00D20B55">
        <w:rPr>
          <w:rFonts w:cs="Arial"/>
        </w:rPr>
        <w:t>Staff will be made aware of these processes and/or practices.</w:t>
      </w:r>
    </w:p>
    <w:p w:rsidR="002C026E" w:rsidRPr="00D20B55" w:rsidRDefault="0060528D" w:rsidP="0059658C">
      <w:pPr>
        <w:spacing w:after="120" w:line="240" w:lineRule="auto"/>
        <w:jc w:val="both"/>
        <w:rPr>
          <w:rFonts w:cs="Arial"/>
        </w:rPr>
      </w:pPr>
      <w:r>
        <w:rPr>
          <w:rFonts w:cs="Arial"/>
        </w:rPr>
        <w:t>Providers</w:t>
      </w:r>
      <w:r w:rsidR="002C026E" w:rsidRPr="00D20B55">
        <w:rPr>
          <w:rFonts w:cs="Arial"/>
        </w:rPr>
        <w:t xml:space="preserve"> will make staff aware at the earliest opportunity where their performance (including absence and conduct) fall below the standards required and provide the necessary support to bring about improvement.</w:t>
      </w:r>
    </w:p>
    <w:p w:rsidR="001953A9" w:rsidRPr="00D20B55" w:rsidRDefault="0060528D" w:rsidP="0059658C">
      <w:pPr>
        <w:spacing w:after="120" w:line="240" w:lineRule="auto"/>
        <w:jc w:val="both"/>
        <w:rPr>
          <w:rFonts w:cs="Arial"/>
        </w:rPr>
      </w:pPr>
      <w:r>
        <w:rPr>
          <w:rFonts w:cs="Arial"/>
        </w:rPr>
        <w:t>Providers</w:t>
      </w:r>
      <w:r w:rsidR="002C026E" w:rsidRPr="00D20B55">
        <w:rPr>
          <w:rFonts w:cs="Arial"/>
        </w:rPr>
        <w:t xml:space="preserve"> will induct staff into working on the contract so that they are aware both of the significance and importance of their individual contributions and also of their duties and obligations.</w:t>
      </w:r>
    </w:p>
    <w:p w:rsidR="001953A9" w:rsidRPr="009419AD" w:rsidRDefault="001953A9" w:rsidP="0059658C">
      <w:pPr>
        <w:spacing w:after="120" w:line="240" w:lineRule="auto"/>
        <w:jc w:val="both"/>
        <w:rPr>
          <w:rFonts w:cs="Arial"/>
          <w:b/>
        </w:rPr>
      </w:pPr>
      <w:r w:rsidRPr="009419AD">
        <w:rPr>
          <w:rFonts w:cs="Arial"/>
          <w:b/>
        </w:rPr>
        <w:t>Training and skills</w:t>
      </w:r>
    </w:p>
    <w:p w:rsidR="0060528D" w:rsidRDefault="0060528D" w:rsidP="0059658C">
      <w:pPr>
        <w:spacing w:after="120" w:line="240" w:lineRule="auto"/>
        <w:jc w:val="both"/>
        <w:rPr>
          <w:rFonts w:cs="Arial"/>
        </w:rPr>
      </w:pPr>
      <w:r>
        <w:rPr>
          <w:rFonts w:cs="Arial"/>
        </w:rPr>
        <w:t xml:space="preserve">All IPS Employment Specialists will need to undertake training arranged by the Combined Authority in advance of working with any clients.  </w:t>
      </w:r>
    </w:p>
    <w:p w:rsidR="001953A9" w:rsidRPr="00D20B55" w:rsidRDefault="0060528D" w:rsidP="0059658C">
      <w:pPr>
        <w:spacing w:after="120" w:line="240" w:lineRule="auto"/>
        <w:jc w:val="both"/>
        <w:rPr>
          <w:rFonts w:cs="Arial"/>
        </w:rPr>
      </w:pPr>
      <w:r>
        <w:rPr>
          <w:rFonts w:cs="Arial"/>
        </w:rPr>
        <w:t>It is expected s</w:t>
      </w:r>
      <w:r w:rsidR="001953A9" w:rsidRPr="00D20B55">
        <w:rPr>
          <w:rFonts w:cs="Arial"/>
        </w:rPr>
        <w:t xml:space="preserve">taff will be provided with the appropriate </w:t>
      </w:r>
      <w:r w:rsidR="00707E03">
        <w:rPr>
          <w:rFonts w:cs="Arial"/>
        </w:rPr>
        <w:t>IPS</w:t>
      </w:r>
      <w:r w:rsidR="001953A9" w:rsidRPr="00D20B55">
        <w:rPr>
          <w:rFonts w:cs="Arial"/>
        </w:rPr>
        <w:t xml:space="preserve"> and other training, development and / or qualifications relevant to their role, including customer relations and health and safety training.</w:t>
      </w:r>
    </w:p>
    <w:p w:rsidR="001953A9" w:rsidRPr="00D20B55" w:rsidRDefault="001953A9" w:rsidP="0059658C">
      <w:pPr>
        <w:spacing w:after="120" w:line="240" w:lineRule="auto"/>
        <w:jc w:val="both"/>
        <w:rPr>
          <w:rFonts w:cs="Arial"/>
        </w:rPr>
      </w:pPr>
      <w:r w:rsidRPr="00D20B55">
        <w:rPr>
          <w:rFonts w:cs="Arial"/>
        </w:rPr>
        <w:t>Staff will be supported to develop their skills and gain experience in line with any future roles that may be expected of them.</w:t>
      </w:r>
    </w:p>
    <w:p w:rsidR="002C026E" w:rsidRPr="00D20B55" w:rsidRDefault="0060528D" w:rsidP="0059658C">
      <w:pPr>
        <w:spacing w:after="120" w:line="240" w:lineRule="auto"/>
        <w:jc w:val="both"/>
        <w:rPr>
          <w:rFonts w:cs="Arial"/>
        </w:rPr>
      </w:pPr>
      <w:r>
        <w:rPr>
          <w:rFonts w:cs="Arial"/>
        </w:rPr>
        <w:t xml:space="preserve">Providers </w:t>
      </w:r>
      <w:r w:rsidR="001953A9" w:rsidRPr="00D20B55">
        <w:rPr>
          <w:rFonts w:cs="Arial"/>
        </w:rPr>
        <w:t xml:space="preserve">will ensure that its </w:t>
      </w:r>
      <w:r>
        <w:rPr>
          <w:rFonts w:cs="Arial"/>
        </w:rPr>
        <w:t xml:space="preserve">team </w:t>
      </w:r>
      <w:r w:rsidR="001953A9" w:rsidRPr="00D20B55">
        <w:rPr>
          <w:rFonts w:cs="Arial"/>
        </w:rPr>
        <w:t>managers are appropriately trained and d</w:t>
      </w:r>
      <w:r w:rsidR="00B54E4E" w:rsidRPr="00D20B55">
        <w:rPr>
          <w:rFonts w:cs="Arial"/>
        </w:rPr>
        <w:t>eveloped to perform their role.</w:t>
      </w:r>
    </w:p>
    <w:p w:rsidR="001953A9" w:rsidRPr="00D20B55" w:rsidRDefault="001953A9" w:rsidP="0059658C">
      <w:pPr>
        <w:spacing w:after="120" w:line="240" w:lineRule="auto"/>
        <w:jc w:val="both"/>
        <w:rPr>
          <w:rFonts w:cs="Arial"/>
        </w:rPr>
      </w:pPr>
      <w:r w:rsidRPr="00D20B55">
        <w:rPr>
          <w:rFonts w:cs="Arial"/>
        </w:rPr>
        <w:t xml:space="preserve">The service will ensure that staff are trained </w:t>
      </w:r>
      <w:r w:rsidR="0060528D">
        <w:rPr>
          <w:rFonts w:cs="Arial"/>
        </w:rPr>
        <w:t>appropriately in areas such as</w:t>
      </w:r>
      <w:r w:rsidRPr="00D20B55">
        <w:rPr>
          <w:rFonts w:cs="Arial"/>
        </w:rPr>
        <w:t>:</w:t>
      </w:r>
    </w:p>
    <w:p w:rsidR="0060528D" w:rsidRDefault="0060528D" w:rsidP="0059658C">
      <w:pPr>
        <w:pStyle w:val="ListParagraph"/>
        <w:numPr>
          <w:ilvl w:val="0"/>
          <w:numId w:val="5"/>
        </w:numPr>
        <w:spacing w:after="120" w:line="240" w:lineRule="auto"/>
        <w:jc w:val="both"/>
      </w:pPr>
      <w:r>
        <w:t>Disclosure and informed consent;</w:t>
      </w:r>
    </w:p>
    <w:p w:rsidR="001953A9" w:rsidRDefault="001953A9" w:rsidP="0059658C">
      <w:pPr>
        <w:pStyle w:val="ListParagraph"/>
        <w:numPr>
          <w:ilvl w:val="0"/>
          <w:numId w:val="5"/>
        </w:numPr>
        <w:spacing w:after="120" w:line="240" w:lineRule="auto"/>
        <w:jc w:val="both"/>
      </w:pPr>
      <w:r w:rsidRPr="00D20B55">
        <w:t xml:space="preserve">Awareness of the </w:t>
      </w:r>
      <w:r w:rsidR="0060528D">
        <w:t>equality and</w:t>
      </w:r>
      <w:r w:rsidRPr="00D20B55">
        <w:t xml:space="preserve"> diversity of the service user group its implications for the delivery of the service and development of staff cultural competency;</w:t>
      </w:r>
    </w:p>
    <w:p w:rsidR="0060528D" w:rsidRPr="00D20B55" w:rsidRDefault="0060528D" w:rsidP="0059658C">
      <w:pPr>
        <w:pStyle w:val="ListParagraph"/>
        <w:numPr>
          <w:ilvl w:val="0"/>
          <w:numId w:val="5"/>
        </w:numPr>
        <w:spacing w:after="120" w:line="240" w:lineRule="auto"/>
        <w:jc w:val="both"/>
      </w:pPr>
      <w:r>
        <w:t>Working with vulnerable adults and handling sensitive conversations;</w:t>
      </w:r>
    </w:p>
    <w:p w:rsidR="001953A9" w:rsidRPr="00D20B55" w:rsidRDefault="001953A9" w:rsidP="0059658C">
      <w:pPr>
        <w:pStyle w:val="ListParagraph"/>
        <w:numPr>
          <w:ilvl w:val="0"/>
          <w:numId w:val="5"/>
        </w:numPr>
        <w:spacing w:after="120" w:line="240" w:lineRule="auto"/>
        <w:jc w:val="both"/>
      </w:pPr>
      <w:r w:rsidRPr="00D20B55">
        <w:t>Management of complaints;</w:t>
      </w:r>
    </w:p>
    <w:p w:rsidR="001953A9" w:rsidRPr="00D20B55" w:rsidRDefault="001953A9" w:rsidP="0059658C">
      <w:pPr>
        <w:pStyle w:val="ListParagraph"/>
        <w:numPr>
          <w:ilvl w:val="0"/>
          <w:numId w:val="5"/>
        </w:numPr>
        <w:spacing w:after="120" w:line="240" w:lineRule="auto"/>
        <w:jc w:val="both"/>
      </w:pPr>
      <w:r w:rsidRPr="00D20B55">
        <w:t>Confidentiality, information sharing and data protection;</w:t>
      </w:r>
    </w:p>
    <w:p w:rsidR="001953A9" w:rsidRPr="00D20B55" w:rsidRDefault="001953A9" w:rsidP="0059658C">
      <w:pPr>
        <w:pStyle w:val="ListParagraph"/>
        <w:numPr>
          <w:ilvl w:val="0"/>
          <w:numId w:val="5"/>
        </w:numPr>
        <w:spacing w:after="120" w:line="240" w:lineRule="auto"/>
        <w:jc w:val="both"/>
      </w:pPr>
      <w:r w:rsidRPr="00D20B55">
        <w:t>Boundary setting;</w:t>
      </w:r>
    </w:p>
    <w:p w:rsidR="001953A9" w:rsidRPr="00D20B55" w:rsidRDefault="001953A9" w:rsidP="0059658C">
      <w:pPr>
        <w:pStyle w:val="ListParagraph"/>
        <w:numPr>
          <w:ilvl w:val="0"/>
          <w:numId w:val="5"/>
        </w:numPr>
        <w:spacing w:after="120" w:line="240" w:lineRule="auto"/>
        <w:jc w:val="both"/>
      </w:pPr>
      <w:r w:rsidRPr="00D20B55">
        <w:t>Advice and guidance;</w:t>
      </w:r>
    </w:p>
    <w:p w:rsidR="001953A9" w:rsidRPr="00D20B55" w:rsidRDefault="001953A9" w:rsidP="0059658C">
      <w:pPr>
        <w:pStyle w:val="ListParagraph"/>
        <w:numPr>
          <w:ilvl w:val="0"/>
          <w:numId w:val="5"/>
        </w:numPr>
        <w:spacing w:after="120" w:line="240" w:lineRule="auto"/>
        <w:jc w:val="both"/>
      </w:pPr>
      <w:r w:rsidRPr="00D20B55">
        <w:t>Health and Safety;</w:t>
      </w:r>
    </w:p>
    <w:p w:rsidR="001953A9" w:rsidRPr="00D20B55" w:rsidRDefault="001953A9" w:rsidP="0059658C">
      <w:pPr>
        <w:pStyle w:val="ListParagraph"/>
        <w:numPr>
          <w:ilvl w:val="0"/>
          <w:numId w:val="5"/>
        </w:numPr>
        <w:spacing w:after="120" w:line="240" w:lineRule="auto"/>
        <w:jc w:val="both"/>
      </w:pPr>
      <w:r w:rsidRPr="00D20B55">
        <w:t>Mental Health First Aid;</w:t>
      </w:r>
    </w:p>
    <w:p w:rsidR="002C026E" w:rsidRDefault="001953A9" w:rsidP="0059658C">
      <w:pPr>
        <w:pStyle w:val="ListParagraph"/>
        <w:numPr>
          <w:ilvl w:val="0"/>
          <w:numId w:val="5"/>
        </w:numPr>
        <w:spacing w:after="120" w:line="240" w:lineRule="auto"/>
        <w:jc w:val="both"/>
      </w:pPr>
      <w:r w:rsidRPr="00D20B55">
        <w:t>Sa</w:t>
      </w:r>
      <w:r w:rsidR="002C026E" w:rsidRPr="00D20B55">
        <w:t>feguarding adults and children</w:t>
      </w:r>
      <w:r w:rsidR="0060528D">
        <w:t>;</w:t>
      </w:r>
    </w:p>
    <w:p w:rsidR="0060528D" w:rsidRDefault="0060528D" w:rsidP="0059658C">
      <w:pPr>
        <w:pStyle w:val="ListParagraph"/>
        <w:numPr>
          <w:ilvl w:val="0"/>
          <w:numId w:val="5"/>
        </w:numPr>
        <w:spacing w:after="120" w:line="240" w:lineRule="auto"/>
        <w:jc w:val="both"/>
      </w:pPr>
      <w:r>
        <w:t>Employer engagement and in work support;</w:t>
      </w:r>
    </w:p>
    <w:p w:rsidR="0060528D" w:rsidRDefault="0060528D" w:rsidP="0059658C">
      <w:pPr>
        <w:pStyle w:val="ListParagraph"/>
        <w:numPr>
          <w:ilvl w:val="0"/>
          <w:numId w:val="5"/>
        </w:numPr>
        <w:spacing w:after="120" w:line="240" w:lineRule="auto"/>
        <w:jc w:val="both"/>
      </w:pPr>
      <w:r>
        <w:t>Understanding DWP conditionality requirements and benefits.</w:t>
      </w:r>
    </w:p>
    <w:p w:rsidR="001953A9" w:rsidRPr="009419AD" w:rsidRDefault="001953A9" w:rsidP="0059658C">
      <w:pPr>
        <w:spacing w:after="120" w:line="240" w:lineRule="auto"/>
        <w:jc w:val="both"/>
        <w:rPr>
          <w:rFonts w:cs="Arial"/>
          <w:b/>
        </w:rPr>
      </w:pPr>
      <w:r w:rsidRPr="009419AD">
        <w:rPr>
          <w:rFonts w:cs="Arial"/>
          <w:b/>
        </w:rPr>
        <w:t>Health and safety</w:t>
      </w:r>
    </w:p>
    <w:p w:rsidR="0060528D" w:rsidRPr="00166355" w:rsidRDefault="001953A9" w:rsidP="0059658C">
      <w:pPr>
        <w:spacing w:after="120" w:line="240" w:lineRule="auto"/>
        <w:jc w:val="both"/>
        <w:rPr>
          <w:rFonts w:cs="Arial"/>
        </w:rPr>
      </w:pPr>
      <w:r w:rsidRPr="00D20B55">
        <w:rPr>
          <w:rFonts w:cs="Arial"/>
        </w:rPr>
        <w:t xml:space="preserve">The supplier will have adequate policies and procedures in place to ensure the health and safety of its workforce and customers in keeping with all legal requirements. </w:t>
      </w:r>
    </w:p>
    <w:p w:rsidR="002C026E" w:rsidRPr="009419AD" w:rsidRDefault="001953A9" w:rsidP="0059658C">
      <w:pPr>
        <w:jc w:val="both"/>
        <w:rPr>
          <w:rFonts w:cs="Arial"/>
          <w:b/>
        </w:rPr>
      </w:pPr>
      <w:r w:rsidRPr="009419AD">
        <w:rPr>
          <w:rFonts w:cs="Arial"/>
          <w:b/>
        </w:rPr>
        <w:t>Equality and diversity</w:t>
      </w:r>
    </w:p>
    <w:p w:rsidR="002C026E" w:rsidRPr="00D20B55" w:rsidRDefault="002C026E" w:rsidP="0059658C">
      <w:pPr>
        <w:spacing w:after="120" w:line="240" w:lineRule="auto"/>
        <w:jc w:val="both"/>
        <w:rPr>
          <w:rFonts w:cs="Arial"/>
          <w:lang w:val="en-US"/>
        </w:rPr>
      </w:pPr>
      <w:r w:rsidRPr="00D20B55">
        <w:rPr>
          <w:rFonts w:cs="Arial"/>
        </w:rPr>
        <w:t xml:space="preserve">The </w:t>
      </w:r>
      <w:r w:rsidRPr="00D20B55">
        <w:rPr>
          <w:rFonts w:cs="Arial"/>
          <w:lang w:val="en-US"/>
        </w:rPr>
        <w:t xml:space="preserve">Equality and Diversity Vision of the </w:t>
      </w:r>
      <w:r w:rsidR="00CE2B59">
        <w:rPr>
          <w:rFonts w:cs="Arial"/>
        </w:rPr>
        <w:t>Sheffield City Region</w:t>
      </w:r>
      <w:r w:rsidRPr="00D20B55">
        <w:rPr>
          <w:rFonts w:cs="Arial"/>
        </w:rPr>
        <w:t xml:space="preserve"> </w:t>
      </w:r>
      <w:r w:rsidR="00A305EA" w:rsidRPr="00D20B55">
        <w:rPr>
          <w:rFonts w:cs="Arial"/>
        </w:rPr>
        <w:t>Combined</w:t>
      </w:r>
      <w:r w:rsidRPr="00D20B55">
        <w:rPr>
          <w:rFonts w:cs="Arial"/>
        </w:rPr>
        <w:t xml:space="preserve"> </w:t>
      </w:r>
      <w:r w:rsidR="00A305EA" w:rsidRPr="00D20B55">
        <w:rPr>
          <w:rFonts w:cs="Arial"/>
        </w:rPr>
        <w:t>Authority,</w:t>
      </w:r>
      <w:r w:rsidRPr="00D20B55">
        <w:rPr>
          <w:rFonts w:cs="Arial"/>
          <w:lang w:val="en-US"/>
        </w:rPr>
        <w:t xml:space="preserve"> is integral to the overall vision of improving the quality of life of everyone who lives and works in the </w:t>
      </w:r>
      <w:r w:rsidR="00CE2B59">
        <w:rPr>
          <w:rFonts w:cs="Arial"/>
          <w:lang w:val="en-US"/>
        </w:rPr>
        <w:t>Sheffield City Region</w:t>
      </w:r>
      <w:r w:rsidRPr="00D20B55">
        <w:rPr>
          <w:rFonts w:cs="Arial"/>
          <w:lang w:val="en-US"/>
        </w:rPr>
        <w:t>.</w:t>
      </w:r>
    </w:p>
    <w:p w:rsidR="002C026E" w:rsidRPr="00D20B55" w:rsidRDefault="002C026E" w:rsidP="0059658C">
      <w:pPr>
        <w:spacing w:after="120" w:line="240" w:lineRule="auto"/>
        <w:jc w:val="both"/>
        <w:rPr>
          <w:rFonts w:cs="Arial"/>
          <w:lang w:val="en-US"/>
        </w:rPr>
      </w:pPr>
      <w:r w:rsidRPr="00D20B55">
        <w:rPr>
          <w:rFonts w:cs="Arial"/>
          <w:lang w:val="en-US"/>
        </w:rPr>
        <w:lastRenderedPageBreak/>
        <w:t xml:space="preserve">Equality and diversity is at the heart of the business; which values the diversity of all customers, staff, </w:t>
      </w:r>
      <w:r w:rsidR="0060528D">
        <w:rPr>
          <w:rFonts w:cs="Arial"/>
          <w:lang w:val="en-US"/>
        </w:rPr>
        <w:t>providers</w:t>
      </w:r>
      <w:r w:rsidRPr="00D20B55">
        <w:rPr>
          <w:rFonts w:cs="Arial"/>
          <w:lang w:val="en-US"/>
        </w:rPr>
        <w:t xml:space="preserve">, partners and the people we work with. </w:t>
      </w:r>
      <w:r w:rsidR="0060528D">
        <w:rPr>
          <w:rFonts w:cs="Arial"/>
          <w:lang w:val="en-US"/>
        </w:rPr>
        <w:t xml:space="preserve"> </w:t>
      </w:r>
      <w:r w:rsidRPr="00D20B55">
        <w:rPr>
          <w:rFonts w:cs="Arial"/>
          <w:lang w:val="en-US"/>
        </w:rPr>
        <w:t xml:space="preserve">A clear </w:t>
      </w:r>
      <w:r w:rsidR="00A305EA" w:rsidRPr="00D20B55">
        <w:rPr>
          <w:rFonts w:cs="Arial"/>
          <w:lang w:val="en-US"/>
        </w:rPr>
        <w:t>commitment</w:t>
      </w:r>
      <w:r w:rsidRPr="00D20B55">
        <w:rPr>
          <w:rFonts w:cs="Arial"/>
          <w:lang w:val="en-US"/>
        </w:rPr>
        <w:t xml:space="preserve"> to treating everyone fairly and achieving equal outcomes for all. </w:t>
      </w:r>
    </w:p>
    <w:p w:rsidR="008B0ED7" w:rsidRDefault="002C026E" w:rsidP="0059658C">
      <w:pPr>
        <w:spacing w:after="120" w:line="240" w:lineRule="auto"/>
        <w:jc w:val="both"/>
        <w:rPr>
          <w:rFonts w:cs="Arial"/>
          <w:lang w:val="en-US"/>
        </w:rPr>
      </w:pPr>
      <w:r w:rsidRPr="00D20B55">
        <w:rPr>
          <w:rFonts w:cs="Arial"/>
          <w:lang w:val="en-US"/>
        </w:rPr>
        <w:t>The provider is expected to create a positive working environment where everyone is treated with dignity and respect and provide</w:t>
      </w:r>
      <w:r w:rsidR="009E2B69">
        <w:rPr>
          <w:rFonts w:cs="Arial"/>
          <w:lang w:val="en-US"/>
        </w:rPr>
        <w:t>s</w:t>
      </w:r>
      <w:r w:rsidRPr="00D20B55">
        <w:rPr>
          <w:rFonts w:cs="Arial"/>
          <w:lang w:val="en-US"/>
        </w:rPr>
        <w:t xml:space="preserve"> services and implement</w:t>
      </w:r>
      <w:r w:rsidR="009E2B69">
        <w:rPr>
          <w:rFonts w:cs="Arial"/>
          <w:lang w:val="en-US"/>
        </w:rPr>
        <w:t>s</w:t>
      </w:r>
      <w:r w:rsidRPr="00D20B55">
        <w:rPr>
          <w:rFonts w:cs="Arial"/>
          <w:lang w:val="en-US"/>
        </w:rPr>
        <w:t xml:space="preserve"> strategies that meet the diverse needs of people in the </w:t>
      </w:r>
      <w:r w:rsidR="00CE2B59">
        <w:rPr>
          <w:rFonts w:cs="Arial"/>
          <w:lang w:val="en-US"/>
        </w:rPr>
        <w:t>Sheffield City Region</w:t>
      </w:r>
      <w:r w:rsidRPr="00D20B55">
        <w:rPr>
          <w:rFonts w:cs="Arial"/>
          <w:lang w:val="en-US"/>
        </w:rPr>
        <w:t>. </w:t>
      </w:r>
    </w:p>
    <w:p w:rsidR="00CF43A4" w:rsidRDefault="00CF43A4" w:rsidP="0059658C">
      <w:pPr>
        <w:spacing w:after="120" w:line="240" w:lineRule="auto"/>
        <w:jc w:val="both"/>
        <w:rPr>
          <w:b/>
          <w:bCs/>
          <w:iCs/>
          <w:color w:val="000000"/>
        </w:rPr>
      </w:pPr>
      <w:r>
        <w:rPr>
          <w:rFonts w:cs="Arial"/>
          <w:lang w:val="en-US"/>
        </w:rPr>
        <w:t>The provider will be expected to support the requirements of SCR and its partners in delivery its Public Sector Equality Duty</w:t>
      </w:r>
      <w:r w:rsidR="0060528D">
        <w:rPr>
          <w:rFonts w:cs="Arial"/>
          <w:lang w:val="en-US"/>
        </w:rPr>
        <w:t>.</w:t>
      </w:r>
    </w:p>
    <w:p w:rsidR="003A3A2C" w:rsidRPr="00F14501" w:rsidRDefault="003A3A2C" w:rsidP="0059658C">
      <w:pPr>
        <w:spacing w:after="120" w:line="240" w:lineRule="auto"/>
        <w:jc w:val="both"/>
        <w:rPr>
          <w:b/>
          <w:bCs/>
          <w:iCs/>
          <w:color w:val="000000"/>
        </w:rPr>
      </w:pPr>
      <w:r w:rsidRPr="00F14501">
        <w:rPr>
          <w:b/>
          <w:bCs/>
          <w:iCs/>
          <w:color w:val="000000"/>
        </w:rPr>
        <w:t>Commitment and responsibility of partners</w:t>
      </w:r>
    </w:p>
    <w:p w:rsidR="003A3A2C" w:rsidRPr="00E5073E" w:rsidRDefault="003A3A2C" w:rsidP="0059658C">
      <w:pPr>
        <w:spacing w:after="120" w:line="240" w:lineRule="auto"/>
        <w:jc w:val="both"/>
        <w:rPr>
          <w:rFonts w:cs="Arial"/>
        </w:rPr>
      </w:pPr>
      <w:r w:rsidRPr="00E5073E">
        <w:rPr>
          <w:rFonts w:cs="Arial"/>
        </w:rPr>
        <w:t xml:space="preserve">As public sector bodies, the Combined Authority, CCGs and other health partners are required to comply with the Public Sector Equality Duty (PSED). This means that </w:t>
      </w:r>
      <w:r w:rsidRPr="00E5073E">
        <w:rPr>
          <w:rFonts w:cs="Arial"/>
          <w:lang w:val="en" w:eastAsia="en-GB"/>
        </w:rPr>
        <w:t>when delivering their services and performing their functions, bodies subject to the PSED must have due regard to the need to:</w:t>
      </w:r>
    </w:p>
    <w:p w:rsidR="003A3A2C" w:rsidRPr="00E5073E" w:rsidRDefault="003A3A2C" w:rsidP="0059658C">
      <w:pPr>
        <w:numPr>
          <w:ilvl w:val="0"/>
          <w:numId w:val="52"/>
        </w:numPr>
        <w:spacing w:after="120" w:line="240" w:lineRule="auto"/>
        <w:jc w:val="both"/>
        <w:rPr>
          <w:rFonts w:eastAsia="Times New Roman" w:cs="Arial"/>
          <w:lang w:val="en" w:eastAsia="en-GB"/>
        </w:rPr>
      </w:pPr>
      <w:r w:rsidRPr="00E5073E">
        <w:rPr>
          <w:rFonts w:eastAsia="Times New Roman" w:cs="Arial"/>
          <w:lang w:val="en" w:eastAsia="en-GB"/>
        </w:rPr>
        <w:t>eliminate discrimination, harassment and victimisation and any other conduct that is prohibited by or under the Act</w:t>
      </w:r>
    </w:p>
    <w:p w:rsidR="003A3A2C" w:rsidRPr="00E5073E" w:rsidRDefault="003A3A2C" w:rsidP="0059658C">
      <w:pPr>
        <w:numPr>
          <w:ilvl w:val="0"/>
          <w:numId w:val="52"/>
        </w:numPr>
        <w:spacing w:after="120" w:line="240" w:lineRule="auto"/>
        <w:jc w:val="both"/>
        <w:rPr>
          <w:rFonts w:eastAsia="Times New Roman" w:cs="Arial"/>
          <w:lang w:val="en" w:eastAsia="en-GB"/>
        </w:rPr>
      </w:pPr>
      <w:r w:rsidRPr="00E5073E">
        <w:rPr>
          <w:rFonts w:eastAsia="Times New Roman" w:cs="Arial"/>
          <w:lang w:val="en" w:eastAsia="en-GB"/>
        </w:rPr>
        <w:t>advance equality of opportunity between people who share a relevant protected characteristic and people who do not share it</w:t>
      </w:r>
    </w:p>
    <w:p w:rsidR="003A3A2C" w:rsidRPr="00E5073E" w:rsidRDefault="003A3A2C" w:rsidP="0059658C">
      <w:pPr>
        <w:numPr>
          <w:ilvl w:val="0"/>
          <w:numId w:val="52"/>
        </w:numPr>
        <w:spacing w:after="120" w:line="240" w:lineRule="auto"/>
        <w:jc w:val="both"/>
        <w:rPr>
          <w:rFonts w:eastAsia="Times New Roman" w:cs="Arial"/>
          <w:lang w:val="en" w:eastAsia="en-GB"/>
        </w:rPr>
      </w:pPr>
      <w:r w:rsidRPr="00E5073E">
        <w:rPr>
          <w:rFonts w:eastAsia="Times New Roman" w:cs="Arial"/>
          <w:lang w:val="en" w:eastAsia="en-GB"/>
        </w:rPr>
        <w:t>foster good relations between people who share a relevant protected characteristic and those who do not share it</w:t>
      </w:r>
    </w:p>
    <w:p w:rsidR="003A3A2C" w:rsidRPr="00E5073E" w:rsidRDefault="003A3A2C" w:rsidP="0059658C">
      <w:pPr>
        <w:spacing w:after="120" w:line="240" w:lineRule="auto"/>
        <w:jc w:val="both"/>
        <w:rPr>
          <w:rFonts w:cs="Arial"/>
        </w:rPr>
      </w:pPr>
      <w:r w:rsidRPr="00E5073E">
        <w:rPr>
          <w:rFonts w:cs="Arial"/>
          <w:lang w:val="en" w:eastAsia="en-GB"/>
        </w:rPr>
        <w:t xml:space="preserve">The protected characteristics covered by PSED are age, disability, gender reassignment, pregnancy and maternity, race, religion or belief, sex, sexual orientation, and marriage and civil partnership (only in </w:t>
      </w:r>
    </w:p>
    <w:p w:rsidR="003A3A2C" w:rsidRPr="00F14501" w:rsidRDefault="003A3A2C" w:rsidP="0059658C">
      <w:pPr>
        <w:spacing w:after="120" w:line="240" w:lineRule="auto"/>
        <w:jc w:val="both"/>
        <w:rPr>
          <w:rFonts w:cs="Arial"/>
        </w:rPr>
      </w:pPr>
      <w:r w:rsidRPr="00E5073E">
        <w:rPr>
          <w:rFonts w:cs="Arial"/>
        </w:rPr>
        <w:t xml:space="preserve">This means awareness of equality issues and expectations under this public sector duty is already built into existing processes such as HR processes, procurement processes, project management and governance processes. Beyond this duty, all partners in this trial are committed to promoting equality and tackling social exclusion. We will check equality policies of all partners in the trial as part of our ongoing governance approach to meeting our public sector equality duties. </w:t>
      </w:r>
    </w:p>
    <w:p w:rsidR="003A3A2C" w:rsidRPr="00E5073E" w:rsidRDefault="003A3A2C" w:rsidP="0059658C">
      <w:pPr>
        <w:spacing w:after="120" w:line="240" w:lineRule="auto"/>
        <w:jc w:val="both"/>
        <w:rPr>
          <w:rFonts w:cs="Arial"/>
        </w:rPr>
      </w:pPr>
      <w:r w:rsidRPr="00E5073E">
        <w:rPr>
          <w:rFonts w:cs="Arial"/>
        </w:rPr>
        <w:t xml:space="preserve">Our procurement approach will include information about our expectations relating to the Equality Duty of our providers under contract to us, including our requirements upon them to enable us to meet the duty. </w:t>
      </w:r>
    </w:p>
    <w:p w:rsidR="003A3A2C" w:rsidRPr="00E5073E" w:rsidRDefault="003A3A2C" w:rsidP="0059658C">
      <w:pPr>
        <w:spacing w:after="120" w:line="240" w:lineRule="auto"/>
        <w:jc w:val="both"/>
        <w:rPr>
          <w:rFonts w:cs="Arial"/>
          <w:lang w:val="en" w:eastAsia="en-GB"/>
        </w:rPr>
      </w:pPr>
      <w:r w:rsidRPr="00E5073E">
        <w:rPr>
          <w:rFonts w:cs="Arial"/>
        </w:rPr>
        <w:t xml:space="preserve">We will use questions in the tender process to understand and ensure prospective demonstrate a real commitment to </w:t>
      </w:r>
      <w:r w:rsidRPr="00E5073E">
        <w:rPr>
          <w:rFonts w:cs="Arial"/>
          <w:lang w:val="en" w:eastAsia="en-GB"/>
        </w:rPr>
        <w:t>eliminate discrimination, advance equality of opportunity and foster good relations between people who share a relevant protected characteristic and those who do not share it.</w:t>
      </w:r>
    </w:p>
    <w:p w:rsidR="003A3A2C" w:rsidRPr="00F14501" w:rsidRDefault="003A3A2C" w:rsidP="0059658C">
      <w:pPr>
        <w:spacing w:after="120" w:line="240" w:lineRule="auto"/>
        <w:jc w:val="both"/>
        <w:rPr>
          <w:rFonts w:cs="Arial"/>
        </w:rPr>
      </w:pPr>
      <w:r w:rsidRPr="001C0D75">
        <w:rPr>
          <w:rFonts w:cs="Arial"/>
          <w:color w:val="000000"/>
        </w:rPr>
        <w:t>We will include experts by experience in choosing these questions and in evaluating responses to them. This is embedded within our contracting and part of the legal obligation.</w:t>
      </w:r>
    </w:p>
    <w:p w:rsidR="003A3A2C" w:rsidRPr="00F3140D" w:rsidRDefault="003A3A2C" w:rsidP="0059658C">
      <w:pPr>
        <w:spacing w:after="120" w:line="240" w:lineRule="auto"/>
        <w:jc w:val="both"/>
        <w:rPr>
          <w:rFonts w:cs="Arial"/>
        </w:rPr>
      </w:pPr>
      <w:r w:rsidRPr="00F14501">
        <w:rPr>
          <w:rFonts w:cs="Arial"/>
          <w:b/>
          <w:bCs/>
          <w:iCs/>
          <w:color w:val="000000"/>
        </w:rPr>
        <w:t>Sequencing and quality of equality considerations</w:t>
      </w:r>
    </w:p>
    <w:p w:rsidR="003A3A2C" w:rsidRPr="00D76115" w:rsidRDefault="003A3A2C" w:rsidP="0059658C">
      <w:pPr>
        <w:spacing w:after="120" w:line="240" w:lineRule="auto"/>
        <w:jc w:val="both"/>
        <w:rPr>
          <w:rFonts w:cs="Arial"/>
        </w:rPr>
      </w:pPr>
      <w:r w:rsidRPr="00FD0156">
        <w:rPr>
          <w:rFonts w:cs="Arial"/>
          <w:color w:val="000000"/>
        </w:rPr>
        <w:t>We are mindful of the importance of undertaking exploration and engagement work in a meaningful and high quality manner and in advance of decision making. This is evident in our project plan and is a standard practice in our project management and procurem</w:t>
      </w:r>
      <w:r w:rsidRPr="00E41224">
        <w:rPr>
          <w:rFonts w:cs="Arial"/>
          <w:color w:val="000000"/>
        </w:rPr>
        <w:t xml:space="preserve">ent processes. </w:t>
      </w:r>
    </w:p>
    <w:p w:rsidR="00F3140D" w:rsidRPr="00FD0156" w:rsidRDefault="003A3A2C" w:rsidP="0059658C">
      <w:pPr>
        <w:spacing w:after="120" w:line="240" w:lineRule="auto"/>
        <w:jc w:val="both"/>
        <w:rPr>
          <w:rFonts w:cs="Arial"/>
        </w:rPr>
      </w:pPr>
      <w:r w:rsidRPr="00F14501">
        <w:rPr>
          <w:rFonts w:cs="Arial"/>
          <w:color w:val="000000"/>
        </w:rPr>
        <w:t>We will be clear about why we are engaging with experts by experience and will communicate what we have done as a result – whether this is a change or confirmation of an existing plan. The key outcomes we are seeking in our engagement with experts by experience are:</w:t>
      </w:r>
    </w:p>
    <w:p w:rsidR="003A3A2C" w:rsidRPr="00F14501" w:rsidRDefault="003A3A2C" w:rsidP="0059658C">
      <w:pPr>
        <w:pStyle w:val="ListParagraph"/>
        <w:numPr>
          <w:ilvl w:val="1"/>
          <w:numId w:val="80"/>
        </w:numPr>
        <w:spacing w:after="120" w:line="240" w:lineRule="auto"/>
        <w:ind w:left="709" w:hanging="436"/>
        <w:jc w:val="both"/>
      </w:pPr>
      <w:r w:rsidRPr="003A3A2C">
        <w:rPr>
          <w:color w:val="000000"/>
        </w:rPr>
        <w:t xml:space="preserve">To ensure our programmes are </w:t>
      </w:r>
      <w:r w:rsidRPr="003A3A2C">
        <w:rPr>
          <w:b/>
          <w:bCs/>
          <w:color w:val="000000"/>
        </w:rPr>
        <w:t>accessible and attractive</w:t>
      </w:r>
      <w:r w:rsidRPr="003A3A2C">
        <w:rPr>
          <w:color w:val="000000"/>
        </w:rPr>
        <w:t xml:space="preserve"> to people who might benefit from them;</w:t>
      </w:r>
    </w:p>
    <w:p w:rsidR="003A3A2C" w:rsidRPr="003A3A2C" w:rsidRDefault="003A3A2C" w:rsidP="0059658C">
      <w:pPr>
        <w:pStyle w:val="ListParagraph"/>
        <w:numPr>
          <w:ilvl w:val="1"/>
          <w:numId w:val="80"/>
        </w:numPr>
        <w:spacing w:after="120" w:line="240" w:lineRule="auto"/>
        <w:ind w:left="709" w:hanging="436"/>
        <w:jc w:val="both"/>
      </w:pPr>
      <w:r w:rsidRPr="00F14501">
        <w:rPr>
          <w:color w:val="000000"/>
        </w:rPr>
        <w:t xml:space="preserve">To ensure our programmes </w:t>
      </w:r>
      <w:r w:rsidRPr="00F14501">
        <w:rPr>
          <w:b/>
          <w:bCs/>
          <w:color w:val="000000"/>
        </w:rPr>
        <w:t xml:space="preserve">meet the needs </w:t>
      </w:r>
      <w:r w:rsidRPr="00F14501">
        <w:rPr>
          <w:color w:val="000000"/>
        </w:rPr>
        <w:t xml:space="preserve">of people who might benefit from them and are </w:t>
      </w:r>
      <w:r w:rsidRPr="00F14501">
        <w:rPr>
          <w:b/>
          <w:bCs/>
          <w:color w:val="000000"/>
        </w:rPr>
        <w:t>perceived</w:t>
      </w:r>
      <w:r w:rsidRPr="00F14501">
        <w:rPr>
          <w:color w:val="000000"/>
        </w:rPr>
        <w:t xml:space="preserve"> to meet their needs;</w:t>
      </w:r>
    </w:p>
    <w:p w:rsidR="003A3A2C" w:rsidRPr="00F14501" w:rsidRDefault="003A3A2C" w:rsidP="0059658C">
      <w:pPr>
        <w:pStyle w:val="ListParagraph"/>
        <w:numPr>
          <w:ilvl w:val="1"/>
          <w:numId w:val="80"/>
        </w:numPr>
        <w:spacing w:after="120" w:line="240" w:lineRule="auto"/>
        <w:ind w:left="709" w:hanging="436"/>
        <w:jc w:val="both"/>
        <w:rPr>
          <w:color w:val="1F497D"/>
        </w:rPr>
      </w:pPr>
      <w:r w:rsidRPr="003A3A2C">
        <w:rPr>
          <w:color w:val="000000"/>
        </w:rPr>
        <w:t xml:space="preserve">To ensure our communication is </w:t>
      </w:r>
      <w:r w:rsidRPr="003A3A2C">
        <w:rPr>
          <w:b/>
          <w:bCs/>
          <w:color w:val="000000"/>
        </w:rPr>
        <w:t>understandable</w:t>
      </w:r>
      <w:r w:rsidRPr="003A3A2C">
        <w:rPr>
          <w:color w:val="000000"/>
        </w:rPr>
        <w:t xml:space="preserve"> and communicates the fact that programmes are accessible and attractive, supporting </w:t>
      </w:r>
      <w:r w:rsidRPr="003A3A2C">
        <w:rPr>
          <w:b/>
          <w:bCs/>
          <w:color w:val="000000"/>
        </w:rPr>
        <w:t>ongoing service improvement</w:t>
      </w:r>
      <w:r w:rsidRPr="003A3A2C">
        <w:rPr>
          <w:color w:val="000000"/>
        </w:rPr>
        <w:t xml:space="preserve">. </w:t>
      </w:r>
    </w:p>
    <w:p w:rsidR="003A3A2C" w:rsidRPr="00E5073E" w:rsidRDefault="003A3A2C" w:rsidP="0059658C">
      <w:pPr>
        <w:pStyle w:val="ListParagraph"/>
        <w:numPr>
          <w:ilvl w:val="1"/>
          <w:numId w:val="80"/>
        </w:numPr>
        <w:spacing w:after="120" w:line="240" w:lineRule="auto"/>
        <w:ind w:left="709" w:hanging="436"/>
        <w:jc w:val="both"/>
      </w:pPr>
      <w:r w:rsidRPr="00E5073E">
        <w:lastRenderedPageBreak/>
        <w:t>To ensure that we meet the PSED</w:t>
      </w:r>
    </w:p>
    <w:p w:rsidR="003A3A2C" w:rsidRPr="00FD0156" w:rsidRDefault="003A3A2C" w:rsidP="0059658C">
      <w:pPr>
        <w:spacing w:after="120" w:line="240" w:lineRule="auto"/>
        <w:jc w:val="both"/>
        <w:rPr>
          <w:rFonts w:cs="Arial"/>
        </w:rPr>
      </w:pPr>
      <w:r w:rsidRPr="00F3140D">
        <w:rPr>
          <w:rFonts w:cs="Arial"/>
          <w:color w:val="000000"/>
        </w:rPr>
        <w:t xml:space="preserve">We have proactively engaged experts by experience in co-designing the interventions and trial plans so far.  We have considered sequencing and built in time for appropriate engagement and involvement throughout, including: </w:t>
      </w:r>
    </w:p>
    <w:p w:rsidR="003A3A2C" w:rsidRPr="00F14501" w:rsidRDefault="003A3A2C" w:rsidP="0059658C">
      <w:pPr>
        <w:pStyle w:val="ListParagraph"/>
        <w:numPr>
          <w:ilvl w:val="1"/>
          <w:numId w:val="81"/>
        </w:numPr>
        <w:spacing w:after="120" w:line="240" w:lineRule="auto"/>
        <w:ind w:hanging="436"/>
        <w:jc w:val="both"/>
      </w:pPr>
      <w:r w:rsidRPr="003A3A2C">
        <w:rPr>
          <w:color w:val="000000"/>
        </w:rPr>
        <w:t>Development of communications materials and information;</w:t>
      </w:r>
    </w:p>
    <w:p w:rsidR="003A3A2C" w:rsidRPr="003A3A2C" w:rsidRDefault="003A3A2C" w:rsidP="0059658C">
      <w:pPr>
        <w:pStyle w:val="ListParagraph"/>
        <w:numPr>
          <w:ilvl w:val="1"/>
          <w:numId w:val="81"/>
        </w:numPr>
        <w:spacing w:after="120" w:line="240" w:lineRule="auto"/>
        <w:ind w:hanging="436"/>
        <w:jc w:val="both"/>
      </w:pPr>
      <w:r w:rsidRPr="00F14501">
        <w:rPr>
          <w:color w:val="000000"/>
        </w:rPr>
        <w:t xml:space="preserve">Governance including especially consent and IG strands; </w:t>
      </w:r>
    </w:p>
    <w:p w:rsidR="003A3A2C" w:rsidRPr="00F14501" w:rsidRDefault="003A3A2C" w:rsidP="0059658C">
      <w:pPr>
        <w:pStyle w:val="ListParagraph"/>
        <w:numPr>
          <w:ilvl w:val="1"/>
          <w:numId w:val="81"/>
        </w:numPr>
        <w:spacing w:after="120" w:line="240" w:lineRule="auto"/>
        <w:ind w:hanging="436"/>
        <w:jc w:val="both"/>
      </w:pPr>
      <w:r w:rsidRPr="003A3A2C">
        <w:rPr>
          <w:color w:val="000000"/>
        </w:rPr>
        <w:t xml:space="preserve">Procurement; </w:t>
      </w:r>
    </w:p>
    <w:p w:rsidR="003A3A2C" w:rsidRPr="003A3A2C" w:rsidRDefault="003A3A2C" w:rsidP="0059658C">
      <w:pPr>
        <w:pStyle w:val="ListParagraph"/>
        <w:numPr>
          <w:ilvl w:val="1"/>
          <w:numId w:val="81"/>
        </w:numPr>
        <w:spacing w:after="120" w:line="240" w:lineRule="auto"/>
        <w:ind w:hanging="436"/>
        <w:jc w:val="both"/>
      </w:pPr>
      <w:r w:rsidRPr="00F14501">
        <w:rPr>
          <w:color w:val="000000"/>
        </w:rPr>
        <w:t xml:space="preserve">Continued engagement in further iterations of design. </w:t>
      </w:r>
    </w:p>
    <w:p w:rsidR="002C026E" w:rsidRPr="009419AD" w:rsidRDefault="002C026E" w:rsidP="0059658C">
      <w:pPr>
        <w:spacing w:after="120" w:line="240" w:lineRule="auto"/>
        <w:jc w:val="both"/>
        <w:rPr>
          <w:rFonts w:cs="Arial"/>
          <w:b/>
          <w:lang w:val="en-US"/>
        </w:rPr>
      </w:pPr>
      <w:r w:rsidRPr="009419AD">
        <w:rPr>
          <w:rFonts w:cs="Arial"/>
          <w:b/>
          <w:lang w:val="en-US"/>
        </w:rPr>
        <w:t>Employee Relations</w:t>
      </w:r>
    </w:p>
    <w:p w:rsidR="002C026E" w:rsidRPr="00D20B55" w:rsidRDefault="0060528D" w:rsidP="0059658C">
      <w:pPr>
        <w:widowControl w:val="0"/>
        <w:autoSpaceDE w:val="0"/>
        <w:autoSpaceDN w:val="0"/>
        <w:adjustRightInd w:val="0"/>
        <w:spacing w:after="120" w:line="240" w:lineRule="auto"/>
        <w:jc w:val="both"/>
        <w:rPr>
          <w:rFonts w:cs="Arial"/>
          <w:lang w:val="en-US"/>
        </w:rPr>
      </w:pPr>
      <w:r>
        <w:rPr>
          <w:rFonts w:cs="Arial"/>
          <w:lang w:val="en-US"/>
        </w:rPr>
        <w:t>Providers</w:t>
      </w:r>
      <w:r w:rsidR="002C026E" w:rsidRPr="00D20B55">
        <w:rPr>
          <w:rFonts w:cs="Arial"/>
          <w:lang w:val="en-US"/>
        </w:rPr>
        <w:t xml:space="preserve"> will have regard to good industrial relations practice on dispute resolution, including treating employees fairly and ensuring compliance with legislation </w:t>
      </w:r>
    </w:p>
    <w:p w:rsidR="002C026E" w:rsidRPr="00D20B55" w:rsidRDefault="0060528D" w:rsidP="0059658C">
      <w:pPr>
        <w:spacing w:after="120" w:line="240" w:lineRule="auto"/>
        <w:jc w:val="both"/>
        <w:rPr>
          <w:rFonts w:cs="Arial"/>
          <w:lang w:val="en-US"/>
        </w:rPr>
      </w:pPr>
      <w:r>
        <w:rPr>
          <w:rFonts w:cs="Arial"/>
          <w:lang w:val="en-US"/>
        </w:rPr>
        <w:t>Providers</w:t>
      </w:r>
      <w:r w:rsidR="002C026E" w:rsidRPr="00D20B55">
        <w:rPr>
          <w:rFonts w:cs="Arial"/>
          <w:lang w:val="en-US"/>
        </w:rPr>
        <w:t xml:space="preserve"> will ensure that where there is a dispute, employees are aware of and have access to clear processes for dispute resolution</w:t>
      </w:r>
    </w:p>
    <w:p w:rsidR="00A305EA" w:rsidRPr="009419AD" w:rsidRDefault="002C026E" w:rsidP="0059658C">
      <w:pPr>
        <w:spacing w:after="120" w:line="240" w:lineRule="auto"/>
        <w:jc w:val="both"/>
        <w:rPr>
          <w:rFonts w:cs="Arial"/>
          <w:b/>
          <w:lang w:val="en-US"/>
        </w:rPr>
      </w:pPr>
      <w:r w:rsidRPr="009419AD">
        <w:rPr>
          <w:rFonts w:cs="Arial"/>
          <w:b/>
          <w:lang w:val="en-US"/>
        </w:rPr>
        <w:t>Flexible Working</w:t>
      </w:r>
    </w:p>
    <w:p w:rsidR="00A305EA" w:rsidRPr="00D20B55" w:rsidRDefault="0060528D" w:rsidP="0059658C">
      <w:pPr>
        <w:spacing w:after="120" w:line="240" w:lineRule="auto"/>
        <w:jc w:val="both"/>
        <w:rPr>
          <w:rFonts w:cs="Arial"/>
          <w:lang w:val="en-US"/>
        </w:rPr>
      </w:pPr>
      <w:r>
        <w:rPr>
          <w:rFonts w:cs="Arial"/>
          <w:lang w:val="en-US"/>
        </w:rPr>
        <w:t>Providers</w:t>
      </w:r>
      <w:r w:rsidR="00A305EA" w:rsidRPr="00D20B55">
        <w:rPr>
          <w:rFonts w:cs="Arial"/>
          <w:lang w:val="en-US"/>
        </w:rPr>
        <w:t xml:space="preserve"> will have a clear process for considering requests for flexible working</w:t>
      </w:r>
      <w:r w:rsidR="00E21EBF" w:rsidRPr="00D20B55">
        <w:rPr>
          <w:rFonts w:cs="Arial"/>
          <w:lang w:val="en-US"/>
        </w:rPr>
        <w:t>.</w:t>
      </w:r>
    </w:p>
    <w:p w:rsidR="00A305EA" w:rsidRPr="00D20B55" w:rsidRDefault="00A305EA" w:rsidP="0059658C">
      <w:pPr>
        <w:spacing w:after="120" w:line="240" w:lineRule="auto"/>
        <w:jc w:val="both"/>
        <w:rPr>
          <w:rFonts w:cs="Arial"/>
          <w:lang w:val="en-US"/>
        </w:rPr>
      </w:pPr>
      <w:r w:rsidRPr="00D20B55">
        <w:rPr>
          <w:rFonts w:cs="Arial"/>
          <w:lang w:val="en-US"/>
        </w:rPr>
        <w:t>Staff will be made aware of this process</w:t>
      </w:r>
      <w:r w:rsidR="00E21EBF" w:rsidRPr="00D20B55">
        <w:rPr>
          <w:rFonts w:cs="Arial"/>
          <w:lang w:val="en-US"/>
        </w:rPr>
        <w:t>.</w:t>
      </w:r>
    </w:p>
    <w:p w:rsidR="002C026E" w:rsidRPr="00D20B55" w:rsidRDefault="0060528D" w:rsidP="0059658C">
      <w:pPr>
        <w:spacing w:after="120" w:line="240" w:lineRule="auto"/>
        <w:jc w:val="both"/>
        <w:rPr>
          <w:rFonts w:cs="Arial"/>
          <w:lang w:val="en-US"/>
        </w:rPr>
      </w:pPr>
      <w:r>
        <w:rPr>
          <w:rFonts w:cs="Arial"/>
          <w:lang w:val="en-US"/>
        </w:rPr>
        <w:t>Providers</w:t>
      </w:r>
      <w:r w:rsidR="00A305EA" w:rsidRPr="00D20B55">
        <w:rPr>
          <w:rFonts w:cs="Arial"/>
          <w:lang w:val="en-US"/>
        </w:rPr>
        <w:t xml:space="preserve"> will respond to requests for flexible working in a fair and timely manner</w:t>
      </w:r>
    </w:p>
    <w:p w:rsidR="002C026E" w:rsidRPr="00D20B55" w:rsidRDefault="0060528D" w:rsidP="0059658C">
      <w:pPr>
        <w:widowControl w:val="0"/>
        <w:autoSpaceDE w:val="0"/>
        <w:autoSpaceDN w:val="0"/>
        <w:adjustRightInd w:val="0"/>
        <w:spacing w:after="120" w:line="240" w:lineRule="auto"/>
        <w:jc w:val="both"/>
        <w:rPr>
          <w:rFonts w:cs="Arial"/>
          <w:lang w:val="en-US"/>
        </w:rPr>
      </w:pPr>
      <w:r>
        <w:rPr>
          <w:rFonts w:cs="Arial"/>
          <w:lang w:val="en-US"/>
        </w:rPr>
        <w:t>Providers</w:t>
      </w:r>
      <w:r w:rsidR="002C026E" w:rsidRPr="00D20B55">
        <w:rPr>
          <w:rFonts w:cs="Arial"/>
          <w:lang w:val="en-US"/>
        </w:rPr>
        <w:t xml:space="preserve"> will ensure that contracts that don’t guarantee or specify hours are only used where it is not reasonably practicable to offer contracts with fixed hours; </w:t>
      </w:r>
    </w:p>
    <w:p w:rsidR="002C026E" w:rsidRPr="00D20B55" w:rsidRDefault="0060528D" w:rsidP="0059658C">
      <w:pPr>
        <w:widowControl w:val="0"/>
        <w:autoSpaceDE w:val="0"/>
        <w:autoSpaceDN w:val="0"/>
        <w:adjustRightInd w:val="0"/>
        <w:spacing w:after="120" w:line="240" w:lineRule="auto"/>
        <w:jc w:val="both"/>
        <w:rPr>
          <w:rFonts w:cs="Arial"/>
          <w:lang w:val="en-US"/>
        </w:rPr>
      </w:pPr>
      <w:r>
        <w:rPr>
          <w:rFonts w:cs="Arial"/>
          <w:lang w:val="en-US"/>
        </w:rPr>
        <w:t>Providers</w:t>
      </w:r>
      <w:r w:rsidR="002C026E" w:rsidRPr="00D20B55">
        <w:rPr>
          <w:rFonts w:cs="Arial"/>
          <w:lang w:val="en-US"/>
        </w:rPr>
        <w:t xml:space="preserve"> will ensure that where these contracts are in place, staff are not prevented from carrying out work with other organisations. </w:t>
      </w:r>
    </w:p>
    <w:p w:rsidR="00974CC3" w:rsidRPr="009419AD" w:rsidRDefault="00E21EBF" w:rsidP="0059658C">
      <w:pPr>
        <w:spacing w:after="120" w:line="240" w:lineRule="auto"/>
        <w:jc w:val="both"/>
        <w:rPr>
          <w:rFonts w:cs="Arial"/>
          <w:b/>
          <w:lang w:val="en-US"/>
        </w:rPr>
      </w:pPr>
      <w:r w:rsidRPr="009419AD">
        <w:rPr>
          <w:rFonts w:cs="Arial"/>
          <w:b/>
          <w:lang w:val="en-US"/>
        </w:rPr>
        <w:t>Sustainability</w:t>
      </w:r>
      <w:r w:rsidR="00974CC3" w:rsidRPr="009419AD">
        <w:rPr>
          <w:rFonts w:cs="Arial"/>
          <w:b/>
          <w:lang w:val="en-US"/>
        </w:rPr>
        <w:t xml:space="preserve"> </w:t>
      </w:r>
      <w:r w:rsidR="00211FC6" w:rsidRPr="009419AD">
        <w:rPr>
          <w:rFonts w:cs="Arial"/>
          <w:b/>
          <w:lang w:val="en-US"/>
        </w:rPr>
        <w:t>Commitment</w:t>
      </w:r>
    </w:p>
    <w:p w:rsidR="00974CC3" w:rsidRPr="00D20B55" w:rsidRDefault="00974CC3" w:rsidP="0059658C">
      <w:pPr>
        <w:spacing w:after="120" w:line="240" w:lineRule="auto"/>
        <w:jc w:val="both"/>
        <w:rPr>
          <w:rFonts w:eastAsia="Times New Roman" w:cs="Arial"/>
          <w:lang w:val="en-US"/>
        </w:rPr>
      </w:pPr>
      <w:r w:rsidRPr="00D20B55">
        <w:rPr>
          <w:rFonts w:eastAsia="Times New Roman" w:cs="Arial"/>
          <w:shd w:val="clear" w:color="auto" w:fill="FFFFFF"/>
          <w:lang w:val="en-US"/>
        </w:rPr>
        <w:t xml:space="preserve">The </w:t>
      </w:r>
      <w:r w:rsidR="00CE2B59">
        <w:rPr>
          <w:rFonts w:eastAsia="Times New Roman" w:cs="Arial"/>
          <w:shd w:val="clear" w:color="auto" w:fill="FFFFFF"/>
          <w:lang w:val="en-US"/>
        </w:rPr>
        <w:t>Sheffield City Region</w:t>
      </w:r>
      <w:r w:rsidRPr="00D20B55">
        <w:rPr>
          <w:rFonts w:eastAsia="Times New Roman" w:cs="Arial"/>
          <w:shd w:val="clear" w:color="auto" w:fill="FFFFFF"/>
          <w:lang w:val="en-US"/>
        </w:rPr>
        <w:t xml:space="preserve"> Combined </w:t>
      </w:r>
      <w:r w:rsidR="00211FC6" w:rsidRPr="00D20B55">
        <w:rPr>
          <w:rFonts w:eastAsia="Times New Roman" w:cs="Arial"/>
          <w:shd w:val="clear" w:color="auto" w:fill="FFFFFF"/>
          <w:lang w:val="en-US"/>
        </w:rPr>
        <w:t>Authority</w:t>
      </w:r>
      <w:r w:rsidRPr="00D20B55">
        <w:rPr>
          <w:rFonts w:eastAsia="Times New Roman" w:cs="Arial"/>
          <w:shd w:val="clear" w:color="auto" w:fill="FFFFFF"/>
          <w:lang w:val="en-US"/>
        </w:rPr>
        <w:t xml:space="preserve"> environmental strategy has </w:t>
      </w:r>
      <w:r w:rsidR="00211FC6" w:rsidRPr="00D20B55">
        <w:rPr>
          <w:rFonts w:eastAsia="Times New Roman" w:cs="Arial"/>
          <w:shd w:val="clear" w:color="auto" w:fill="FFFFFF"/>
          <w:lang w:val="en-US"/>
        </w:rPr>
        <w:t>embedded</w:t>
      </w:r>
      <w:r w:rsidRPr="00D20B55">
        <w:rPr>
          <w:rFonts w:eastAsia="Times New Roman" w:cs="Arial"/>
          <w:shd w:val="clear" w:color="auto" w:fill="FFFFFF"/>
          <w:lang w:val="en-US"/>
        </w:rPr>
        <w:t xml:space="preserve"> social, economic and environmental considerations into the procurement process</w:t>
      </w:r>
    </w:p>
    <w:p w:rsidR="00974CC3" w:rsidRPr="00D20B55" w:rsidRDefault="00974CC3" w:rsidP="0059658C">
      <w:pPr>
        <w:pStyle w:val="NormalWeb"/>
        <w:spacing w:before="0" w:beforeAutospacing="0" w:after="120" w:afterAutospacing="0"/>
        <w:jc w:val="both"/>
        <w:rPr>
          <w:rFonts w:ascii="Arial" w:hAnsi="Arial" w:cs="Arial"/>
          <w:sz w:val="22"/>
          <w:szCs w:val="22"/>
        </w:rPr>
      </w:pPr>
      <w:r w:rsidRPr="00D20B55">
        <w:rPr>
          <w:rFonts w:ascii="Arial" w:hAnsi="Arial" w:cs="Arial"/>
          <w:sz w:val="22"/>
          <w:szCs w:val="22"/>
        </w:rPr>
        <w:t xml:space="preserve">The world is facing many environmental challenges including climate change, resource depletion and pollution. As a </w:t>
      </w:r>
      <w:r w:rsidR="00211FC6" w:rsidRPr="00D20B55">
        <w:rPr>
          <w:rFonts w:ascii="Arial" w:hAnsi="Arial" w:cs="Arial"/>
          <w:sz w:val="22"/>
          <w:szCs w:val="22"/>
        </w:rPr>
        <w:t>consequence,</w:t>
      </w:r>
      <w:r w:rsidRPr="00D20B55">
        <w:rPr>
          <w:rFonts w:ascii="Arial" w:hAnsi="Arial" w:cs="Arial"/>
          <w:sz w:val="22"/>
          <w:szCs w:val="22"/>
        </w:rPr>
        <w:t xml:space="preserve"> the Government has set targets to move the UK to a low carbon future and to reduce greenhouse gas emissions. We believe that we have a shared responsibility to support these global challenges, national aspirations and to help to create a sustainable future in our role as the region’s Combined Authority.</w:t>
      </w:r>
    </w:p>
    <w:p w:rsidR="00974CC3" w:rsidRPr="00D20B55" w:rsidRDefault="00974CC3" w:rsidP="0059658C">
      <w:pPr>
        <w:pStyle w:val="NormalWeb"/>
        <w:spacing w:before="0" w:beforeAutospacing="0" w:after="120" w:afterAutospacing="0"/>
        <w:jc w:val="both"/>
        <w:rPr>
          <w:rFonts w:ascii="Arial" w:hAnsi="Arial" w:cs="Arial"/>
          <w:sz w:val="22"/>
          <w:szCs w:val="22"/>
        </w:rPr>
      </w:pPr>
      <w:r w:rsidRPr="00D20B55">
        <w:rPr>
          <w:rFonts w:ascii="Arial" w:hAnsi="Arial" w:cs="Arial"/>
          <w:sz w:val="22"/>
          <w:szCs w:val="22"/>
        </w:rPr>
        <w:t xml:space="preserve">Our environmental strategy is based on the concept of sustainable development and continual improvement. It sets out our objectives and approach to minimising the carbon impact of </w:t>
      </w:r>
      <w:r w:rsidR="000710A4">
        <w:rPr>
          <w:rFonts w:ascii="Arial" w:hAnsi="Arial" w:cs="Arial"/>
          <w:sz w:val="22"/>
          <w:szCs w:val="22"/>
        </w:rPr>
        <w:t xml:space="preserve">SCR </w:t>
      </w:r>
      <w:r w:rsidRPr="00D20B55">
        <w:rPr>
          <w:rFonts w:ascii="Arial" w:hAnsi="Arial" w:cs="Arial"/>
          <w:sz w:val="22"/>
          <w:szCs w:val="22"/>
        </w:rPr>
        <w:t>operations and our commitment to working with partners to facilitate sustainable public transport growth.</w:t>
      </w:r>
    </w:p>
    <w:p w:rsidR="000710A4" w:rsidRDefault="00211FC6" w:rsidP="0059658C">
      <w:pPr>
        <w:pStyle w:val="NormalWeb"/>
        <w:spacing w:before="0" w:beforeAutospacing="0" w:after="120" w:afterAutospacing="0"/>
        <w:jc w:val="both"/>
        <w:rPr>
          <w:rFonts w:ascii="Arial" w:hAnsi="Arial" w:cs="Arial"/>
          <w:sz w:val="22"/>
          <w:szCs w:val="22"/>
        </w:rPr>
      </w:pPr>
      <w:r w:rsidRPr="00D20B55">
        <w:rPr>
          <w:rFonts w:ascii="Arial" w:hAnsi="Arial" w:cs="Arial"/>
          <w:sz w:val="22"/>
          <w:szCs w:val="22"/>
        </w:rPr>
        <w:t xml:space="preserve">We are fully committed to action such </w:t>
      </w:r>
      <w:r w:rsidR="00974CC3" w:rsidRPr="00D20B55">
        <w:rPr>
          <w:rFonts w:ascii="Arial" w:hAnsi="Arial" w:cs="Arial"/>
          <w:sz w:val="22"/>
          <w:szCs w:val="22"/>
        </w:rPr>
        <w:t>sustainable travel by our staff, and supporting organisations across the region to implement Travel Plans.</w:t>
      </w:r>
    </w:p>
    <w:p w:rsidR="00FC7917" w:rsidRDefault="00FC7917" w:rsidP="0059658C">
      <w:pPr>
        <w:jc w:val="both"/>
        <w:rPr>
          <w:rFonts w:cs="Arial"/>
          <w:lang w:val="en-US"/>
        </w:rPr>
      </w:pPr>
      <w:r>
        <w:rPr>
          <w:rFonts w:cs="Arial"/>
        </w:rPr>
        <w:br w:type="page"/>
      </w:r>
    </w:p>
    <w:p w:rsidR="00B33492" w:rsidRPr="00F9470F" w:rsidRDefault="00B33492" w:rsidP="0059658C">
      <w:pPr>
        <w:pStyle w:val="NormalWeb"/>
        <w:spacing w:before="0" w:beforeAutospacing="0" w:after="120" w:afterAutospacing="0"/>
        <w:rPr>
          <w:rFonts w:ascii="Arial" w:hAnsi="Arial" w:cs="Arial"/>
          <w:sz w:val="22"/>
          <w:szCs w:val="22"/>
        </w:rPr>
      </w:pPr>
    </w:p>
    <w:p w:rsidR="007211EB" w:rsidRPr="000710A4" w:rsidRDefault="000B03A7" w:rsidP="0059658C">
      <w:pPr>
        <w:pStyle w:val="Heading1"/>
        <w:numPr>
          <w:ilvl w:val="0"/>
          <w:numId w:val="0"/>
        </w:numPr>
        <w:spacing w:before="0" w:after="120" w:line="240" w:lineRule="auto"/>
        <w:ind w:left="397" w:hanging="397"/>
      </w:pPr>
      <w:bookmarkStart w:id="102" w:name="_Toc491351946"/>
      <w:r w:rsidRPr="001A3543">
        <w:t xml:space="preserve">Appendix </w:t>
      </w:r>
      <w:r w:rsidR="00610A49" w:rsidRPr="001A3543">
        <w:t>5</w:t>
      </w:r>
      <w:r w:rsidR="007211EB" w:rsidRPr="001A3543">
        <w:t xml:space="preserve"> – </w:t>
      </w:r>
      <w:r w:rsidR="00B54E4E" w:rsidRPr="001A3543">
        <w:t>Key Performance Indicators</w:t>
      </w:r>
      <w:bookmarkEnd w:id="102"/>
      <w:r w:rsidR="004A260A">
        <w:t xml:space="preserve"> </w:t>
      </w:r>
    </w:p>
    <w:p w:rsidR="00EE43E5" w:rsidRDefault="007211EB" w:rsidP="0059658C">
      <w:pPr>
        <w:spacing w:after="120" w:line="240" w:lineRule="auto"/>
        <w:rPr>
          <w:rFonts w:cs="Arial"/>
        </w:rPr>
      </w:pPr>
      <w:r w:rsidRPr="00D20B55">
        <w:rPr>
          <w:rFonts w:cs="Arial"/>
        </w:rPr>
        <w:t>The service provider will be expected to track, gain evidence and report upon key performance indi</w:t>
      </w:r>
      <w:r w:rsidR="00AF62BE">
        <w:rPr>
          <w:rFonts w:cs="Arial"/>
        </w:rPr>
        <w:t xml:space="preserve">cators in the </w:t>
      </w:r>
      <w:r w:rsidR="00BD624C">
        <w:rPr>
          <w:rFonts w:cs="Arial"/>
        </w:rPr>
        <w:t xml:space="preserve">Monthly </w:t>
      </w:r>
      <w:r w:rsidR="00AF62BE">
        <w:rPr>
          <w:rFonts w:cs="Arial"/>
        </w:rPr>
        <w:t>Data Report</w:t>
      </w:r>
      <w:r w:rsidR="00964C57">
        <w:rPr>
          <w:rFonts w:cs="Arial"/>
        </w:rPr>
        <w:t xml:space="preserve"> to be submitted no later than the 7</w:t>
      </w:r>
      <w:r w:rsidR="00964C57" w:rsidRPr="00964C57">
        <w:rPr>
          <w:rFonts w:cs="Arial"/>
          <w:vertAlign w:val="superscript"/>
        </w:rPr>
        <w:t>th</w:t>
      </w:r>
      <w:r w:rsidR="00964C57">
        <w:rPr>
          <w:rFonts w:cs="Arial"/>
        </w:rPr>
        <w:t xml:space="preserve"> of each calendar month</w:t>
      </w:r>
      <w:r w:rsidR="00AF62BE">
        <w:rPr>
          <w:rFonts w:cs="Arial"/>
        </w:rPr>
        <w:t>.</w:t>
      </w:r>
      <w:r w:rsidR="00EE43E5">
        <w:rPr>
          <w:rFonts w:cs="Arial"/>
        </w:rPr>
        <w:t xml:space="preserve">  </w:t>
      </w:r>
    </w:p>
    <w:p w:rsidR="0092695A" w:rsidRDefault="00EE43E5" w:rsidP="0059658C">
      <w:pPr>
        <w:spacing w:after="120" w:line="240" w:lineRule="auto"/>
        <w:rPr>
          <w:rFonts w:cs="Arial"/>
        </w:rPr>
      </w:pPr>
      <w:r w:rsidRPr="0059658C">
        <w:rPr>
          <w:rFonts w:cs="Arial"/>
        </w:rPr>
        <w:t>Providers are invited to submit a profile against the Key Performance Indicators linked to your mobilisation plan to demonstrate how you will achieve the client numbers and outcomes required for this trial.  These will be monitored on a monthly basis and any underperformance against forecast of 15% will require a remedial action plan.</w:t>
      </w:r>
    </w:p>
    <w:p w:rsidR="00EE43E5" w:rsidRPr="00EE43E5" w:rsidRDefault="00EE43E5" w:rsidP="0059658C">
      <w:pPr>
        <w:spacing w:after="120" w:line="240" w:lineRule="auto"/>
        <w:rPr>
          <w:rFonts w:cs="Arial"/>
          <w:b/>
          <w:u w:val="single"/>
        </w:rPr>
      </w:pPr>
      <w:r w:rsidRPr="00EE43E5">
        <w:rPr>
          <w:rFonts w:cs="Arial"/>
          <w:b/>
          <w:u w:val="single"/>
        </w:rPr>
        <w:t>Key Performance Indicators</w:t>
      </w:r>
    </w:p>
    <w:tbl>
      <w:tblPr>
        <w:tblStyle w:val="TableGrid"/>
        <w:tblW w:w="10632" w:type="dxa"/>
        <w:tblInd w:w="-289" w:type="dxa"/>
        <w:tblCellMar>
          <w:top w:w="57" w:type="dxa"/>
          <w:bottom w:w="57" w:type="dxa"/>
        </w:tblCellMar>
        <w:tblLook w:val="04A0" w:firstRow="1" w:lastRow="0" w:firstColumn="1" w:lastColumn="0" w:noHBand="0" w:noVBand="1"/>
      </w:tblPr>
      <w:tblGrid>
        <w:gridCol w:w="4820"/>
        <w:gridCol w:w="5812"/>
      </w:tblGrid>
      <w:tr w:rsidR="0092695A" w:rsidRPr="00AF62BE" w:rsidTr="002D1BA6">
        <w:tc>
          <w:tcPr>
            <w:tcW w:w="4820" w:type="dxa"/>
            <w:shd w:val="clear" w:color="auto" w:fill="000000" w:themeFill="text1"/>
          </w:tcPr>
          <w:p w:rsidR="0092695A" w:rsidRPr="00AF62BE" w:rsidRDefault="0092695A" w:rsidP="0059658C">
            <w:pPr>
              <w:rPr>
                <w:rFonts w:cs="Arial"/>
                <w:b/>
              </w:rPr>
            </w:pPr>
            <w:r>
              <w:rPr>
                <w:rFonts w:cs="Arial"/>
                <w:b/>
              </w:rPr>
              <w:t>Key Performance Indicator</w:t>
            </w:r>
          </w:p>
        </w:tc>
        <w:tc>
          <w:tcPr>
            <w:tcW w:w="5812" w:type="dxa"/>
            <w:shd w:val="clear" w:color="auto" w:fill="000000" w:themeFill="text1"/>
          </w:tcPr>
          <w:p w:rsidR="0092695A" w:rsidRPr="00AF62BE" w:rsidRDefault="0092695A" w:rsidP="0059658C">
            <w:pPr>
              <w:rPr>
                <w:rFonts w:cs="Arial"/>
                <w:b/>
              </w:rPr>
            </w:pPr>
            <w:r w:rsidRPr="00AF62BE">
              <w:rPr>
                <w:rFonts w:cs="Arial"/>
                <w:b/>
              </w:rPr>
              <w:t>Supporting Evidence Required</w:t>
            </w:r>
          </w:p>
        </w:tc>
      </w:tr>
      <w:tr w:rsidR="0092695A" w:rsidRPr="00D20B55" w:rsidTr="002D1BA6">
        <w:trPr>
          <w:trHeight w:val="596"/>
        </w:trPr>
        <w:tc>
          <w:tcPr>
            <w:tcW w:w="4820" w:type="dxa"/>
          </w:tcPr>
          <w:p w:rsidR="0092695A" w:rsidRPr="00E442F8" w:rsidRDefault="0092695A" w:rsidP="0059658C">
            <w:pPr>
              <w:rPr>
                <w:rFonts w:cs="Arial"/>
                <w:b/>
                <w:sz w:val="20"/>
              </w:rPr>
            </w:pPr>
            <w:r w:rsidRPr="00E442F8">
              <w:rPr>
                <w:rFonts w:cs="Arial"/>
                <w:b/>
                <w:sz w:val="20"/>
              </w:rPr>
              <w:t>KPI 1: Number of people successfully engaged in the service</w:t>
            </w:r>
          </w:p>
          <w:p w:rsidR="0092695A" w:rsidRPr="00E442F8" w:rsidRDefault="0092695A" w:rsidP="0059658C">
            <w:pPr>
              <w:rPr>
                <w:rFonts w:cs="Arial"/>
                <w:sz w:val="20"/>
              </w:rPr>
            </w:pPr>
          </w:p>
          <w:p w:rsidR="0092695A" w:rsidRDefault="0092695A" w:rsidP="0059658C">
            <w:pPr>
              <w:rPr>
                <w:rFonts w:cs="Arial"/>
                <w:sz w:val="20"/>
              </w:rPr>
            </w:pPr>
            <w:r w:rsidRPr="00E442F8">
              <w:rPr>
                <w:rFonts w:cs="Arial"/>
                <w:sz w:val="20"/>
              </w:rPr>
              <w:t xml:space="preserve">Definition: </w:t>
            </w:r>
          </w:p>
          <w:p w:rsidR="0092695A" w:rsidRDefault="0092695A" w:rsidP="0059658C">
            <w:pPr>
              <w:rPr>
                <w:rFonts w:cs="Arial"/>
                <w:sz w:val="20"/>
              </w:rPr>
            </w:pPr>
            <w:r>
              <w:rPr>
                <w:rFonts w:cs="Arial"/>
                <w:sz w:val="20"/>
              </w:rPr>
              <w:t>Clients have a clear understanding of the service they can expect to receive and what to do should they not be satisfied</w:t>
            </w:r>
          </w:p>
          <w:p w:rsidR="0092695A" w:rsidRPr="00E442F8" w:rsidRDefault="0092695A" w:rsidP="0059658C">
            <w:pPr>
              <w:rPr>
                <w:rFonts w:cs="Arial"/>
                <w:sz w:val="20"/>
              </w:rPr>
            </w:pPr>
            <w:r>
              <w:rPr>
                <w:rFonts w:cs="Arial"/>
                <w:sz w:val="20"/>
              </w:rPr>
              <w:t>Clients have c</w:t>
            </w:r>
            <w:r w:rsidRPr="00E442F8">
              <w:rPr>
                <w:rFonts w:cs="Arial"/>
                <w:sz w:val="20"/>
              </w:rPr>
              <w:t>omplet</w:t>
            </w:r>
            <w:r>
              <w:rPr>
                <w:rFonts w:cs="Arial"/>
                <w:sz w:val="20"/>
              </w:rPr>
              <w:t>ed</w:t>
            </w:r>
            <w:r w:rsidRPr="00E442F8">
              <w:rPr>
                <w:rFonts w:cs="Arial"/>
                <w:sz w:val="20"/>
              </w:rPr>
              <w:t xml:space="preserve"> a vocational profile </w:t>
            </w:r>
            <w:r>
              <w:rPr>
                <w:rFonts w:cs="Arial"/>
                <w:sz w:val="20"/>
              </w:rPr>
              <w:t>and have a clear, measurable action plan articulating the actions needed to progr</w:t>
            </w:r>
            <w:r w:rsidR="002D1BA6">
              <w:rPr>
                <w:rFonts w:cs="Arial"/>
                <w:sz w:val="20"/>
              </w:rPr>
              <w:t>ess into competitive employment</w:t>
            </w:r>
          </w:p>
        </w:tc>
        <w:tc>
          <w:tcPr>
            <w:tcW w:w="5812" w:type="dxa"/>
          </w:tcPr>
          <w:p w:rsidR="0092695A" w:rsidRDefault="0092695A" w:rsidP="0059658C">
            <w:pPr>
              <w:pStyle w:val="ListParagraph"/>
              <w:numPr>
                <w:ilvl w:val="0"/>
                <w:numId w:val="6"/>
              </w:numPr>
              <w:ind w:left="231" w:hanging="231"/>
              <w:rPr>
                <w:sz w:val="20"/>
              </w:rPr>
            </w:pPr>
            <w:r>
              <w:rPr>
                <w:sz w:val="20"/>
              </w:rPr>
              <w:t>Customer service pledge articulating complaints process signed by the client and Employment Specialist</w:t>
            </w:r>
          </w:p>
          <w:p w:rsidR="0092695A" w:rsidRDefault="0092695A" w:rsidP="0059658C">
            <w:pPr>
              <w:pStyle w:val="ListParagraph"/>
              <w:numPr>
                <w:ilvl w:val="0"/>
                <w:numId w:val="6"/>
              </w:numPr>
              <w:ind w:left="231" w:hanging="231"/>
              <w:rPr>
                <w:sz w:val="20"/>
              </w:rPr>
            </w:pPr>
            <w:r>
              <w:rPr>
                <w:sz w:val="20"/>
              </w:rPr>
              <w:t>c</w:t>
            </w:r>
            <w:r w:rsidRPr="00E442F8">
              <w:rPr>
                <w:sz w:val="20"/>
              </w:rPr>
              <w:t>ompleted vocational profile</w:t>
            </w:r>
            <w:r>
              <w:rPr>
                <w:sz w:val="20"/>
              </w:rPr>
              <w:t xml:space="preserve"> signed by the client and Employment Specialist</w:t>
            </w:r>
          </w:p>
          <w:p w:rsidR="0092695A" w:rsidRPr="00E442F8" w:rsidRDefault="0092695A" w:rsidP="0059658C">
            <w:pPr>
              <w:pStyle w:val="ListParagraph"/>
              <w:numPr>
                <w:ilvl w:val="0"/>
                <w:numId w:val="6"/>
              </w:numPr>
              <w:ind w:left="231" w:hanging="231"/>
              <w:rPr>
                <w:sz w:val="20"/>
              </w:rPr>
            </w:pPr>
            <w:r>
              <w:rPr>
                <w:sz w:val="20"/>
              </w:rPr>
              <w:t>Employment Action Plan with smart targets signed by the client, the Employment Specialist and preferably Health Worker</w:t>
            </w:r>
          </w:p>
        </w:tc>
      </w:tr>
      <w:tr w:rsidR="0092695A" w:rsidRPr="00D20B55" w:rsidTr="002D1BA6">
        <w:tc>
          <w:tcPr>
            <w:tcW w:w="4820" w:type="dxa"/>
          </w:tcPr>
          <w:p w:rsidR="0092695A" w:rsidRPr="00E442F8" w:rsidRDefault="0092695A" w:rsidP="0059658C">
            <w:pPr>
              <w:widowControl w:val="0"/>
              <w:autoSpaceDE w:val="0"/>
              <w:autoSpaceDN w:val="0"/>
              <w:adjustRightInd w:val="0"/>
              <w:rPr>
                <w:rFonts w:cs="Arial"/>
                <w:b/>
                <w:sz w:val="20"/>
                <w:lang w:val="en-US"/>
              </w:rPr>
            </w:pPr>
            <w:r w:rsidRPr="00E442F8">
              <w:rPr>
                <w:rFonts w:cs="Arial"/>
                <w:b/>
                <w:sz w:val="20"/>
                <w:lang w:val="en-US"/>
              </w:rPr>
              <w:t xml:space="preserve">KPI 2: Number of people referred into the modified IPS service </w:t>
            </w:r>
          </w:p>
          <w:p w:rsidR="0092695A" w:rsidRPr="00E442F8" w:rsidRDefault="0092695A" w:rsidP="0059658C">
            <w:pPr>
              <w:widowControl w:val="0"/>
              <w:autoSpaceDE w:val="0"/>
              <w:autoSpaceDN w:val="0"/>
              <w:adjustRightInd w:val="0"/>
              <w:rPr>
                <w:rFonts w:cs="Arial"/>
                <w:b/>
                <w:sz w:val="20"/>
                <w:lang w:val="en-US"/>
              </w:rPr>
            </w:pPr>
          </w:p>
          <w:p w:rsidR="0092695A" w:rsidRPr="00E442F8" w:rsidRDefault="0092695A" w:rsidP="0059658C">
            <w:pPr>
              <w:rPr>
                <w:rFonts w:cs="Arial"/>
                <w:sz w:val="20"/>
              </w:rPr>
            </w:pPr>
            <w:r w:rsidRPr="00E442F8">
              <w:rPr>
                <w:rFonts w:cs="Arial"/>
                <w:sz w:val="20"/>
                <w:lang w:val="en-US"/>
              </w:rPr>
              <w:t>Definition: Achieved 1</w:t>
            </w:r>
            <w:r w:rsidRPr="00E442F8">
              <w:rPr>
                <w:rFonts w:cs="Arial"/>
                <w:sz w:val="20"/>
                <w:vertAlign w:val="superscript"/>
                <w:lang w:val="en-US"/>
              </w:rPr>
              <w:t>st</w:t>
            </w:r>
            <w:r w:rsidRPr="00E442F8">
              <w:rPr>
                <w:rFonts w:cs="Arial"/>
                <w:sz w:val="20"/>
                <w:lang w:val="en-US"/>
              </w:rPr>
              <w:t xml:space="preserve"> meeting with their </w:t>
            </w:r>
            <w:r>
              <w:rPr>
                <w:rFonts w:cs="Arial"/>
                <w:sz w:val="20"/>
                <w:lang w:val="en-US"/>
              </w:rPr>
              <w:t xml:space="preserve">IPS </w:t>
            </w:r>
            <w:r w:rsidRPr="00E442F8">
              <w:rPr>
                <w:rFonts w:cs="Arial"/>
                <w:sz w:val="20"/>
                <w:lang w:val="en-US"/>
              </w:rPr>
              <w:t>Employment Specialist post randomisation</w:t>
            </w:r>
          </w:p>
        </w:tc>
        <w:tc>
          <w:tcPr>
            <w:tcW w:w="5812" w:type="dxa"/>
          </w:tcPr>
          <w:p w:rsidR="0092695A" w:rsidRPr="00E442F8" w:rsidRDefault="0092695A" w:rsidP="0059658C">
            <w:pPr>
              <w:pStyle w:val="ListParagraph"/>
              <w:numPr>
                <w:ilvl w:val="0"/>
                <w:numId w:val="6"/>
              </w:numPr>
              <w:ind w:left="231" w:hanging="231"/>
              <w:rPr>
                <w:sz w:val="20"/>
              </w:rPr>
            </w:pPr>
            <w:r w:rsidRPr="00E442F8">
              <w:rPr>
                <w:sz w:val="20"/>
              </w:rPr>
              <w:t>evidence of the meeting (signed record of the meeting, timesheets)</w:t>
            </w:r>
          </w:p>
          <w:p w:rsidR="0092695A" w:rsidRPr="00E442F8" w:rsidRDefault="0092695A" w:rsidP="0059658C">
            <w:pPr>
              <w:ind w:left="231" w:hanging="231"/>
              <w:rPr>
                <w:rFonts w:cs="Arial"/>
                <w:sz w:val="20"/>
              </w:rPr>
            </w:pPr>
          </w:p>
          <w:p w:rsidR="0092695A" w:rsidRPr="00E442F8" w:rsidRDefault="0092695A" w:rsidP="0059658C">
            <w:pPr>
              <w:ind w:left="231" w:hanging="231"/>
              <w:rPr>
                <w:rFonts w:cs="Arial"/>
                <w:sz w:val="20"/>
              </w:rPr>
            </w:pPr>
          </w:p>
          <w:p w:rsidR="0092695A" w:rsidRPr="00E442F8" w:rsidRDefault="0092695A" w:rsidP="0059658C">
            <w:pPr>
              <w:ind w:left="231" w:hanging="231"/>
              <w:rPr>
                <w:rFonts w:cs="Arial"/>
                <w:sz w:val="20"/>
              </w:rPr>
            </w:pPr>
          </w:p>
        </w:tc>
      </w:tr>
      <w:tr w:rsidR="0092695A" w:rsidRPr="00D20B55" w:rsidTr="002D1BA6">
        <w:tc>
          <w:tcPr>
            <w:tcW w:w="4820" w:type="dxa"/>
          </w:tcPr>
          <w:p w:rsidR="0092695A" w:rsidRDefault="0092695A" w:rsidP="0059658C">
            <w:pPr>
              <w:widowControl w:val="0"/>
              <w:autoSpaceDE w:val="0"/>
              <w:autoSpaceDN w:val="0"/>
              <w:adjustRightInd w:val="0"/>
              <w:rPr>
                <w:rFonts w:cs="Arial"/>
                <w:b/>
                <w:sz w:val="20"/>
                <w:lang w:val="en-US"/>
              </w:rPr>
            </w:pPr>
            <w:r>
              <w:rPr>
                <w:rFonts w:cs="Arial"/>
                <w:b/>
                <w:sz w:val="20"/>
                <w:lang w:val="en-US"/>
              </w:rPr>
              <w:t>KPI 3: Number of people referred into the IPS service demonstrating positive progression towards employment at 3month progress review</w:t>
            </w:r>
          </w:p>
          <w:p w:rsidR="0092695A" w:rsidRDefault="0092695A" w:rsidP="0059658C">
            <w:pPr>
              <w:widowControl w:val="0"/>
              <w:autoSpaceDE w:val="0"/>
              <w:autoSpaceDN w:val="0"/>
              <w:adjustRightInd w:val="0"/>
              <w:rPr>
                <w:rFonts w:cs="Arial"/>
                <w:b/>
                <w:sz w:val="20"/>
                <w:lang w:val="en-US"/>
              </w:rPr>
            </w:pPr>
          </w:p>
          <w:p w:rsidR="0092695A" w:rsidRPr="00DC45EE" w:rsidRDefault="0092695A" w:rsidP="0059658C">
            <w:pPr>
              <w:widowControl w:val="0"/>
              <w:autoSpaceDE w:val="0"/>
              <w:autoSpaceDN w:val="0"/>
              <w:adjustRightInd w:val="0"/>
              <w:rPr>
                <w:rFonts w:cs="Arial"/>
                <w:sz w:val="20"/>
                <w:lang w:val="en-US"/>
              </w:rPr>
            </w:pPr>
            <w:r w:rsidRPr="00DC45EE">
              <w:rPr>
                <w:rFonts w:cs="Arial"/>
                <w:sz w:val="20"/>
                <w:lang w:val="en-US"/>
              </w:rPr>
              <w:t>Definition:  Positive progression against actions agreed in employment plan at 3 months from programme start</w:t>
            </w:r>
          </w:p>
        </w:tc>
        <w:tc>
          <w:tcPr>
            <w:tcW w:w="5812" w:type="dxa"/>
          </w:tcPr>
          <w:p w:rsidR="0092695A" w:rsidRDefault="0092695A" w:rsidP="0059658C">
            <w:pPr>
              <w:pStyle w:val="ListParagraph"/>
              <w:numPr>
                <w:ilvl w:val="0"/>
                <w:numId w:val="6"/>
              </w:numPr>
              <w:ind w:left="231" w:hanging="231"/>
              <w:rPr>
                <w:sz w:val="20"/>
              </w:rPr>
            </w:pPr>
            <w:r>
              <w:rPr>
                <w:sz w:val="20"/>
              </w:rPr>
              <w:t>evidence of positive progression (progress report) signed by the client, the Employment Specialist and Health Worker where possible at 3 months from programme start.</w:t>
            </w:r>
          </w:p>
          <w:p w:rsidR="0092695A" w:rsidRPr="00DC45EE" w:rsidRDefault="0092695A" w:rsidP="0059658C">
            <w:pPr>
              <w:rPr>
                <w:sz w:val="20"/>
              </w:rPr>
            </w:pPr>
          </w:p>
        </w:tc>
      </w:tr>
      <w:tr w:rsidR="0092695A" w:rsidRPr="00D20B55" w:rsidTr="002D1BA6">
        <w:tc>
          <w:tcPr>
            <w:tcW w:w="4820" w:type="dxa"/>
          </w:tcPr>
          <w:p w:rsidR="0092695A" w:rsidRDefault="0092695A" w:rsidP="0059658C">
            <w:pPr>
              <w:widowControl w:val="0"/>
              <w:autoSpaceDE w:val="0"/>
              <w:autoSpaceDN w:val="0"/>
              <w:adjustRightInd w:val="0"/>
              <w:rPr>
                <w:rFonts w:cs="Arial"/>
                <w:b/>
                <w:sz w:val="20"/>
                <w:lang w:val="en-US"/>
              </w:rPr>
            </w:pPr>
            <w:r>
              <w:rPr>
                <w:rFonts w:cs="Arial"/>
                <w:b/>
                <w:sz w:val="20"/>
                <w:lang w:val="en-US"/>
              </w:rPr>
              <w:t xml:space="preserve">KPI 4: Number of people referred into the IPS service demonstrating positive progression towards employment at </w:t>
            </w:r>
            <w:r w:rsidR="00166FAA">
              <w:rPr>
                <w:rFonts w:cs="Arial"/>
                <w:b/>
                <w:sz w:val="20"/>
                <w:lang w:val="en-US"/>
              </w:rPr>
              <w:t>6-month</w:t>
            </w:r>
            <w:r>
              <w:rPr>
                <w:rFonts w:cs="Arial"/>
                <w:b/>
                <w:sz w:val="20"/>
                <w:lang w:val="en-US"/>
              </w:rPr>
              <w:t xml:space="preserve"> progress review</w:t>
            </w:r>
          </w:p>
          <w:p w:rsidR="0092695A" w:rsidRDefault="0092695A" w:rsidP="0059658C">
            <w:pPr>
              <w:widowControl w:val="0"/>
              <w:autoSpaceDE w:val="0"/>
              <w:autoSpaceDN w:val="0"/>
              <w:adjustRightInd w:val="0"/>
              <w:rPr>
                <w:rFonts w:cs="Arial"/>
                <w:b/>
                <w:sz w:val="20"/>
                <w:lang w:val="en-US"/>
              </w:rPr>
            </w:pPr>
          </w:p>
          <w:p w:rsidR="0092695A" w:rsidRPr="00DC45EE" w:rsidRDefault="0092695A" w:rsidP="0059658C">
            <w:pPr>
              <w:widowControl w:val="0"/>
              <w:autoSpaceDE w:val="0"/>
              <w:autoSpaceDN w:val="0"/>
              <w:adjustRightInd w:val="0"/>
              <w:rPr>
                <w:rFonts w:cs="Arial"/>
                <w:sz w:val="20"/>
                <w:lang w:val="en-US"/>
              </w:rPr>
            </w:pPr>
            <w:r w:rsidRPr="00DC45EE">
              <w:rPr>
                <w:rFonts w:cs="Arial"/>
                <w:sz w:val="20"/>
                <w:lang w:val="en-US"/>
              </w:rPr>
              <w:t>Definition:  Positive progression against action</w:t>
            </w:r>
            <w:r>
              <w:rPr>
                <w:rFonts w:cs="Arial"/>
                <w:sz w:val="20"/>
                <w:lang w:val="en-US"/>
              </w:rPr>
              <w:t>s agreed in employment plan at 6</w:t>
            </w:r>
            <w:r w:rsidRPr="00DC45EE">
              <w:rPr>
                <w:rFonts w:cs="Arial"/>
                <w:sz w:val="20"/>
                <w:lang w:val="en-US"/>
              </w:rPr>
              <w:t xml:space="preserve"> months from programme start</w:t>
            </w:r>
          </w:p>
        </w:tc>
        <w:tc>
          <w:tcPr>
            <w:tcW w:w="5812" w:type="dxa"/>
          </w:tcPr>
          <w:p w:rsidR="0092695A" w:rsidRDefault="0092695A" w:rsidP="0059658C">
            <w:pPr>
              <w:pStyle w:val="ListParagraph"/>
              <w:numPr>
                <w:ilvl w:val="0"/>
                <w:numId w:val="6"/>
              </w:numPr>
              <w:ind w:left="231" w:hanging="231"/>
              <w:rPr>
                <w:sz w:val="20"/>
              </w:rPr>
            </w:pPr>
            <w:r>
              <w:rPr>
                <w:sz w:val="20"/>
              </w:rPr>
              <w:t>evidence of positive progression (progress report) signed by the client, the Employment Specialist and Health Worker where possible at 6 months from programme start.</w:t>
            </w:r>
          </w:p>
          <w:p w:rsidR="0092695A" w:rsidRPr="00DC45EE" w:rsidRDefault="0092695A" w:rsidP="0059658C">
            <w:pPr>
              <w:rPr>
                <w:sz w:val="20"/>
              </w:rPr>
            </w:pPr>
          </w:p>
        </w:tc>
      </w:tr>
      <w:tr w:rsidR="0092695A" w:rsidRPr="00D20B55" w:rsidTr="002D1BA6">
        <w:tc>
          <w:tcPr>
            <w:tcW w:w="4820" w:type="dxa"/>
          </w:tcPr>
          <w:p w:rsidR="006735FD" w:rsidRDefault="0092695A" w:rsidP="0059658C">
            <w:r>
              <w:rPr>
                <w:rFonts w:cs="Arial"/>
                <w:b/>
                <w:sz w:val="20"/>
              </w:rPr>
              <w:t>KPI 5</w:t>
            </w:r>
            <w:r w:rsidRPr="00E442F8">
              <w:rPr>
                <w:rFonts w:cs="Arial"/>
                <w:b/>
                <w:sz w:val="20"/>
              </w:rPr>
              <w:t>: Nu</w:t>
            </w:r>
            <w:r>
              <w:rPr>
                <w:rFonts w:cs="Arial"/>
                <w:b/>
                <w:sz w:val="20"/>
              </w:rPr>
              <w:t xml:space="preserve">mber of </w:t>
            </w:r>
            <w:r w:rsidRPr="00E442F8">
              <w:rPr>
                <w:rFonts w:cs="Arial"/>
                <w:b/>
                <w:sz w:val="20"/>
              </w:rPr>
              <w:t xml:space="preserve">people referred into the IPS service who achieve a job start </w:t>
            </w:r>
            <w:r w:rsidR="006735FD">
              <w:rPr>
                <w:rFonts w:cs="Arial"/>
                <w:b/>
                <w:sz w:val="20"/>
              </w:rPr>
              <w:t xml:space="preserve">- </w:t>
            </w:r>
          </w:p>
          <w:p w:rsidR="00397D74" w:rsidRPr="00E442F8" w:rsidRDefault="00397D74" w:rsidP="0059658C">
            <w:pPr>
              <w:rPr>
                <w:rFonts w:cs="Arial"/>
                <w:sz w:val="20"/>
              </w:rPr>
            </w:pPr>
          </w:p>
          <w:p w:rsidR="0092695A" w:rsidRPr="00E442F8" w:rsidRDefault="0092695A" w:rsidP="0059658C">
            <w:pPr>
              <w:rPr>
                <w:rFonts w:cs="Arial"/>
                <w:sz w:val="20"/>
              </w:rPr>
            </w:pPr>
            <w:r w:rsidRPr="00E442F8">
              <w:rPr>
                <w:rFonts w:cs="Arial"/>
                <w:sz w:val="20"/>
              </w:rPr>
              <w:t xml:space="preserve">Definition: </w:t>
            </w:r>
            <w:r w:rsidR="006735FD" w:rsidRPr="006735FD">
              <w:rPr>
                <w:sz w:val="20"/>
              </w:rPr>
              <w:t>counted after 7 hours of paid work achieved in a single week following programme start (i.e. ‘job start’ for individuals out of work at referral, ‘job return’ for those in-work and off-sick at referral, and ‘job retention’ for those in-work and struggling at referral);</w:t>
            </w:r>
          </w:p>
        </w:tc>
        <w:tc>
          <w:tcPr>
            <w:tcW w:w="5812" w:type="dxa"/>
          </w:tcPr>
          <w:p w:rsidR="0092695A" w:rsidRPr="00E442F8" w:rsidRDefault="0092695A" w:rsidP="0059658C">
            <w:pPr>
              <w:pStyle w:val="ListParagraph"/>
              <w:numPr>
                <w:ilvl w:val="0"/>
                <w:numId w:val="6"/>
              </w:numPr>
              <w:ind w:left="231" w:hanging="231"/>
              <w:rPr>
                <w:sz w:val="20"/>
              </w:rPr>
            </w:pPr>
            <w:r w:rsidRPr="00E442F8">
              <w:rPr>
                <w:sz w:val="20"/>
              </w:rPr>
              <w:t>evidence of job entry, typically employer-generated letter, 1st payslip</w:t>
            </w:r>
          </w:p>
          <w:p w:rsidR="0092695A" w:rsidRPr="00E442F8" w:rsidRDefault="0092695A" w:rsidP="0059658C">
            <w:pPr>
              <w:pStyle w:val="ListParagraph"/>
              <w:numPr>
                <w:ilvl w:val="0"/>
                <w:numId w:val="6"/>
              </w:numPr>
              <w:ind w:left="231" w:hanging="231"/>
              <w:rPr>
                <w:sz w:val="20"/>
              </w:rPr>
            </w:pPr>
            <w:r w:rsidRPr="00E442F8">
              <w:rPr>
                <w:sz w:val="20"/>
              </w:rPr>
              <w:t>as a backup, evidence will typically include a signed declaration from the client after 1 day at work</w:t>
            </w:r>
            <w:r>
              <w:rPr>
                <w:sz w:val="20"/>
              </w:rPr>
              <w:t xml:space="preserve"> with wet signature</w:t>
            </w:r>
          </w:p>
          <w:p w:rsidR="0092695A" w:rsidRPr="00E442F8" w:rsidRDefault="0092695A" w:rsidP="0059658C">
            <w:pPr>
              <w:pStyle w:val="ListParagraph"/>
              <w:numPr>
                <w:ilvl w:val="0"/>
                <w:numId w:val="6"/>
              </w:numPr>
              <w:ind w:left="231" w:hanging="231"/>
              <w:rPr>
                <w:sz w:val="20"/>
              </w:rPr>
            </w:pPr>
            <w:r w:rsidRPr="00E442F8">
              <w:rPr>
                <w:sz w:val="20"/>
              </w:rPr>
              <w:t>If working with someone in paid employment or off sick/struggling evidence of their employment typically 3 payslips.</w:t>
            </w:r>
          </w:p>
          <w:p w:rsidR="0092695A" w:rsidRPr="00E442F8" w:rsidRDefault="0092695A" w:rsidP="0059658C">
            <w:pPr>
              <w:ind w:left="231" w:hanging="231"/>
              <w:rPr>
                <w:rFonts w:cs="Arial"/>
                <w:sz w:val="20"/>
              </w:rPr>
            </w:pPr>
          </w:p>
        </w:tc>
      </w:tr>
    </w:tbl>
    <w:p w:rsidR="00EE43E5" w:rsidRDefault="00EE43E5" w:rsidP="0059658C">
      <w:r>
        <w:br w:type="page"/>
      </w:r>
    </w:p>
    <w:tbl>
      <w:tblPr>
        <w:tblStyle w:val="TableGrid"/>
        <w:tblW w:w="10632" w:type="dxa"/>
        <w:tblInd w:w="-289" w:type="dxa"/>
        <w:tblCellMar>
          <w:top w:w="57" w:type="dxa"/>
          <w:bottom w:w="57" w:type="dxa"/>
        </w:tblCellMar>
        <w:tblLook w:val="04A0" w:firstRow="1" w:lastRow="0" w:firstColumn="1" w:lastColumn="0" w:noHBand="0" w:noVBand="1"/>
      </w:tblPr>
      <w:tblGrid>
        <w:gridCol w:w="4820"/>
        <w:gridCol w:w="5812"/>
      </w:tblGrid>
      <w:tr w:rsidR="0092695A" w:rsidRPr="00D20B55" w:rsidTr="002D1BA6">
        <w:tc>
          <w:tcPr>
            <w:tcW w:w="4820" w:type="dxa"/>
          </w:tcPr>
          <w:p w:rsidR="0092695A" w:rsidRPr="00E442F8" w:rsidRDefault="0092695A" w:rsidP="0059658C">
            <w:pPr>
              <w:rPr>
                <w:rFonts w:cs="Arial"/>
                <w:b/>
                <w:sz w:val="20"/>
              </w:rPr>
            </w:pPr>
            <w:r>
              <w:rPr>
                <w:rFonts w:cs="Arial"/>
                <w:b/>
                <w:sz w:val="20"/>
              </w:rPr>
              <w:lastRenderedPageBreak/>
              <w:t>KPI 6</w:t>
            </w:r>
            <w:r w:rsidRPr="00E442F8">
              <w:rPr>
                <w:rFonts w:cs="Arial"/>
                <w:b/>
                <w:sz w:val="20"/>
              </w:rPr>
              <w:t>: Number of people referred into the IPS service who achieve</w:t>
            </w:r>
            <w:r>
              <w:rPr>
                <w:rFonts w:cs="Arial"/>
                <w:b/>
                <w:sz w:val="20"/>
              </w:rPr>
              <w:t xml:space="preserve"> </w:t>
            </w:r>
            <w:r w:rsidR="00397D74">
              <w:rPr>
                <w:rFonts w:cs="Arial"/>
                <w:b/>
                <w:sz w:val="20"/>
              </w:rPr>
              <w:t xml:space="preserve">above 7 hours paid work in a single week for over 12 weeks in a </w:t>
            </w:r>
            <w:r w:rsidR="002D1BA6">
              <w:rPr>
                <w:rFonts w:cs="Arial"/>
                <w:b/>
                <w:sz w:val="20"/>
              </w:rPr>
              <w:t>16-week</w:t>
            </w:r>
            <w:r w:rsidR="00397D74">
              <w:rPr>
                <w:rFonts w:cs="Arial"/>
                <w:b/>
                <w:sz w:val="20"/>
              </w:rPr>
              <w:t xml:space="preserve"> period counted from the job start date</w:t>
            </w:r>
          </w:p>
          <w:p w:rsidR="0092695A" w:rsidRPr="00E442F8" w:rsidRDefault="0092695A" w:rsidP="0059658C">
            <w:pPr>
              <w:rPr>
                <w:rFonts w:cs="Arial"/>
                <w:sz w:val="20"/>
              </w:rPr>
            </w:pPr>
          </w:p>
          <w:p w:rsidR="00397D74" w:rsidRPr="006735FD" w:rsidRDefault="0092695A" w:rsidP="0059658C">
            <w:pPr>
              <w:rPr>
                <w:rFonts w:cs="Arial"/>
                <w:sz w:val="20"/>
              </w:rPr>
            </w:pPr>
            <w:r w:rsidRPr="00E442F8">
              <w:rPr>
                <w:rFonts w:cs="Arial"/>
                <w:sz w:val="20"/>
              </w:rPr>
              <w:t>Definition: Achieved when an engaged service user has commenced paid employment and has worked for 13 weeks</w:t>
            </w:r>
            <w:r w:rsidR="006735FD">
              <w:rPr>
                <w:rFonts w:cs="Arial"/>
                <w:sz w:val="20"/>
              </w:rPr>
              <w:t xml:space="preserve"> (on average &lt;7 hours per week)</w:t>
            </w:r>
          </w:p>
        </w:tc>
        <w:tc>
          <w:tcPr>
            <w:tcW w:w="5812" w:type="dxa"/>
          </w:tcPr>
          <w:p w:rsidR="0092695A" w:rsidRPr="00E442F8" w:rsidRDefault="0092695A" w:rsidP="0059658C">
            <w:pPr>
              <w:pStyle w:val="ListParagraph"/>
              <w:numPr>
                <w:ilvl w:val="0"/>
                <w:numId w:val="6"/>
              </w:numPr>
              <w:ind w:left="231" w:hanging="231"/>
              <w:rPr>
                <w:sz w:val="20"/>
              </w:rPr>
            </w:pPr>
            <w:r w:rsidRPr="00E442F8">
              <w:rPr>
                <w:sz w:val="20"/>
              </w:rPr>
              <w:t>evidence of job entry, typically employer-generated evidence, such as a job offer letter a</w:t>
            </w:r>
            <w:r w:rsidR="00031113">
              <w:rPr>
                <w:sz w:val="20"/>
              </w:rPr>
              <w:t>nd confirmation of employment 12</w:t>
            </w:r>
            <w:r w:rsidRPr="00E442F8">
              <w:rPr>
                <w:sz w:val="20"/>
              </w:rPr>
              <w:t xml:space="preserve"> weeks after job start (e.g., time-sheets or pay slips).</w:t>
            </w:r>
          </w:p>
          <w:p w:rsidR="0092695A" w:rsidRPr="00E442F8" w:rsidRDefault="0092695A" w:rsidP="0059658C">
            <w:pPr>
              <w:pStyle w:val="ListParagraph"/>
              <w:numPr>
                <w:ilvl w:val="0"/>
                <w:numId w:val="6"/>
              </w:numPr>
              <w:ind w:left="231" w:hanging="231"/>
              <w:rPr>
                <w:sz w:val="20"/>
              </w:rPr>
            </w:pPr>
            <w:r w:rsidRPr="00E442F8">
              <w:rPr>
                <w:sz w:val="20"/>
              </w:rPr>
              <w:t>as a backup, evidence will typically also include a signed declaration from</w:t>
            </w:r>
            <w:r w:rsidR="00031113">
              <w:rPr>
                <w:sz w:val="20"/>
              </w:rPr>
              <w:t xml:space="preserve"> clients after 12</w:t>
            </w:r>
            <w:r>
              <w:rPr>
                <w:sz w:val="20"/>
              </w:rPr>
              <w:t xml:space="preserve"> weeks in work with wet signature.    </w:t>
            </w:r>
          </w:p>
          <w:p w:rsidR="0092695A" w:rsidRPr="00E442F8" w:rsidRDefault="0092695A" w:rsidP="0059658C">
            <w:pPr>
              <w:pStyle w:val="ListParagraph"/>
              <w:numPr>
                <w:ilvl w:val="0"/>
                <w:numId w:val="6"/>
              </w:numPr>
              <w:ind w:left="231" w:hanging="231"/>
              <w:rPr>
                <w:sz w:val="20"/>
              </w:rPr>
            </w:pPr>
            <w:r w:rsidRPr="00E442F8">
              <w:rPr>
                <w:sz w:val="20"/>
              </w:rPr>
              <w:t xml:space="preserve">If working with someone in paid employment evidence of sustained attendance in work of 7 hours above in a working week </w:t>
            </w:r>
            <w:r w:rsidR="00031113">
              <w:rPr>
                <w:sz w:val="20"/>
              </w:rPr>
              <w:t>for over</w:t>
            </w:r>
            <w:r w:rsidRPr="00E442F8">
              <w:rPr>
                <w:sz w:val="20"/>
              </w:rPr>
              <w:t xml:space="preserve"> 1</w:t>
            </w:r>
            <w:r w:rsidR="00031113">
              <w:rPr>
                <w:sz w:val="20"/>
              </w:rPr>
              <w:t>2</w:t>
            </w:r>
            <w:r w:rsidRPr="00E442F8">
              <w:rPr>
                <w:sz w:val="20"/>
              </w:rPr>
              <w:t>-week</w:t>
            </w:r>
            <w:r w:rsidR="00031113">
              <w:rPr>
                <w:sz w:val="20"/>
              </w:rPr>
              <w:t>s</w:t>
            </w:r>
            <w:r w:rsidRPr="00E442F8">
              <w:rPr>
                <w:sz w:val="20"/>
              </w:rPr>
              <w:t xml:space="preserve"> </w:t>
            </w:r>
            <w:r w:rsidR="00031113">
              <w:rPr>
                <w:sz w:val="20"/>
              </w:rPr>
              <w:t xml:space="preserve">in any 16-week period </w:t>
            </w:r>
            <w:r w:rsidRPr="00E442F8">
              <w:rPr>
                <w:sz w:val="20"/>
              </w:rPr>
              <w:t>demonstrating they have been able to maintain their condition and remain in work or return to work on a phased basis if they are off sick.</w:t>
            </w:r>
          </w:p>
        </w:tc>
      </w:tr>
    </w:tbl>
    <w:p w:rsidR="0092695A" w:rsidRDefault="0092695A" w:rsidP="0059658C">
      <w:pPr>
        <w:rPr>
          <w:rFonts w:cs="Arial"/>
        </w:rPr>
      </w:pPr>
      <w:r>
        <w:rPr>
          <w:rFonts w:cs="Arial"/>
        </w:rPr>
        <w:t xml:space="preserve">   </w:t>
      </w:r>
    </w:p>
    <w:p w:rsidR="0092695A" w:rsidRPr="00031113" w:rsidRDefault="0092695A" w:rsidP="0059658C">
      <w:pPr>
        <w:rPr>
          <w:rFonts w:cs="Arial"/>
          <w:b/>
          <w:u w:val="single"/>
        </w:rPr>
      </w:pPr>
      <w:r w:rsidRPr="00031113">
        <w:rPr>
          <w:rFonts w:cs="Arial"/>
          <w:b/>
          <w:u w:val="single"/>
        </w:rPr>
        <w:t>Operational outcome metrics – to be included in the Monthly Data Report</w:t>
      </w:r>
    </w:p>
    <w:p w:rsidR="0092695A" w:rsidRPr="00125699" w:rsidRDefault="0092695A" w:rsidP="0059658C">
      <w:pPr>
        <w:rPr>
          <w:rFonts w:cs="Arial"/>
        </w:rPr>
      </w:pPr>
      <w:r w:rsidRPr="00E442F8">
        <w:rPr>
          <w:rFonts w:cs="Arial"/>
        </w:rPr>
        <w:t xml:space="preserve">The provider will be expected to capture key demographic data on referrers and the service users and fidelity data to the IPS model. This data and analysis will form part of the detailed </w:t>
      </w:r>
      <w:r>
        <w:rPr>
          <w:rFonts w:cs="Arial"/>
        </w:rPr>
        <w:t xml:space="preserve">monthly </w:t>
      </w:r>
      <w:r w:rsidRPr="00E442F8">
        <w:rPr>
          <w:rFonts w:cs="Arial"/>
        </w:rPr>
        <w:t>Data Report expected from providers</w:t>
      </w:r>
      <w:r>
        <w:rPr>
          <w:rFonts w:cs="Arial"/>
        </w:rPr>
        <w:t xml:space="preserve"> no later than the 7</w:t>
      </w:r>
      <w:r w:rsidRPr="00964C57">
        <w:rPr>
          <w:rFonts w:cs="Arial"/>
          <w:vertAlign w:val="superscript"/>
        </w:rPr>
        <w:t>th</w:t>
      </w:r>
      <w:r>
        <w:rPr>
          <w:rFonts w:cs="Arial"/>
        </w:rPr>
        <w:t xml:space="preserve"> of each calendar month</w:t>
      </w:r>
      <w:r w:rsidRPr="00E442F8">
        <w:rPr>
          <w:rFonts w:cs="Arial"/>
        </w:rPr>
        <w:t>.</w:t>
      </w:r>
    </w:p>
    <w:p w:rsidR="0092695A" w:rsidRDefault="0092695A" w:rsidP="0059658C">
      <w:pPr>
        <w:pStyle w:val="ListParagraph"/>
        <w:numPr>
          <w:ilvl w:val="0"/>
          <w:numId w:val="137"/>
        </w:numPr>
      </w:pPr>
      <w:r>
        <w:t>100% of the fields required to collect baseline data in the referral system are completed for each client entered onto the trial.</w:t>
      </w:r>
    </w:p>
    <w:p w:rsidR="0092695A" w:rsidRDefault="0092695A" w:rsidP="0059658C">
      <w:pPr>
        <w:pStyle w:val="ListParagraph"/>
        <w:numPr>
          <w:ilvl w:val="0"/>
          <w:numId w:val="137"/>
        </w:numPr>
      </w:pPr>
      <w:r>
        <w:t>90% of clients have received a meaningful engagement</w:t>
      </w:r>
      <w:r w:rsidRPr="0081657B">
        <w:t xml:space="preserve"> (15 minutes or greater)</w:t>
      </w:r>
      <w:r>
        <w:t xml:space="preserve"> at least in each two-</w:t>
      </w:r>
      <w:r w:rsidRPr="0081657B">
        <w:t>week period</w:t>
      </w:r>
      <w:r>
        <w:t xml:space="preserve"> within the reporting period.</w:t>
      </w:r>
    </w:p>
    <w:p w:rsidR="0092695A" w:rsidRPr="00624901" w:rsidRDefault="0092695A" w:rsidP="0059658C">
      <w:pPr>
        <w:pStyle w:val="ListParagraph"/>
        <w:numPr>
          <w:ilvl w:val="0"/>
          <w:numId w:val="137"/>
        </w:numPr>
      </w:pPr>
      <w:r>
        <w:t>100% of IPS Employment Specialists have a live case load of 30 clients or less in the reporting period.</w:t>
      </w:r>
    </w:p>
    <w:p w:rsidR="0092695A" w:rsidRDefault="0092695A" w:rsidP="0059658C">
      <w:pPr>
        <w:pStyle w:val="ListParagraph"/>
        <w:numPr>
          <w:ilvl w:val="0"/>
          <w:numId w:val="137"/>
        </w:numPr>
      </w:pPr>
      <w:r>
        <w:t>100% of clients have received a c</w:t>
      </w:r>
      <w:r w:rsidRPr="00624901">
        <w:t>ompl</w:t>
      </w:r>
      <w:r>
        <w:t>eted Vocational Profile that is signed by the client and IPS Employment Specialist within the reporting period.</w:t>
      </w:r>
    </w:p>
    <w:p w:rsidR="0092695A" w:rsidRPr="00624901" w:rsidRDefault="0092695A" w:rsidP="0059658C">
      <w:pPr>
        <w:pStyle w:val="ListParagraph"/>
        <w:numPr>
          <w:ilvl w:val="0"/>
          <w:numId w:val="137"/>
        </w:numPr>
      </w:pPr>
      <w:r>
        <w:t>100% of the Vocational Profiles have been converted into a</w:t>
      </w:r>
      <w:r w:rsidRPr="00624901">
        <w:t xml:space="preserve"> SMART</w:t>
      </w:r>
      <w:r>
        <w:t xml:space="preserve"> Employment A</w:t>
      </w:r>
      <w:r w:rsidRPr="00624901">
        <w:t xml:space="preserve">ction </w:t>
      </w:r>
      <w:r>
        <w:t>P</w:t>
      </w:r>
      <w:r w:rsidRPr="00624901">
        <w:t>lan</w:t>
      </w:r>
      <w:r>
        <w:t>s that is</w:t>
      </w:r>
      <w:r w:rsidRPr="00624901">
        <w:t xml:space="preserve"> signed by the client, </w:t>
      </w:r>
      <w:r>
        <w:t xml:space="preserve">IPS </w:t>
      </w:r>
      <w:r w:rsidRPr="00624901">
        <w:t xml:space="preserve">Employment Specialist </w:t>
      </w:r>
      <w:r>
        <w:t>and ideally their Health Worker within the reporting period.</w:t>
      </w:r>
    </w:p>
    <w:p w:rsidR="0092695A" w:rsidRDefault="0092695A" w:rsidP="0059658C">
      <w:pPr>
        <w:pStyle w:val="ListParagraph"/>
        <w:numPr>
          <w:ilvl w:val="0"/>
          <w:numId w:val="137"/>
        </w:numPr>
      </w:pPr>
      <w:r>
        <w:t xml:space="preserve">50% of clients are </w:t>
      </w:r>
      <w:r w:rsidRPr="00624901">
        <w:t>supported to apply for a</w:t>
      </w:r>
      <w:r>
        <w:t xml:space="preserve"> competitive</w:t>
      </w:r>
      <w:r w:rsidRPr="00624901">
        <w:t xml:space="preserve"> job within four weeks</w:t>
      </w:r>
      <w:r>
        <w:t xml:space="preserve"> of</w:t>
      </w:r>
      <w:r w:rsidRPr="00624901">
        <w:t xml:space="preserve"> </w:t>
      </w:r>
      <w:r>
        <w:t>programme start within the reporting period.</w:t>
      </w:r>
    </w:p>
    <w:p w:rsidR="0092695A" w:rsidRDefault="0092695A" w:rsidP="0059658C">
      <w:pPr>
        <w:pStyle w:val="ListParagraph"/>
        <w:numPr>
          <w:ilvl w:val="0"/>
          <w:numId w:val="137"/>
        </w:numPr>
      </w:pPr>
      <w:r>
        <w:t>100% of clients have received a clear set of the Customer Service Standards they can expect to receive which include a clear process for complaint within the reporting period.</w:t>
      </w:r>
    </w:p>
    <w:p w:rsidR="0092695A" w:rsidRPr="0081657B" w:rsidRDefault="0092695A" w:rsidP="0059658C">
      <w:pPr>
        <w:rPr>
          <w:b/>
          <w:u w:val="single"/>
        </w:rPr>
      </w:pPr>
      <w:r>
        <w:rPr>
          <w:b/>
          <w:u w:val="single"/>
        </w:rPr>
        <w:t>Management Information (MI)</w:t>
      </w:r>
      <w:r w:rsidR="00031113">
        <w:rPr>
          <w:b/>
          <w:u w:val="single"/>
        </w:rPr>
        <w:t xml:space="preserve"> – to be included in the Monthly Data report</w:t>
      </w:r>
    </w:p>
    <w:p w:rsidR="0092695A" w:rsidRPr="00624901" w:rsidRDefault="0092695A" w:rsidP="0059658C">
      <w:pPr>
        <w:pStyle w:val="ListParagraph"/>
        <w:numPr>
          <w:ilvl w:val="0"/>
          <w:numId w:val="136"/>
        </w:numPr>
        <w:ind w:left="709" w:hanging="709"/>
      </w:pPr>
      <w:r w:rsidRPr="00624901">
        <w:t>Average length of in-work support</w:t>
      </w:r>
    </w:p>
    <w:p w:rsidR="0092695A" w:rsidRDefault="0092695A" w:rsidP="0059658C">
      <w:pPr>
        <w:pStyle w:val="ListParagraph"/>
        <w:numPr>
          <w:ilvl w:val="0"/>
          <w:numId w:val="136"/>
        </w:numPr>
        <w:ind w:left="709" w:hanging="709"/>
      </w:pPr>
      <w:r w:rsidRPr="00624901">
        <w:t>Number of cases referred to Local Integration Board and the outcome from that process</w:t>
      </w:r>
    </w:p>
    <w:p w:rsidR="0092695A" w:rsidRPr="00624901" w:rsidRDefault="0092695A" w:rsidP="0059658C">
      <w:pPr>
        <w:pStyle w:val="ListParagraph"/>
        <w:numPr>
          <w:ilvl w:val="0"/>
          <w:numId w:val="136"/>
        </w:numPr>
        <w:ind w:left="709" w:hanging="709"/>
      </w:pPr>
      <w:r w:rsidRPr="00624901">
        <w:t xml:space="preserve">Number of overall referrals to the service and by source and </w:t>
      </w:r>
      <w:r>
        <w:t xml:space="preserve">key </w:t>
      </w:r>
      <w:r w:rsidRPr="00624901">
        <w:t>demographic</w:t>
      </w:r>
      <w:r>
        <w:t>s</w:t>
      </w:r>
    </w:p>
    <w:p w:rsidR="0092695A" w:rsidRPr="00624901" w:rsidRDefault="0092695A" w:rsidP="0059658C">
      <w:pPr>
        <w:pStyle w:val="ListParagraph"/>
        <w:numPr>
          <w:ilvl w:val="0"/>
          <w:numId w:val="136"/>
        </w:numPr>
        <w:ind w:left="709" w:hanging="709"/>
      </w:pPr>
      <w:r>
        <w:t>Average t</w:t>
      </w:r>
      <w:r w:rsidRPr="00624901">
        <w:t xml:space="preserve">ime from referral to first contact </w:t>
      </w:r>
    </w:p>
    <w:p w:rsidR="0092695A" w:rsidRDefault="0092695A" w:rsidP="0059658C">
      <w:pPr>
        <w:pStyle w:val="ListParagraph"/>
        <w:numPr>
          <w:ilvl w:val="0"/>
          <w:numId w:val="136"/>
        </w:numPr>
        <w:ind w:left="709" w:hanging="709"/>
      </w:pPr>
      <w:r>
        <w:t xml:space="preserve">Average time between meaningful client engagements (15 minutes or greater) </w:t>
      </w:r>
    </w:p>
    <w:p w:rsidR="0092695A" w:rsidRPr="00624901" w:rsidRDefault="0092695A" w:rsidP="0059658C">
      <w:pPr>
        <w:pStyle w:val="ListParagraph"/>
        <w:numPr>
          <w:ilvl w:val="0"/>
          <w:numId w:val="136"/>
        </w:numPr>
        <w:ind w:left="709" w:hanging="709"/>
      </w:pPr>
      <w:r w:rsidRPr="00624901">
        <w:t>Number of engagements with the service (as defined by a face to face contact lasting over 30 minutes)</w:t>
      </w:r>
    </w:p>
    <w:p w:rsidR="0092695A" w:rsidRPr="00624901" w:rsidRDefault="0092695A" w:rsidP="0059658C">
      <w:pPr>
        <w:pStyle w:val="ListParagraph"/>
        <w:numPr>
          <w:ilvl w:val="0"/>
          <w:numId w:val="136"/>
        </w:numPr>
        <w:ind w:left="709" w:hanging="709"/>
      </w:pPr>
      <w:r w:rsidRPr="00624901">
        <w:t>Number of paid job starts per service user</w:t>
      </w:r>
    </w:p>
    <w:p w:rsidR="0092695A" w:rsidRPr="00624901" w:rsidRDefault="0092695A" w:rsidP="0059658C">
      <w:pPr>
        <w:pStyle w:val="ListParagraph"/>
        <w:numPr>
          <w:ilvl w:val="0"/>
          <w:numId w:val="136"/>
        </w:numPr>
        <w:ind w:left="709" w:hanging="709"/>
      </w:pPr>
      <w:r w:rsidRPr="00624901">
        <w:t>Number of days from initial assessment to first paid employment</w:t>
      </w:r>
    </w:p>
    <w:p w:rsidR="0092695A" w:rsidRPr="00624901" w:rsidRDefault="0092695A" w:rsidP="0059658C">
      <w:pPr>
        <w:pStyle w:val="ListParagraph"/>
        <w:numPr>
          <w:ilvl w:val="0"/>
          <w:numId w:val="136"/>
        </w:numPr>
        <w:ind w:left="709" w:hanging="709"/>
      </w:pPr>
      <w:r w:rsidRPr="00624901">
        <w:t>Drop-out rate from</w:t>
      </w:r>
      <w:r>
        <w:t xml:space="preserve"> initial meeting with IPS Employment Specialist</w:t>
      </w:r>
      <w:r w:rsidRPr="00624901">
        <w:t xml:space="preserve"> referral </w:t>
      </w:r>
      <w:r>
        <w:t>and key demographics</w:t>
      </w:r>
    </w:p>
    <w:p w:rsidR="0092695A" w:rsidRPr="00624901" w:rsidRDefault="0092695A" w:rsidP="0059658C">
      <w:pPr>
        <w:pStyle w:val="ListParagraph"/>
        <w:numPr>
          <w:ilvl w:val="0"/>
          <w:numId w:val="136"/>
        </w:numPr>
        <w:ind w:left="709" w:hanging="709"/>
      </w:pPr>
      <w:r w:rsidRPr="00624901">
        <w:lastRenderedPageBreak/>
        <w:t>% of people who decide to discuss their diagnosis/condition with their employer</w:t>
      </w:r>
    </w:p>
    <w:p w:rsidR="0092695A" w:rsidRPr="00624901" w:rsidRDefault="0092695A" w:rsidP="0059658C">
      <w:pPr>
        <w:pStyle w:val="ListParagraph"/>
        <w:numPr>
          <w:ilvl w:val="0"/>
          <w:numId w:val="136"/>
        </w:numPr>
        <w:ind w:left="709" w:hanging="709"/>
      </w:pPr>
      <w:r w:rsidRPr="00624901">
        <w:t>Hourly wage of service users achieving a job outcome</w:t>
      </w:r>
    </w:p>
    <w:p w:rsidR="0092695A" w:rsidRPr="00624901" w:rsidRDefault="0092695A" w:rsidP="0059658C">
      <w:pPr>
        <w:pStyle w:val="ListParagraph"/>
        <w:numPr>
          <w:ilvl w:val="0"/>
          <w:numId w:val="136"/>
        </w:numPr>
        <w:ind w:left="709" w:hanging="709"/>
      </w:pPr>
      <w:r w:rsidRPr="00624901">
        <w:t>Job role of service users achieving a job outcome</w:t>
      </w:r>
      <w:r>
        <w:t xml:space="preserve"> including industry sector</w:t>
      </w:r>
    </w:p>
    <w:p w:rsidR="0092695A" w:rsidRPr="00624901" w:rsidRDefault="0092695A" w:rsidP="0059658C">
      <w:pPr>
        <w:pStyle w:val="ListParagraph"/>
        <w:numPr>
          <w:ilvl w:val="0"/>
          <w:numId w:val="136"/>
        </w:numPr>
        <w:ind w:left="709" w:hanging="709"/>
      </w:pPr>
      <w:r w:rsidRPr="00624901">
        <w:t>Industry sector of service users gaining an employment outcome</w:t>
      </w:r>
    </w:p>
    <w:p w:rsidR="0092695A" w:rsidRDefault="0092695A" w:rsidP="0059658C">
      <w:pPr>
        <w:pStyle w:val="ListParagraph"/>
        <w:numPr>
          <w:ilvl w:val="0"/>
          <w:numId w:val="136"/>
        </w:numPr>
        <w:ind w:left="709" w:hanging="709"/>
      </w:pPr>
      <w:r w:rsidRPr="00624901">
        <w:t>Number of people accessing mainstream education, mainstream work experience, volunteering work</w:t>
      </w:r>
      <w:r>
        <w:t xml:space="preserve"> or other work related opportunities</w:t>
      </w:r>
      <w:r w:rsidRPr="00624901">
        <w:t xml:space="preserve"> – this is not considered an outcome from the service, but rather an ind</w:t>
      </w:r>
      <w:r>
        <w:t>icator of activity</w:t>
      </w:r>
    </w:p>
    <w:p w:rsidR="0092695A" w:rsidRPr="00624901" w:rsidRDefault="0092695A" w:rsidP="0059658C">
      <w:pPr>
        <w:pStyle w:val="ListParagraph"/>
        <w:numPr>
          <w:ilvl w:val="0"/>
          <w:numId w:val="136"/>
        </w:numPr>
        <w:ind w:left="709" w:hanging="709"/>
      </w:pPr>
      <w:r>
        <w:t>Client</w:t>
      </w:r>
      <w:r w:rsidRPr="00624901">
        <w:t xml:space="preserve"> feedback</w:t>
      </w:r>
      <w:r>
        <w:t xml:space="preserve"> on the overall service</w:t>
      </w:r>
      <w:r w:rsidRPr="00624901">
        <w:t xml:space="preserve"> </w:t>
      </w:r>
      <w:r>
        <w:t>taken against a qualitative score of 4 (4 being excellent)</w:t>
      </w:r>
    </w:p>
    <w:p w:rsidR="0092695A" w:rsidRDefault="0092695A" w:rsidP="0059658C">
      <w:pPr>
        <w:pStyle w:val="ListParagraph"/>
        <w:numPr>
          <w:ilvl w:val="0"/>
          <w:numId w:val="136"/>
        </w:numPr>
        <w:ind w:left="709" w:hanging="709"/>
      </w:pPr>
      <w:r w:rsidRPr="00624901">
        <w:t xml:space="preserve">Employer feedback </w:t>
      </w:r>
      <w:r>
        <w:t>taken against a qualitative score of 4 (4 being excellent)</w:t>
      </w:r>
    </w:p>
    <w:p w:rsidR="0092695A" w:rsidRPr="00624901" w:rsidRDefault="0092695A" w:rsidP="0059658C">
      <w:pPr>
        <w:pStyle w:val="ListParagraph"/>
        <w:numPr>
          <w:ilvl w:val="0"/>
          <w:numId w:val="136"/>
        </w:numPr>
        <w:ind w:left="709" w:hanging="709"/>
      </w:pPr>
      <w:r>
        <w:t>Client feedback on the quality of job matching taken against a qualitative score of 4 (4 being excellent)</w:t>
      </w:r>
    </w:p>
    <w:p w:rsidR="00031113" w:rsidRDefault="0092695A" w:rsidP="0059658C">
      <w:r>
        <w:t>The Programme Team will spot check evidence of outcome metrics on a regular basis.</w:t>
      </w:r>
      <w:r w:rsidRPr="00E442F8">
        <w:t xml:space="preserve"> </w:t>
      </w:r>
      <w:r w:rsidR="00031113">
        <w:t>T</w:t>
      </w:r>
      <w:r w:rsidRPr="00E442F8">
        <w:t xml:space="preserve">he service provider will be required to </w:t>
      </w:r>
      <w:r w:rsidR="00031113">
        <w:t>submit a report against the requirements set out in this appendix</w:t>
      </w:r>
      <w:r>
        <w:t xml:space="preserve"> on a CSV format/CA approved format on a monthly basis</w:t>
      </w:r>
      <w:r w:rsidR="00E22113">
        <w:t xml:space="preserve"> (not Microsoft Project)</w:t>
      </w:r>
      <w:r>
        <w:t>.</w:t>
      </w:r>
    </w:p>
    <w:p w:rsidR="0092695A" w:rsidRDefault="0092695A" w:rsidP="0059658C">
      <w:r>
        <w:br/>
      </w:r>
    </w:p>
    <w:p w:rsidR="00E442F8" w:rsidRDefault="00E442F8" w:rsidP="0059658C">
      <w:r>
        <w:br/>
      </w:r>
    </w:p>
    <w:p w:rsidR="00E442F8" w:rsidRDefault="00E442F8" w:rsidP="0059658C">
      <w:r>
        <w:br w:type="page"/>
      </w:r>
    </w:p>
    <w:p w:rsidR="00DD5E7C" w:rsidRPr="003E28E5" w:rsidRDefault="00C12ED1" w:rsidP="0059658C">
      <w:pPr>
        <w:pStyle w:val="Heading1"/>
        <w:numPr>
          <w:ilvl w:val="0"/>
          <w:numId w:val="0"/>
        </w:numPr>
      </w:pPr>
      <w:bookmarkStart w:id="103" w:name="_Toc490147848"/>
      <w:bookmarkStart w:id="104" w:name="_Toc491351947"/>
      <w:r>
        <w:lastRenderedPageBreak/>
        <w:t xml:space="preserve">Appendix </w:t>
      </w:r>
      <w:r w:rsidR="008D6BFD" w:rsidRPr="003E28E5">
        <w:t>6</w:t>
      </w:r>
      <w:bookmarkEnd w:id="103"/>
      <w:r w:rsidR="003E28E5">
        <w:t xml:space="preserve"> – </w:t>
      </w:r>
      <w:r>
        <w:t>Service Description: Key Features</w:t>
      </w:r>
      <w:bookmarkEnd w:id="104"/>
    </w:p>
    <w:p w:rsidR="00DD5E7C" w:rsidRPr="00AE01FF" w:rsidRDefault="00DD5E7C" w:rsidP="0059658C">
      <w:pPr>
        <w:rPr>
          <w:b/>
        </w:rPr>
      </w:pPr>
      <w:r w:rsidRPr="00AE01FF">
        <w:rPr>
          <w:rFonts w:cs="Arial"/>
        </w:rPr>
        <w:t>The below outlines preliminary guidelines on what fidelity to the IPS principles in Primary Care and Community Care settings would look like. This has been developed with guidance from leading IPS academics.</w:t>
      </w:r>
    </w:p>
    <w:p w:rsidR="00DD5E7C" w:rsidRPr="00AE01FF" w:rsidRDefault="00DD5E7C" w:rsidP="0059658C">
      <w:pPr>
        <w:pStyle w:val="ListParagraph"/>
        <w:numPr>
          <w:ilvl w:val="0"/>
          <w:numId w:val="122"/>
        </w:numPr>
        <w:ind w:left="142" w:hanging="142"/>
        <w:jc w:val="both"/>
      </w:pPr>
      <w:r w:rsidRPr="00AE01FF">
        <w:rPr>
          <w:b/>
        </w:rPr>
        <w:t>Caseload size:</w:t>
      </w:r>
      <w:r w:rsidRPr="00AE01FF">
        <w:t xml:space="preserve"> </w:t>
      </w:r>
      <w:r w:rsidR="008D59CF">
        <w:t>IPS Employment Specialist</w:t>
      </w:r>
      <w:r w:rsidRPr="00AE01FF">
        <w:t xml:space="preserve">s have individual employment caseloads. The maximum open caseload for any full-time </w:t>
      </w:r>
      <w:r w:rsidR="008D59CF">
        <w:t>IPS Employment Specialist</w:t>
      </w:r>
      <w:r w:rsidRPr="00AE01FF">
        <w:t xml:space="preserve"> is 3</w:t>
      </w:r>
      <w:r w:rsidR="004C274C">
        <w:t>5</w:t>
      </w:r>
      <w:r w:rsidRPr="00AE01FF">
        <w:t xml:space="preserve"> </w:t>
      </w:r>
      <w:r w:rsidR="00392E56">
        <w:t>clients and should seek to work with the same individual throughout their support</w:t>
      </w:r>
      <w:r w:rsidRPr="00AE01FF">
        <w:t xml:space="preserve">.  </w:t>
      </w:r>
      <w:r w:rsidR="00392E56">
        <w:t xml:space="preserve">Clients are entitled to </w:t>
      </w:r>
      <w:r w:rsidRPr="00AE01FF">
        <w:t xml:space="preserve">12 months </w:t>
      </w:r>
      <w:r w:rsidR="00392E56">
        <w:t xml:space="preserve">support, </w:t>
      </w:r>
      <w:r w:rsidRPr="00AE01FF">
        <w:t xml:space="preserve">with the possibility to re-access more in work support should they or their employer require it (see Burns et al 2015, for evidence on time limited support). </w:t>
      </w:r>
    </w:p>
    <w:p w:rsidR="00DD5E7C" w:rsidRPr="00AE01FF" w:rsidRDefault="00DD5E7C" w:rsidP="0059658C">
      <w:pPr>
        <w:pStyle w:val="ListParagraph"/>
        <w:numPr>
          <w:ilvl w:val="0"/>
          <w:numId w:val="122"/>
        </w:numPr>
        <w:ind w:left="142" w:hanging="142"/>
        <w:jc w:val="both"/>
        <w:rPr>
          <w:b/>
        </w:rPr>
      </w:pPr>
      <w:r w:rsidRPr="00AE01FF">
        <w:rPr>
          <w:b/>
        </w:rPr>
        <w:t>Employment services staff:</w:t>
      </w:r>
      <w:r w:rsidRPr="00AE01FF">
        <w:t xml:space="preserve"> </w:t>
      </w:r>
      <w:r w:rsidR="008D59CF">
        <w:t>IPS Employment Specialist</w:t>
      </w:r>
      <w:r w:rsidRPr="00AE01FF">
        <w:t xml:space="preserve">s provide employment services and should not focus on condition management. Employment </w:t>
      </w:r>
      <w:r w:rsidR="00392E56">
        <w:t>specialists</w:t>
      </w:r>
      <w:r w:rsidR="00392E56" w:rsidRPr="00AE01FF">
        <w:t xml:space="preserve"> </w:t>
      </w:r>
      <w:r w:rsidR="00392E56">
        <w:t>focus</w:t>
      </w:r>
      <w:r w:rsidRPr="00AE01FF">
        <w:t xml:space="preserve"> on</w:t>
      </w:r>
      <w:r w:rsidR="00392E56">
        <w:t xml:space="preserve"> delivering</w:t>
      </w:r>
      <w:r w:rsidRPr="00AE01FF">
        <w:t xml:space="preserve"> </w:t>
      </w:r>
      <w:r w:rsidR="00392E56">
        <w:t>support</w:t>
      </w:r>
      <w:r w:rsidR="00392E56" w:rsidRPr="00AE01FF">
        <w:t xml:space="preserve"> </w:t>
      </w:r>
      <w:r w:rsidRPr="00AE01FF">
        <w:t xml:space="preserve">to </w:t>
      </w:r>
      <w:r w:rsidR="00392E56">
        <w:t xml:space="preserve">progress towards, moving to and sustained paid employment and health management.  </w:t>
      </w:r>
      <w:r w:rsidRPr="00AE01FF">
        <w:t xml:space="preserve">Each </w:t>
      </w:r>
      <w:r w:rsidR="008D59CF">
        <w:t>IPS Employment Specialist</w:t>
      </w:r>
      <w:r w:rsidRPr="00AE01FF">
        <w:t xml:space="preserve"> carries out all phases of the employment support, including intake, engagement, assessment, job placement, job coaching, and follow-along supports as necessary. Support may be face to face, telephone, in groups and via text or email as appropriate.  </w:t>
      </w:r>
      <w:r w:rsidR="008D6BFD">
        <w:t xml:space="preserve">In addition, </w:t>
      </w:r>
      <w:r w:rsidR="008D59CF">
        <w:t>IPS Employment Specialist</w:t>
      </w:r>
      <w:r w:rsidR="00B33492">
        <w:t>’s</w:t>
      </w:r>
      <w:r w:rsidR="008D6BFD">
        <w:t xml:space="preserve"> co-ordinate access to health and wider supports (e.g. debt, housing, skills) working through Local Integration Boards in the areas as appropriate.</w:t>
      </w:r>
    </w:p>
    <w:p w:rsidR="00DD5E7C" w:rsidRDefault="00DD5E7C" w:rsidP="0059658C">
      <w:pPr>
        <w:pStyle w:val="ListParagraph"/>
        <w:numPr>
          <w:ilvl w:val="0"/>
          <w:numId w:val="122"/>
        </w:numPr>
        <w:ind w:left="142" w:hanging="142"/>
        <w:jc w:val="both"/>
      </w:pPr>
      <w:r w:rsidRPr="00AE01FF">
        <w:rPr>
          <w:b/>
        </w:rPr>
        <w:t>Integration of supported employment with health treatment through team assignment</w:t>
      </w:r>
      <w:r w:rsidRPr="00F14501">
        <w:t xml:space="preserve">: </w:t>
      </w:r>
      <w:r w:rsidR="008D59CF">
        <w:t>IPS Employment Specialist</w:t>
      </w:r>
      <w:r w:rsidRPr="00F14501">
        <w:t xml:space="preserve">s should be a part of the primary or community care professional team or </w:t>
      </w:r>
      <w:r w:rsidR="00D831B3">
        <w:t>physical health</w:t>
      </w:r>
      <w:r w:rsidRPr="00F14501">
        <w:t xml:space="preserve"> teams in the same way as, for example practice nurses, pharmacists, psychologists, physiotherapist</w:t>
      </w:r>
      <w:r w:rsidR="00392E56">
        <w:t xml:space="preserve">s and attend regular team meetings.  </w:t>
      </w:r>
      <w:r w:rsidR="008D59CF">
        <w:t>IPS Employment Specialist</w:t>
      </w:r>
      <w:r w:rsidRPr="00F14501">
        <w:t>s are physically based at least part of their time in the practice/health centre.</w:t>
      </w:r>
    </w:p>
    <w:p w:rsidR="00572A5A" w:rsidRDefault="00DD5E7C" w:rsidP="0059658C">
      <w:pPr>
        <w:pStyle w:val="ListParagraph"/>
        <w:numPr>
          <w:ilvl w:val="0"/>
          <w:numId w:val="122"/>
        </w:numPr>
        <w:ind w:left="142" w:hanging="142"/>
        <w:jc w:val="both"/>
      </w:pPr>
      <w:r w:rsidRPr="00AE01FF">
        <w:rPr>
          <w:b/>
        </w:rPr>
        <w:t xml:space="preserve">Integration of supported employment with primary or community health treatment and </w:t>
      </w:r>
      <w:r w:rsidR="00D831B3">
        <w:rPr>
          <w:b/>
        </w:rPr>
        <w:t>physical health</w:t>
      </w:r>
      <w:r w:rsidRPr="00AE01FF">
        <w:rPr>
          <w:b/>
        </w:rPr>
        <w:t xml:space="preserve"> services through frequent team member contact:</w:t>
      </w:r>
      <w:r w:rsidRPr="00D20B55">
        <w:t xml:space="preserve"> </w:t>
      </w:r>
      <w:r w:rsidR="008D59CF">
        <w:t>IPS Employment Specialist</w:t>
      </w:r>
      <w:r w:rsidRPr="00D20B55">
        <w:t>s actively participate in practice team meetings and liaise with other staff who are involved in the service user</w:t>
      </w:r>
      <w:r>
        <w:t>’</w:t>
      </w:r>
      <w:r w:rsidRPr="00D20B55">
        <w:t xml:space="preserve">s care. </w:t>
      </w:r>
      <w:r w:rsidR="008D59CF">
        <w:t>IPS Employment Specialist</w:t>
      </w:r>
      <w:r w:rsidRPr="00D20B55">
        <w:t xml:space="preserve">s are based within the practices/health centres and use the primary care notes for documentation of health treatment and employment services. </w:t>
      </w:r>
      <w:r w:rsidR="008D59CF">
        <w:t>IPS Employment Specialist</w:t>
      </w:r>
      <w:r w:rsidRPr="00D20B55">
        <w:t>s advise the primary</w:t>
      </w:r>
      <w:r>
        <w:t xml:space="preserve"> or community</w:t>
      </w:r>
      <w:r w:rsidRPr="00D20B55">
        <w:t xml:space="preserve"> health care team in relationship to employment on a formal or informal basis.</w:t>
      </w:r>
    </w:p>
    <w:p w:rsidR="00DD5E7C" w:rsidRPr="000A2D25" w:rsidRDefault="00DD5E7C" w:rsidP="0059658C">
      <w:pPr>
        <w:pStyle w:val="ListParagraph"/>
        <w:numPr>
          <w:ilvl w:val="0"/>
          <w:numId w:val="122"/>
        </w:numPr>
        <w:ind w:left="142" w:hanging="142"/>
        <w:jc w:val="both"/>
      </w:pPr>
      <w:r w:rsidRPr="00E7588F">
        <w:rPr>
          <w:b/>
        </w:rPr>
        <w:t xml:space="preserve">Collaboration between the </w:t>
      </w:r>
      <w:r w:rsidR="008D59CF">
        <w:rPr>
          <w:b/>
        </w:rPr>
        <w:t>IPS Employment Specialist</w:t>
      </w:r>
      <w:r w:rsidRPr="00572A5A">
        <w:rPr>
          <w:b/>
        </w:rPr>
        <w:t>s</w:t>
      </w:r>
      <w:r w:rsidR="00392E56" w:rsidRPr="00572A5A">
        <w:rPr>
          <w:b/>
        </w:rPr>
        <w:t xml:space="preserve">, </w:t>
      </w:r>
      <w:r w:rsidRPr="00572A5A">
        <w:rPr>
          <w:b/>
        </w:rPr>
        <w:t>JCP and other Government/DWP programmes:</w:t>
      </w:r>
      <w:r w:rsidRPr="00D20B55">
        <w:t xml:space="preserve"> </w:t>
      </w:r>
      <w:r w:rsidR="008D59CF">
        <w:t>IPS Employment Specialist</w:t>
      </w:r>
      <w:r w:rsidRPr="00D20B55">
        <w:t xml:space="preserve">s liaise with other </w:t>
      </w:r>
      <w:r w:rsidR="00572A5A">
        <w:t>employment support</w:t>
      </w:r>
      <w:r w:rsidRPr="00D20B55">
        <w:t xml:space="preserve"> programmes on an individual and service basis</w:t>
      </w:r>
      <w:r w:rsidR="00572A5A">
        <w:t xml:space="preserve"> to ensure a co-ordinated approach</w:t>
      </w:r>
      <w:r w:rsidRPr="00D20B55">
        <w:t>.</w:t>
      </w:r>
      <w:r>
        <w:t xml:space="preserve"> The SCR has a single point of contact for JCP who can support alignment and partnership working.</w:t>
      </w:r>
      <w:r w:rsidR="00572A5A">
        <w:t xml:space="preserve">  </w:t>
      </w:r>
      <w:r w:rsidR="008D59CF">
        <w:t>IPS Employment Specialist</w:t>
      </w:r>
      <w:r w:rsidR="00572A5A">
        <w:t xml:space="preserve">s </w:t>
      </w:r>
      <w:r w:rsidR="00572A5A" w:rsidRPr="00D3236D">
        <w:t xml:space="preserve">provide </w:t>
      </w:r>
      <w:r w:rsidR="00572A5A">
        <w:t>all clients with clear guidance and any necessary supporting evidence that they can communicate to Jobcentre Plus Work Coaches to demonstrate their participation in the service for the purpose of satisfying any conditionality requirements.</w:t>
      </w:r>
      <w:r w:rsidR="00572A5A" w:rsidRPr="00D3236D">
        <w:t xml:space="preserve"> </w:t>
      </w:r>
    </w:p>
    <w:p w:rsidR="00DD5E7C" w:rsidRPr="00AE01FF" w:rsidRDefault="00DD5E7C" w:rsidP="0059658C">
      <w:pPr>
        <w:pStyle w:val="ListParagraph"/>
        <w:numPr>
          <w:ilvl w:val="0"/>
          <w:numId w:val="122"/>
        </w:numPr>
        <w:ind w:left="142" w:hanging="142"/>
        <w:jc w:val="both"/>
      </w:pPr>
      <w:r w:rsidRPr="00F44230">
        <w:rPr>
          <w:b/>
        </w:rPr>
        <w:t>Zero exclusion criteria:</w:t>
      </w:r>
      <w:r w:rsidRPr="000A2D25">
        <w:t xml:space="preserve"> </w:t>
      </w:r>
      <w:r w:rsidRPr="00FD0156">
        <w:t>All those randomised to receive</w:t>
      </w:r>
      <w:r w:rsidR="00572A5A">
        <w:t xml:space="preserve"> the modified </w:t>
      </w:r>
      <w:r w:rsidRPr="00FD0156">
        <w:t xml:space="preserve">IPS </w:t>
      </w:r>
      <w:r w:rsidR="00572A5A">
        <w:t xml:space="preserve">service </w:t>
      </w:r>
      <w:r w:rsidRPr="00FD0156">
        <w:t xml:space="preserve">and who </w:t>
      </w:r>
      <w:r w:rsidR="00572A5A">
        <w:t xml:space="preserve">satisfy the eligibility criteria are able to start and continue on this trial, irrespective of any other factors.  </w:t>
      </w:r>
      <w:r w:rsidRPr="00AE01FF">
        <w:t xml:space="preserve">Service users in this trial are only screened out if they do not meet the inclusion criteria or fit with an exclusion criterion. </w:t>
      </w:r>
    </w:p>
    <w:p w:rsidR="00DD5E7C" w:rsidRPr="00AE01FF" w:rsidRDefault="00F44230" w:rsidP="0059658C">
      <w:pPr>
        <w:pStyle w:val="ListParagraph"/>
        <w:numPr>
          <w:ilvl w:val="1"/>
          <w:numId w:val="1"/>
        </w:numPr>
        <w:ind w:left="142" w:hanging="142"/>
        <w:jc w:val="both"/>
      </w:pPr>
      <w:bookmarkStart w:id="105" w:name="_Toc489521342"/>
      <w:r>
        <w:rPr>
          <w:b/>
        </w:rPr>
        <w:t>Benefits and w</w:t>
      </w:r>
      <w:r w:rsidR="00DD5E7C" w:rsidRPr="00AE01FF">
        <w:rPr>
          <w:b/>
        </w:rPr>
        <w:t xml:space="preserve">ork </w:t>
      </w:r>
      <w:r>
        <w:rPr>
          <w:b/>
        </w:rPr>
        <w:t>i</w:t>
      </w:r>
      <w:r w:rsidR="00DD5E7C" w:rsidRPr="00AE01FF">
        <w:rPr>
          <w:b/>
        </w:rPr>
        <w:t>ncentives planning:</w:t>
      </w:r>
      <w:r w:rsidR="00DD5E7C" w:rsidRPr="00AE01FF">
        <w:t xml:space="preserve"> All service users are offered assistance in </w:t>
      </w:r>
      <w:r w:rsidR="00B74E8F">
        <w:t xml:space="preserve">understanding benefits eligibility and </w:t>
      </w:r>
      <w:r w:rsidR="00DD5E7C" w:rsidRPr="00AE01FF">
        <w:t>obtaining comprehensive, individualised work incentives planning</w:t>
      </w:r>
      <w:r w:rsidR="00B74E8F">
        <w:t xml:space="preserve"> when considering job vacancies</w:t>
      </w:r>
      <w:r w:rsidR="00DD5E7C" w:rsidRPr="00AE01FF">
        <w:t xml:space="preserve"> and assistance accessing employment benefits planning thereafter when making decisions about changes in work hours and pay. Employment benefits planning includes the impact on all sources of income and fringe benefits (Personal </w:t>
      </w:r>
      <w:r>
        <w:t>I</w:t>
      </w:r>
      <w:r w:rsidR="00DD5E7C" w:rsidRPr="00AE01FF">
        <w:t xml:space="preserve">ndependence </w:t>
      </w:r>
      <w:r>
        <w:t>P</w:t>
      </w:r>
      <w:r w:rsidR="00DD5E7C" w:rsidRPr="00AE01FF">
        <w:t>ayments, travel concession, Working Ta</w:t>
      </w:r>
      <w:r w:rsidR="00F9470F">
        <w:t>x Credits, Universal Credit etc</w:t>
      </w:r>
      <w:r w:rsidR="00B33492">
        <w:t>.</w:t>
      </w:r>
      <w:r w:rsidR="00DD5E7C" w:rsidRPr="00AE01FF">
        <w:t xml:space="preserve">) and all costs associated with commencing or changing employment. Service users are provided </w:t>
      </w:r>
      <w:r w:rsidR="00DD5E7C" w:rsidRPr="00AE01FF">
        <w:lastRenderedPageBreak/>
        <w:t xml:space="preserve">information and assistance about reporting earnings </w:t>
      </w:r>
      <w:r w:rsidR="00B74E8F">
        <w:t xml:space="preserve">and changes of circumstances </w:t>
      </w:r>
      <w:r w:rsidR="00DD5E7C" w:rsidRPr="00AE01FF">
        <w:t>to any other programme</w:t>
      </w:r>
      <w:r w:rsidR="00B74E8F">
        <w:t xml:space="preserve">s and/or organisations e.g. Jobcentre Plus as required.  </w:t>
      </w:r>
    </w:p>
    <w:bookmarkEnd w:id="105"/>
    <w:p w:rsidR="00DD5E7C" w:rsidRDefault="00DD5E7C" w:rsidP="0059658C">
      <w:pPr>
        <w:pStyle w:val="ListParagraph"/>
        <w:numPr>
          <w:ilvl w:val="1"/>
          <w:numId w:val="1"/>
        </w:numPr>
        <w:ind w:left="142" w:hanging="142"/>
        <w:jc w:val="both"/>
        <w:rPr>
          <w:b/>
        </w:rPr>
      </w:pPr>
      <w:r w:rsidRPr="00AE01FF">
        <w:rPr>
          <w:b/>
        </w:rPr>
        <w:t>The use of the Access to Work scheme</w:t>
      </w:r>
      <w:r w:rsidRPr="00D20B55">
        <w:t xml:space="preserve"> </w:t>
      </w:r>
      <w:r w:rsidRPr="00AE01FF">
        <w:rPr>
          <w:b/>
        </w:rPr>
        <w:t>needs to be considered</w:t>
      </w:r>
      <w:r w:rsidRPr="00D20B55">
        <w:t xml:space="preserve"> to provide support and adjustments in work.</w:t>
      </w:r>
    </w:p>
    <w:p w:rsidR="00DD5E7C" w:rsidRPr="00AE01FF" w:rsidRDefault="00DD5E7C" w:rsidP="0059658C">
      <w:pPr>
        <w:pStyle w:val="ListParagraph"/>
        <w:numPr>
          <w:ilvl w:val="1"/>
          <w:numId w:val="1"/>
        </w:numPr>
        <w:ind w:left="142" w:hanging="142"/>
        <w:jc w:val="both"/>
      </w:pPr>
      <w:r w:rsidRPr="00AE01FF">
        <w:rPr>
          <w:b/>
        </w:rPr>
        <w:t>Sharing of personal information</w:t>
      </w:r>
      <w:r w:rsidR="00C91091">
        <w:rPr>
          <w:b/>
        </w:rPr>
        <w:t xml:space="preserve"> and disclosure of health condition</w:t>
      </w:r>
      <w:r w:rsidRPr="00AE01FF">
        <w:rPr>
          <w:b/>
        </w:rPr>
        <w:t>:</w:t>
      </w:r>
      <w:r w:rsidRPr="00D20B55">
        <w:t xml:space="preserve"> </w:t>
      </w:r>
      <w:r w:rsidR="008D59CF">
        <w:t>IPS Employment Specialist</w:t>
      </w:r>
      <w:r w:rsidRPr="00AE01FF">
        <w:t xml:space="preserve">s </w:t>
      </w:r>
      <w:r w:rsidR="00693DDA">
        <w:t xml:space="preserve">support clients to evaluate their choices </w:t>
      </w:r>
      <w:r w:rsidRPr="00AE01FF">
        <w:t>to make an informed decision</w:t>
      </w:r>
      <w:r w:rsidR="00693DDA">
        <w:t>s</w:t>
      </w:r>
      <w:r w:rsidRPr="00AE01FF">
        <w:t xml:space="preserve"> regarding what is revealed to the employer about having a health condition/disability.</w:t>
      </w:r>
    </w:p>
    <w:p w:rsidR="00DD5E7C" w:rsidRDefault="00693DDA" w:rsidP="0059658C">
      <w:pPr>
        <w:pStyle w:val="ListParagraph"/>
        <w:numPr>
          <w:ilvl w:val="1"/>
          <w:numId w:val="1"/>
        </w:numPr>
        <w:ind w:left="142" w:hanging="142"/>
        <w:jc w:val="both"/>
      </w:pPr>
      <w:r>
        <w:rPr>
          <w:b/>
        </w:rPr>
        <w:t>Vocational profiling</w:t>
      </w:r>
      <w:r w:rsidR="00DD5E7C" w:rsidRPr="00AE01FF">
        <w:rPr>
          <w:b/>
        </w:rPr>
        <w:t>:</w:t>
      </w:r>
      <w:r w:rsidR="00DD5E7C" w:rsidRPr="00D20B55">
        <w:t xml:space="preserve"> </w:t>
      </w:r>
      <w:r>
        <w:t>All clients will receive a co-produced vocational profiling assessment early in support to a timeframe agr</w:t>
      </w:r>
      <w:r w:rsidR="00851615">
        <w:t xml:space="preserve">eed with the SCR programme </w:t>
      </w:r>
      <w:r w:rsidR="00F9470F">
        <w:t>team. The</w:t>
      </w:r>
      <w:r w:rsidRPr="00AE01FF">
        <w:t xml:space="preserve"> resulting vocational profile form</w:t>
      </w:r>
      <w:r w:rsidR="00851615">
        <w:t xml:space="preserve"> captures a holistic understanding of the client’s circumstances, strengths, aspirations and needs across e.g. employment, health, personal and wider factors.  </w:t>
      </w:r>
      <w:r w:rsidR="00DD5E7C" w:rsidRPr="00AE01FF">
        <w:t xml:space="preserve">The initial assessment </w:t>
      </w:r>
      <w:r w:rsidR="00516FC6">
        <w:t>will inform an action plan both are</w:t>
      </w:r>
      <w:r w:rsidR="00DD5E7C" w:rsidRPr="00AE01FF">
        <w:t xml:space="preserve"> liv</w:t>
      </w:r>
      <w:r w:rsidR="00851615">
        <w:t>e</w:t>
      </w:r>
      <w:r w:rsidR="00DD5E7C" w:rsidRPr="00AE01FF">
        <w:t xml:space="preserve"> document</w:t>
      </w:r>
      <w:r w:rsidR="003E5113">
        <w:t>s</w:t>
      </w:r>
      <w:r w:rsidR="00DD5E7C" w:rsidRPr="00AE01FF">
        <w:t xml:space="preserve"> and updated over time</w:t>
      </w:r>
      <w:r w:rsidR="00851615">
        <w:t xml:space="preserve"> during their support journey.  </w:t>
      </w:r>
      <w:r w:rsidR="00DD5E7C" w:rsidRPr="00AE01FF">
        <w:t>Sources of information include the service user, and with their permission, clinicians and clinical records, family members and previous employers.</w:t>
      </w:r>
    </w:p>
    <w:p w:rsidR="00DD5E7C" w:rsidRPr="00AE01FF" w:rsidRDefault="00516FC6" w:rsidP="0059658C">
      <w:pPr>
        <w:pStyle w:val="ListParagraph"/>
        <w:numPr>
          <w:ilvl w:val="1"/>
          <w:numId w:val="1"/>
        </w:numPr>
        <w:ind w:left="142" w:hanging="142"/>
        <w:jc w:val="both"/>
      </w:pPr>
      <w:bookmarkStart w:id="106" w:name="_Toc489521344"/>
      <w:r w:rsidRPr="003366D0">
        <w:rPr>
          <w:b/>
        </w:rPr>
        <w:t>Place then train model including ra</w:t>
      </w:r>
      <w:r w:rsidR="00DD5E7C" w:rsidRPr="003366D0">
        <w:rPr>
          <w:b/>
        </w:rPr>
        <w:t>pid job search for competitive job</w:t>
      </w:r>
      <w:r w:rsidR="00851615" w:rsidRPr="003366D0">
        <w:rPr>
          <w:b/>
        </w:rPr>
        <w:t>s</w:t>
      </w:r>
      <w:r w:rsidR="00DD5E7C" w:rsidRPr="00E7588F">
        <w:t>:</w:t>
      </w:r>
      <w:r w:rsidRPr="00E7588F">
        <w:t xml:space="preserve">  Active employment support, job search and application occur from day one and alongside employment, health and wider support.</w:t>
      </w:r>
      <w:r w:rsidR="00DD5E7C" w:rsidRPr="00AE01FF">
        <w:t xml:space="preserve"> Initial employment assessment and first job application/face-to-face employer contact by the service user or the </w:t>
      </w:r>
      <w:r w:rsidR="008D59CF">
        <w:t>IPS Employment Specialist</w:t>
      </w:r>
      <w:r w:rsidR="00DD5E7C" w:rsidRPr="00AE01FF">
        <w:t xml:space="preserve"> about a competitive job occurs within 30 days (one month) after programme entry.</w:t>
      </w:r>
      <w:bookmarkStart w:id="107" w:name="_Toc489521345"/>
      <w:bookmarkEnd w:id="106"/>
    </w:p>
    <w:p w:rsidR="00DD5E7C" w:rsidRPr="00AE01FF" w:rsidRDefault="00DD5E7C" w:rsidP="0059658C">
      <w:pPr>
        <w:pStyle w:val="ListParagraph"/>
        <w:numPr>
          <w:ilvl w:val="1"/>
          <w:numId w:val="1"/>
        </w:numPr>
        <w:ind w:left="142" w:hanging="142"/>
        <w:jc w:val="both"/>
      </w:pPr>
      <w:r w:rsidRPr="00AE01FF">
        <w:rPr>
          <w:b/>
        </w:rPr>
        <w:t xml:space="preserve">Individualised job </w:t>
      </w:r>
      <w:r w:rsidR="00F9470F" w:rsidRPr="00AE01FF">
        <w:rPr>
          <w:b/>
        </w:rPr>
        <w:t>searches</w:t>
      </w:r>
      <w:r w:rsidRPr="00AE01FF">
        <w:rPr>
          <w:b/>
        </w:rPr>
        <w:t>:</w:t>
      </w:r>
      <w:r w:rsidRPr="00AE01FF">
        <w:t xml:space="preserve"> </w:t>
      </w:r>
      <w:r w:rsidR="008D59CF">
        <w:t>IPS Employment Specialist</w:t>
      </w:r>
      <w:r w:rsidRPr="00AE01FF">
        <w:t>s</w:t>
      </w:r>
      <w:r w:rsidR="00A7299D">
        <w:t xml:space="preserve"> </w:t>
      </w:r>
      <w:r w:rsidR="00847DBB">
        <w:t>proactively support</w:t>
      </w:r>
      <w:r w:rsidRPr="00AE01FF">
        <w:t xml:space="preserve"> employer contacts</w:t>
      </w:r>
      <w:r w:rsidR="0058430A">
        <w:t xml:space="preserve"> to source new vacancies both directly and </w:t>
      </w:r>
      <w:r w:rsidR="00847DBB">
        <w:t>working with existing employment engagement mechanisms in each area</w:t>
      </w:r>
      <w:r w:rsidR="0058430A">
        <w:t xml:space="preserve"> as appropriate.  Job matches should be </w:t>
      </w:r>
      <w:r w:rsidRPr="00AE01FF">
        <w:t xml:space="preserve">based on service user preferences relating to what each person enjoys and their personal goals and needs </w:t>
      </w:r>
      <w:r w:rsidR="003366D0">
        <w:t>(</w:t>
      </w:r>
      <w:r w:rsidRPr="00AE01FF">
        <w:t>including</w:t>
      </w:r>
      <w:r w:rsidR="00847DBB">
        <w:t>,</w:t>
      </w:r>
      <w:r w:rsidRPr="00AE01FF">
        <w:t xml:space="preserve"> experience, ability, health etc</w:t>
      </w:r>
      <w:r w:rsidR="00B33492">
        <w:t>.</w:t>
      </w:r>
      <w:r w:rsidR="003366D0">
        <w:t>) and understanding of employer needs and</w:t>
      </w:r>
      <w:r w:rsidRPr="00AE01FF">
        <w:t xml:space="preserve"> </w:t>
      </w:r>
      <w:r w:rsidR="00B53254">
        <w:t xml:space="preserve">vacancy roles, </w:t>
      </w:r>
      <w:r w:rsidRPr="00AE01FF">
        <w:t>rather than those jobs that are most immediately available.</w:t>
      </w:r>
      <w:r w:rsidR="003366D0">
        <w:t xml:space="preserve">  </w:t>
      </w:r>
      <w:r w:rsidR="00847DBB">
        <w:t>The action plan is</w:t>
      </w:r>
      <w:r w:rsidRPr="00AE01FF">
        <w:t xml:space="preserve"> updated with information from the vocational</w:t>
      </w:r>
      <w:r w:rsidR="00847DBB">
        <w:t xml:space="preserve"> profiling assessment </w:t>
      </w:r>
      <w:r w:rsidRPr="00AE01FF">
        <w:t>and new job/educational experiences.</w:t>
      </w:r>
      <w:bookmarkStart w:id="108" w:name="_Toc489521346"/>
      <w:bookmarkEnd w:id="107"/>
    </w:p>
    <w:p w:rsidR="00DD5E7C" w:rsidRPr="00AE01FF" w:rsidRDefault="00DD5E7C" w:rsidP="0059658C">
      <w:pPr>
        <w:pStyle w:val="ListParagraph"/>
        <w:numPr>
          <w:ilvl w:val="1"/>
          <w:numId w:val="1"/>
        </w:numPr>
        <w:ind w:left="142" w:hanging="142"/>
        <w:jc w:val="both"/>
      </w:pPr>
      <w:r w:rsidRPr="00AE01FF">
        <w:rPr>
          <w:b/>
        </w:rPr>
        <w:t xml:space="preserve">Job development - </w:t>
      </w:r>
      <w:r w:rsidR="00C059C6">
        <w:rPr>
          <w:b/>
        </w:rPr>
        <w:t>f</w:t>
      </w:r>
      <w:r w:rsidRPr="00AE01FF">
        <w:rPr>
          <w:b/>
        </w:rPr>
        <w:t>requent employer contact:</w:t>
      </w:r>
      <w:r w:rsidRPr="00AE01FF">
        <w:t xml:space="preserve"> Each </w:t>
      </w:r>
      <w:r w:rsidR="008D59CF">
        <w:t>IPS Employment Specialist</w:t>
      </w:r>
      <w:r w:rsidRPr="00AE01FF">
        <w:t xml:space="preserve"> has designated time each week for </w:t>
      </w:r>
      <w:r w:rsidR="007C2383">
        <w:t xml:space="preserve">direct </w:t>
      </w:r>
      <w:bookmarkEnd w:id="108"/>
      <w:r w:rsidR="007C2383">
        <w:t>employer engagement and engagement with existing employer engagement mechanisms.</w:t>
      </w:r>
    </w:p>
    <w:p w:rsidR="00DD5E7C" w:rsidRPr="00AE01FF" w:rsidRDefault="00DD5E7C" w:rsidP="0059658C">
      <w:pPr>
        <w:pStyle w:val="ListParagraph"/>
        <w:numPr>
          <w:ilvl w:val="1"/>
          <w:numId w:val="1"/>
        </w:numPr>
        <w:ind w:left="142" w:hanging="142"/>
        <w:jc w:val="both"/>
      </w:pPr>
      <w:r w:rsidRPr="00AE01FF">
        <w:rPr>
          <w:b/>
        </w:rPr>
        <w:t>Identify employment opportunities:</w:t>
      </w:r>
      <w:r>
        <w:t xml:space="preserve"> </w:t>
      </w:r>
      <w:r w:rsidR="008D59CF">
        <w:t>IPS Employment Specialist</w:t>
      </w:r>
      <w:r w:rsidRPr="00AE01FF">
        <w:t xml:space="preserve">s within a team share information about employment opportunities in the area.  </w:t>
      </w:r>
    </w:p>
    <w:p w:rsidR="00DD5E7C" w:rsidRDefault="00DD5E7C" w:rsidP="0059658C">
      <w:pPr>
        <w:pStyle w:val="ListParagraph"/>
        <w:numPr>
          <w:ilvl w:val="0"/>
          <w:numId w:val="122"/>
        </w:numPr>
        <w:ind w:left="142" w:hanging="142"/>
        <w:jc w:val="both"/>
      </w:pPr>
      <w:r w:rsidRPr="00AE01FF">
        <w:rPr>
          <w:b/>
        </w:rPr>
        <w:t>Diversity of job types:</w:t>
      </w:r>
      <w:r w:rsidRPr="001C0D75">
        <w:t xml:space="preserve"> </w:t>
      </w:r>
      <w:r w:rsidR="008D59CF">
        <w:t>IPS Employment Specialist</w:t>
      </w:r>
      <w:r w:rsidRPr="001C0D75">
        <w:t>s assist service users in obtaining different types of jobs</w:t>
      </w:r>
      <w:r w:rsidR="00B53254">
        <w:t xml:space="preserve"> as appropriate.</w:t>
      </w:r>
    </w:p>
    <w:p w:rsidR="00DD5E7C" w:rsidRDefault="00DD5E7C" w:rsidP="0059658C">
      <w:pPr>
        <w:pStyle w:val="ListParagraph"/>
        <w:numPr>
          <w:ilvl w:val="0"/>
          <w:numId w:val="122"/>
        </w:numPr>
        <w:ind w:left="142" w:hanging="142"/>
        <w:jc w:val="both"/>
      </w:pPr>
      <w:r w:rsidRPr="00AE01FF">
        <w:rPr>
          <w:b/>
        </w:rPr>
        <w:t>Diversity of employers:</w:t>
      </w:r>
      <w:r w:rsidRPr="001C0D75">
        <w:t xml:space="preserve"> </w:t>
      </w:r>
      <w:r w:rsidR="008D59CF">
        <w:t>IPS Employment Specialist</w:t>
      </w:r>
      <w:r w:rsidRPr="001C0D75">
        <w:t>s assists clients in obtaining jobs with different employers</w:t>
      </w:r>
      <w:r w:rsidR="00B53254">
        <w:t xml:space="preserve"> as appropriate.</w:t>
      </w:r>
    </w:p>
    <w:p w:rsidR="00DD5E7C" w:rsidRDefault="00DD5E7C" w:rsidP="0059658C">
      <w:pPr>
        <w:pStyle w:val="ListParagraph"/>
        <w:numPr>
          <w:ilvl w:val="0"/>
          <w:numId w:val="122"/>
        </w:numPr>
        <w:ind w:left="142" w:hanging="142"/>
        <w:jc w:val="both"/>
      </w:pPr>
      <w:r w:rsidRPr="00AE01FF">
        <w:rPr>
          <w:b/>
        </w:rPr>
        <w:t>Competitive jobs:</w:t>
      </w:r>
      <w:r w:rsidRPr="001C0D75">
        <w:t xml:space="preserve"> </w:t>
      </w:r>
      <w:r w:rsidR="008D59CF">
        <w:t>IPS Employment Specialist</w:t>
      </w:r>
      <w:r w:rsidRPr="001C0D75">
        <w:t xml:space="preserve">s </w:t>
      </w:r>
      <w:r w:rsidR="002D5F0D">
        <w:t>focus as the employment goal on</w:t>
      </w:r>
      <w:r w:rsidR="002D5F0D" w:rsidRPr="001C0D75">
        <w:t xml:space="preserve"> </w:t>
      </w:r>
      <w:r w:rsidRPr="001C0D75">
        <w:t>competitive job</w:t>
      </w:r>
      <w:r w:rsidR="002D5F0D">
        <w:t>s</w:t>
      </w:r>
      <w:r w:rsidR="005D249B">
        <w:t>, supported as appropriate through voluntary work experience</w:t>
      </w:r>
      <w:r w:rsidR="005E4A02">
        <w:t>,</w:t>
      </w:r>
      <w:r w:rsidR="002D5F0D">
        <w:t xml:space="preserve"> </w:t>
      </w:r>
      <w:r w:rsidRPr="001C0D75">
        <w:t>seasonal work, time limited contract work, apprenticeships</w:t>
      </w:r>
      <w:r w:rsidR="005E4A02">
        <w:t xml:space="preserve"> etc.</w:t>
      </w:r>
      <w:r w:rsidRPr="001C0D75">
        <w:t xml:space="preserve"> </w:t>
      </w:r>
      <w:r w:rsidR="005E4A02">
        <w:t xml:space="preserve"> </w:t>
      </w:r>
      <w:r w:rsidRPr="001C0D75">
        <w:t>Competitive jobs pay at least minimum wage, are jobs that anyone can apply for and are no</w:t>
      </w:r>
      <w:r w:rsidRPr="00F3140D">
        <w:t>t set aside for people with health conditions/disabilities.</w:t>
      </w:r>
    </w:p>
    <w:p w:rsidR="00DD5E7C" w:rsidRPr="00D76115" w:rsidRDefault="00DD5E7C" w:rsidP="0059658C">
      <w:pPr>
        <w:pStyle w:val="ListParagraph"/>
        <w:numPr>
          <w:ilvl w:val="0"/>
          <w:numId w:val="122"/>
        </w:numPr>
        <w:ind w:left="142" w:hanging="142"/>
        <w:jc w:val="both"/>
      </w:pPr>
      <w:r w:rsidRPr="00AE01FF">
        <w:rPr>
          <w:b/>
        </w:rPr>
        <w:t xml:space="preserve">Individualised </w:t>
      </w:r>
      <w:r w:rsidR="005E4A02">
        <w:rPr>
          <w:b/>
        </w:rPr>
        <w:t>in work support</w:t>
      </w:r>
      <w:r w:rsidRPr="00AE01FF">
        <w:rPr>
          <w:b/>
        </w:rPr>
        <w:t>:</w:t>
      </w:r>
      <w:r w:rsidRPr="001C0D75">
        <w:t xml:space="preserve"> Service users receive </w:t>
      </w:r>
      <w:r w:rsidR="005E4A02">
        <w:t>personalised</w:t>
      </w:r>
      <w:r w:rsidRPr="001C0D75">
        <w:t xml:space="preserve"> support for </w:t>
      </w:r>
      <w:r w:rsidR="005E4A02">
        <w:t>sustaining work</w:t>
      </w:r>
      <w:r w:rsidRPr="001C0D75">
        <w:t xml:space="preserve"> are based on the job, their preferences, work history, needs, etc. Support is provided by the</w:t>
      </w:r>
      <w:r w:rsidRPr="00F3140D">
        <w:t xml:space="preserve"> </w:t>
      </w:r>
      <w:r w:rsidR="008D59CF">
        <w:t>IPS Employment Specialist</w:t>
      </w:r>
      <w:r w:rsidR="00D42347">
        <w:t xml:space="preserve"> and, based on informed consent,</w:t>
      </w:r>
      <w:r w:rsidRPr="00F3140D">
        <w:t xml:space="preserve"> others involved in their </w:t>
      </w:r>
      <w:r w:rsidR="00D42347">
        <w:t>support including</w:t>
      </w:r>
      <w:r w:rsidRPr="00F3140D">
        <w:t xml:space="preserve"> family, friends,</w:t>
      </w:r>
      <w:r w:rsidR="00D42347">
        <w:t xml:space="preserve"> employer/line manager,</w:t>
      </w:r>
      <w:r w:rsidRPr="00F3140D">
        <w:t xml:space="preserve"> co-workers</w:t>
      </w:r>
      <w:r w:rsidR="00D42347">
        <w:t xml:space="preserve"> and health practitioners</w:t>
      </w:r>
      <w:r w:rsidRPr="00F3140D">
        <w:t xml:space="preserve">. </w:t>
      </w:r>
      <w:r w:rsidR="008D59CF">
        <w:t>IPS Employment Specialist</w:t>
      </w:r>
      <w:r w:rsidRPr="00F3140D">
        <w:t xml:space="preserve"> also provides employer support (e.g., educational information, job accommodations) at the ser</w:t>
      </w:r>
      <w:r w:rsidRPr="00FD0156">
        <w:t xml:space="preserve">vice user’s request. </w:t>
      </w:r>
      <w:r w:rsidR="008D59CF">
        <w:t>IPS Employment Specialist</w:t>
      </w:r>
      <w:r w:rsidRPr="00FD0156">
        <w:t xml:space="preserve"> offers help with career development, i.e. assistance with ed</w:t>
      </w:r>
      <w:r w:rsidRPr="00E41224">
        <w:t>ucation, a more desirable job, or more preferred job duties.</w:t>
      </w:r>
    </w:p>
    <w:p w:rsidR="00DD5E7C" w:rsidRPr="00AE01FF" w:rsidRDefault="00DD5E7C" w:rsidP="0059658C">
      <w:pPr>
        <w:pStyle w:val="ListParagraph"/>
        <w:numPr>
          <w:ilvl w:val="0"/>
          <w:numId w:val="122"/>
        </w:numPr>
        <w:ind w:left="142" w:hanging="142"/>
        <w:jc w:val="both"/>
      </w:pPr>
      <w:bookmarkStart w:id="109" w:name="_Toc489521348"/>
      <w:r w:rsidRPr="00AE01FF">
        <w:rPr>
          <w:b/>
        </w:rPr>
        <w:lastRenderedPageBreak/>
        <w:t>Community-based services:</w:t>
      </w:r>
      <w:r w:rsidRPr="00AE01FF">
        <w:t xml:space="preserve"> Primary and community care settings are community based services </w:t>
      </w:r>
      <w:r w:rsidR="00D42347">
        <w:t xml:space="preserve">and therefore the IPS employment service occurs </w:t>
      </w:r>
      <w:r w:rsidRPr="00AE01FF">
        <w:t>in these or other community locations, based on service user choice and room availability.</w:t>
      </w:r>
      <w:bookmarkEnd w:id="109"/>
      <w:r>
        <w:t xml:space="preserve"> </w:t>
      </w:r>
    </w:p>
    <w:p w:rsidR="00371999" w:rsidRDefault="00DD5E7C" w:rsidP="0059658C">
      <w:pPr>
        <w:pStyle w:val="ListParagraph"/>
        <w:numPr>
          <w:ilvl w:val="0"/>
          <w:numId w:val="122"/>
        </w:numPr>
        <w:ind w:left="142" w:hanging="142"/>
        <w:jc w:val="both"/>
      </w:pPr>
      <w:bookmarkStart w:id="110" w:name="_Toc489521349"/>
      <w:r w:rsidRPr="00AE01FF">
        <w:rPr>
          <w:b/>
        </w:rPr>
        <w:t>Assertive   engagement   and   outreach:</w:t>
      </w:r>
      <w:r w:rsidRPr="00AE01FF">
        <w:t xml:space="preserve"> </w:t>
      </w:r>
      <w:r w:rsidR="00371999">
        <w:t xml:space="preserve">where clients fail to attend </w:t>
      </w:r>
      <w:r w:rsidR="008D59CF">
        <w:t>IPS Employment Specialist</w:t>
      </w:r>
      <w:r w:rsidR="00371999">
        <w:t xml:space="preserve">s actively seek to re-engage clients for up to 12 weeks, at 8 </w:t>
      </w:r>
      <w:r w:rsidR="00F9470F">
        <w:t>weeks’</w:t>
      </w:r>
      <w:r w:rsidR="00371999">
        <w:t xml:space="preserve"> clients are sent a warning note informing them that they will be existed from programme if they do not re-engage.  At 12 weeks, if clients do not re-engage the client is exited.</w:t>
      </w:r>
    </w:p>
    <w:p w:rsidR="00D42347" w:rsidRDefault="00DD5E7C" w:rsidP="0059658C">
      <w:pPr>
        <w:pStyle w:val="ListParagraph"/>
        <w:numPr>
          <w:ilvl w:val="0"/>
          <w:numId w:val="122"/>
        </w:numPr>
        <w:ind w:left="142" w:hanging="142"/>
        <w:jc w:val="both"/>
        <w:rPr>
          <w:i/>
        </w:rPr>
      </w:pPr>
      <w:bookmarkStart w:id="111" w:name="_Toc489521350"/>
      <w:bookmarkEnd w:id="110"/>
      <w:r w:rsidRPr="00D42347">
        <w:rPr>
          <w:b/>
        </w:rPr>
        <w:t>Peer support:</w:t>
      </w:r>
      <w:r>
        <w:t xml:space="preserve"> </w:t>
      </w:r>
      <w:r w:rsidRPr="00AE01FF">
        <w:t>Peer support is promoted</w:t>
      </w:r>
      <w:r w:rsidR="00D42347">
        <w:t xml:space="preserve"> as part of the client’s service</w:t>
      </w:r>
      <w:r w:rsidRPr="00AE01FF">
        <w:t xml:space="preserve"> to provide </w:t>
      </w:r>
      <w:r w:rsidR="00D42347">
        <w:t>clients</w:t>
      </w:r>
      <w:r w:rsidRPr="00AE01FF">
        <w:t xml:space="preserve"> with</w:t>
      </w:r>
      <w:r w:rsidR="00D42347">
        <w:t xml:space="preserve"> group based support as appropriate.</w:t>
      </w:r>
      <w:r w:rsidRPr="00AE01FF">
        <w:t xml:space="preserve"> </w:t>
      </w:r>
      <w:bookmarkEnd w:id="111"/>
    </w:p>
    <w:p w:rsidR="00DD5E7C" w:rsidRDefault="00DD5E7C" w:rsidP="0059658C">
      <w:r>
        <w:br w:type="page"/>
      </w:r>
    </w:p>
    <w:p w:rsidR="00DD5E7C" w:rsidRDefault="00071E55" w:rsidP="0059658C">
      <w:pPr>
        <w:pStyle w:val="Heading1"/>
        <w:numPr>
          <w:ilvl w:val="0"/>
          <w:numId w:val="0"/>
        </w:numPr>
        <w:ind w:left="397" w:hanging="397"/>
      </w:pPr>
      <w:bookmarkStart w:id="112" w:name="_Toc490147849"/>
      <w:bookmarkStart w:id="113" w:name="_Toc491351948"/>
      <w:r>
        <w:lastRenderedPageBreak/>
        <w:t>Appendix 7</w:t>
      </w:r>
      <w:r w:rsidR="00DD5E7C" w:rsidRPr="001A3543">
        <w:t xml:space="preserve"> – </w:t>
      </w:r>
      <w:bookmarkEnd w:id="112"/>
      <w:r>
        <w:t>Client Journey</w:t>
      </w:r>
      <w:bookmarkEnd w:id="113"/>
    </w:p>
    <w:p w:rsidR="00DD5E7C" w:rsidRPr="00C247B8" w:rsidRDefault="00DD5E7C" w:rsidP="0059658C">
      <w:r w:rsidRPr="00752301">
        <w:rPr>
          <w:b/>
          <w:i/>
          <w:noProof/>
          <w:color w:val="000000" w:themeColor="text1"/>
          <w:szCs w:val="24"/>
          <w:lang w:eastAsia="en-GB"/>
        </w:rPr>
        <w:drawing>
          <wp:inline distT="0" distB="0" distL="0" distR="0" wp14:anchorId="0F8B2B67" wp14:editId="690CB827">
            <wp:extent cx="6171611" cy="3485856"/>
            <wp:effectExtent l="19050" t="19050" r="19685" b="196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250599" cy="3530470"/>
                    </a:xfrm>
                    <a:prstGeom prst="rect">
                      <a:avLst/>
                    </a:prstGeom>
                    <a:noFill/>
                    <a:ln>
                      <a:solidFill>
                        <a:schemeClr val="tx1"/>
                      </a:solidFill>
                    </a:ln>
                  </pic:spPr>
                </pic:pic>
              </a:graphicData>
            </a:graphic>
          </wp:inline>
        </w:drawing>
      </w:r>
    </w:p>
    <w:p w:rsidR="00DD5E7C" w:rsidRDefault="00DD5E7C" w:rsidP="0059658C">
      <w:pPr>
        <w:spacing w:after="120" w:line="240" w:lineRule="auto"/>
        <w:rPr>
          <w:rFonts w:cs="Arial"/>
          <w:b/>
        </w:rPr>
      </w:pPr>
    </w:p>
    <w:p w:rsidR="00DD5E7C" w:rsidRPr="00F14501" w:rsidRDefault="00DD5E7C" w:rsidP="0059658C">
      <w:pPr>
        <w:spacing w:after="120" w:line="240" w:lineRule="auto"/>
        <w:rPr>
          <w:rFonts w:cs="Arial"/>
        </w:rPr>
      </w:pPr>
    </w:p>
    <w:p w:rsidR="00DD5E7C" w:rsidRPr="00F14501" w:rsidRDefault="00DD5E7C" w:rsidP="0059658C">
      <w:pPr>
        <w:spacing w:after="120" w:line="240" w:lineRule="auto"/>
        <w:rPr>
          <w:rFonts w:cs="Arial"/>
        </w:rPr>
      </w:pPr>
    </w:p>
    <w:p w:rsidR="00DD5E7C" w:rsidRPr="00F14501" w:rsidRDefault="00DD5E7C" w:rsidP="0059658C">
      <w:pPr>
        <w:spacing w:after="120" w:line="240" w:lineRule="auto"/>
        <w:rPr>
          <w:rFonts w:cs="Arial"/>
        </w:rPr>
      </w:pPr>
    </w:p>
    <w:p w:rsidR="00DD5E7C" w:rsidRPr="00F14501" w:rsidRDefault="00DD5E7C" w:rsidP="0059658C">
      <w:pPr>
        <w:spacing w:after="120" w:line="240" w:lineRule="auto"/>
        <w:rPr>
          <w:rFonts w:cs="Arial"/>
        </w:rPr>
      </w:pPr>
    </w:p>
    <w:p w:rsidR="00DD5E7C" w:rsidRPr="00F14501" w:rsidRDefault="00DD5E7C" w:rsidP="0059658C">
      <w:pPr>
        <w:spacing w:after="120" w:line="240" w:lineRule="auto"/>
        <w:rPr>
          <w:rFonts w:cs="Arial"/>
        </w:rPr>
      </w:pPr>
    </w:p>
    <w:p w:rsidR="00DD5E7C" w:rsidRPr="00F14501" w:rsidRDefault="00DD5E7C" w:rsidP="0059658C">
      <w:pPr>
        <w:spacing w:after="120" w:line="240" w:lineRule="auto"/>
        <w:rPr>
          <w:rFonts w:cs="Arial"/>
        </w:rPr>
      </w:pPr>
    </w:p>
    <w:p w:rsidR="00DD5E7C" w:rsidRPr="00F14501" w:rsidRDefault="00DD5E7C" w:rsidP="0059658C">
      <w:pPr>
        <w:spacing w:after="120" w:line="240" w:lineRule="auto"/>
        <w:rPr>
          <w:rFonts w:cs="Arial"/>
        </w:rPr>
      </w:pPr>
    </w:p>
    <w:p w:rsidR="003A30B9" w:rsidRPr="00D20B55" w:rsidRDefault="00DD5E7C" w:rsidP="0059658C">
      <w:pPr>
        <w:spacing w:after="120" w:line="240" w:lineRule="auto"/>
      </w:pPr>
      <w:r>
        <w:rPr>
          <w:rFonts w:cs="Arial"/>
          <w:b/>
        </w:rPr>
        <w:br w:type="textWrapping" w:clear="all"/>
      </w:r>
      <w:bookmarkStart w:id="114" w:name="_Toc489520181"/>
      <w:bookmarkStart w:id="115" w:name="_Toc489521128"/>
      <w:bookmarkStart w:id="116" w:name="_Toc489521179"/>
      <w:bookmarkStart w:id="117" w:name="_Toc489521271"/>
      <w:bookmarkStart w:id="118" w:name="_Toc489521343"/>
      <w:bookmarkEnd w:id="114"/>
      <w:bookmarkEnd w:id="115"/>
      <w:bookmarkEnd w:id="116"/>
      <w:bookmarkEnd w:id="117"/>
      <w:bookmarkEnd w:id="118"/>
    </w:p>
    <w:sectPr w:rsidR="003A30B9" w:rsidRPr="00D20B55" w:rsidSect="0059658C">
      <w:pgSz w:w="11906" w:h="16838" w:code="9"/>
      <w:pgMar w:top="851" w:right="1276" w:bottom="851" w:left="1134" w:header="851" w:footer="37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A1E" w:rsidRDefault="003C1A1E" w:rsidP="000E6BF9">
      <w:pPr>
        <w:spacing w:after="0" w:line="240" w:lineRule="auto"/>
      </w:pPr>
      <w:r>
        <w:separator/>
      </w:r>
    </w:p>
    <w:p w:rsidR="003C1A1E" w:rsidRDefault="003C1A1E"/>
    <w:p w:rsidR="003C1A1E" w:rsidRDefault="003C1A1E"/>
  </w:endnote>
  <w:endnote w:type="continuationSeparator" w:id="0">
    <w:p w:rsidR="003C1A1E" w:rsidRDefault="003C1A1E" w:rsidP="000E6BF9">
      <w:pPr>
        <w:spacing w:after="0" w:line="240" w:lineRule="auto"/>
      </w:pPr>
      <w:r>
        <w:continuationSeparator/>
      </w:r>
    </w:p>
    <w:p w:rsidR="003C1A1E" w:rsidRDefault="003C1A1E"/>
    <w:p w:rsidR="003C1A1E" w:rsidRDefault="003C1A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C2E" w:rsidRDefault="00226C2E" w:rsidP="00896EA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26C2E" w:rsidRDefault="00226C2E" w:rsidP="00E4206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C2E" w:rsidRDefault="00226C2E" w:rsidP="00896EA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839AC">
      <w:rPr>
        <w:rStyle w:val="PageNumber"/>
        <w:noProof/>
      </w:rPr>
      <w:t>2</w:t>
    </w:r>
    <w:r>
      <w:rPr>
        <w:rStyle w:val="PageNumber"/>
      </w:rPr>
      <w:fldChar w:fldCharType="end"/>
    </w:r>
  </w:p>
  <w:p w:rsidR="00226C2E" w:rsidRPr="00911D11" w:rsidRDefault="00226C2E" w:rsidP="0059658C">
    <w:pPr>
      <w:pStyle w:val="Footer"/>
      <w:ind w:right="360"/>
      <w:rPr>
        <w:sz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C2E" w:rsidRPr="0078380D" w:rsidRDefault="00226C2E">
    <w:pPr>
      <w:pStyle w:val="Footer"/>
      <w:rPr>
        <w:sz w:val="14"/>
      </w:rPr>
    </w:pPr>
    <w:r w:rsidRPr="0078380D">
      <w:rPr>
        <w:sz w:val="14"/>
      </w:rPr>
      <w:fldChar w:fldCharType="begin"/>
    </w:r>
    <w:r w:rsidRPr="0078380D">
      <w:rPr>
        <w:sz w:val="14"/>
      </w:rPr>
      <w:instrText xml:space="preserve"> FILENAME \p \* MERGEFORMAT </w:instrText>
    </w:r>
    <w:r w:rsidRPr="0078380D">
      <w:rPr>
        <w:sz w:val="14"/>
      </w:rPr>
      <w:fldChar w:fldCharType="separate"/>
    </w:r>
    <w:r w:rsidR="00E22113" w:rsidRPr="00E22113">
      <w:rPr>
        <w:noProof/>
        <w:sz w:val="16"/>
      </w:rPr>
      <w:t>N:\Policy_Development</w:t>
    </w:r>
    <w:r w:rsidR="00E22113">
      <w:rPr>
        <w:noProof/>
        <w:sz w:val="14"/>
      </w:rPr>
      <w:t>\</w:t>
    </w:r>
    <w:r w:rsidR="00E22113" w:rsidRPr="00E22113">
      <w:rPr>
        <w:noProof/>
        <w:sz w:val="16"/>
      </w:rPr>
      <w:t>Development</w:t>
    </w:r>
    <w:r w:rsidR="00E22113">
      <w:rPr>
        <w:noProof/>
        <w:sz w:val="14"/>
      </w:rPr>
      <w:t>_Commissioning\Labour Market\Employment Devo General Folder\Procurement\trial\Specification v_25.docx</w:t>
    </w:r>
    <w:r w:rsidRPr="0078380D">
      <w:rPr>
        <w:sz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A1E" w:rsidRDefault="003C1A1E" w:rsidP="000E6BF9">
      <w:pPr>
        <w:spacing w:after="0" w:line="240" w:lineRule="auto"/>
      </w:pPr>
      <w:r>
        <w:separator/>
      </w:r>
    </w:p>
    <w:p w:rsidR="003C1A1E" w:rsidRDefault="003C1A1E"/>
    <w:p w:rsidR="003C1A1E" w:rsidRDefault="003C1A1E"/>
  </w:footnote>
  <w:footnote w:type="continuationSeparator" w:id="0">
    <w:p w:rsidR="003C1A1E" w:rsidRDefault="003C1A1E" w:rsidP="000E6BF9">
      <w:pPr>
        <w:spacing w:after="0" w:line="240" w:lineRule="auto"/>
      </w:pPr>
      <w:r>
        <w:continuationSeparator/>
      </w:r>
    </w:p>
    <w:p w:rsidR="003C1A1E" w:rsidRDefault="003C1A1E"/>
    <w:p w:rsidR="003C1A1E" w:rsidRDefault="003C1A1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D49B9"/>
    <w:multiLevelType w:val="multilevel"/>
    <w:tmpl w:val="3AD2EBD6"/>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Roman"/>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28B3298"/>
    <w:multiLevelType w:val="hybridMultilevel"/>
    <w:tmpl w:val="47005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E37D1E"/>
    <w:multiLevelType w:val="multilevel"/>
    <w:tmpl w:val="35EE33E4"/>
    <w:lvl w:ilvl="0">
      <w:start w:val="1"/>
      <w:numFmt w:val="decimal"/>
      <w:lvlText w:val="%1."/>
      <w:lvlJc w:val="left"/>
      <w:pPr>
        <w:ind w:left="397" w:hanging="397"/>
      </w:pPr>
      <w:rPr>
        <w:rFonts w:hint="default"/>
        <w:b/>
      </w:rPr>
    </w:lvl>
    <w:lvl w:ilvl="1">
      <w:start w:val="1"/>
      <w:numFmt w:val="bullet"/>
      <w:lvlText w:val=""/>
      <w:lvlJc w:val="left"/>
      <w:pPr>
        <w:ind w:left="680" w:hanging="680"/>
      </w:pPr>
      <w:rPr>
        <w:rFonts w:ascii="Symbol" w:hAnsi="Symbol" w:hint="default"/>
        <w:b w:val="0"/>
      </w:rPr>
    </w:lvl>
    <w:lvl w:ilvl="2">
      <w:start w:val="1"/>
      <w:numFmt w:val="lowerRoman"/>
      <w:lvlText w:val="%3."/>
      <w:lvlJc w:val="left"/>
      <w:pPr>
        <w:ind w:left="1418"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5177795"/>
    <w:multiLevelType w:val="hybridMultilevel"/>
    <w:tmpl w:val="BB4E19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58F6C6E"/>
    <w:multiLevelType w:val="hybridMultilevel"/>
    <w:tmpl w:val="ECA03B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6883911"/>
    <w:multiLevelType w:val="hybridMultilevel"/>
    <w:tmpl w:val="DCE261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07DA6515"/>
    <w:multiLevelType w:val="hybridMultilevel"/>
    <w:tmpl w:val="5FC46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9C0436A"/>
    <w:multiLevelType w:val="multilevel"/>
    <w:tmpl w:val="330E1ED8"/>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0DC74CBE"/>
    <w:multiLevelType w:val="hybridMultilevel"/>
    <w:tmpl w:val="CDAAA4C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10C3863"/>
    <w:multiLevelType w:val="hybridMultilevel"/>
    <w:tmpl w:val="B43039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1242339B"/>
    <w:multiLevelType w:val="hybridMultilevel"/>
    <w:tmpl w:val="217E640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nsid w:val="12CD7297"/>
    <w:multiLevelType w:val="multilevel"/>
    <w:tmpl w:val="CDFE407A"/>
    <w:lvl w:ilvl="0">
      <w:start w:val="1"/>
      <w:numFmt w:val="decimal"/>
      <w:lvlText w:val="%1."/>
      <w:lvlJc w:val="left"/>
      <w:pPr>
        <w:ind w:left="397" w:hanging="397"/>
      </w:pPr>
      <w:rPr>
        <w:rFonts w:hint="default"/>
        <w:b/>
      </w:rPr>
    </w:lvl>
    <w:lvl w:ilvl="1">
      <w:start w:val="1"/>
      <w:numFmt w:val="bullet"/>
      <w:pStyle w:val="ListParagraph"/>
      <w:lvlText w:val=""/>
      <w:lvlJc w:val="left"/>
      <w:pPr>
        <w:ind w:left="680" w:hanging="680"/>
      </w:pPr>
      <w:rPr>
        <w:rFonts w:ascii="Symbol" w:hAnsi="Symbol" w:hint="default"/>
        <w:b w:val="0"/>
      </w:rPr>
    </w:lvl>
    <w:lvl w:ilvl="2">
      <w:start w:val="1"/>
      <w:numFmt w:val="lowerRoman"/>
      <w:lvlText w:val="%3."/>
      <w:lvlJc w:val="left"/>
      <w:pPr>
        <w:ind w:left="1418"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3845E1E"/>
    <w:multiLevelType w:val="hybridMultilevel"/>
    <w:tmpl w:val="C01477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3A55DD3"/>
    <w:multiLevelType w:val="multilevel"/>
    <w:tmpl w:val="122A3C58"/>
    <w:lvl w:ilvl="0">
      <w:start w:val="6"/>
      <w:numFmt w:val="lowerRoman"/>
      <w:lvlText w:val="%1."/>
      <w:lvlJc w:val="left"/>
      <w:pPr>
        <w:ind w:left="397" w:hanging="397"/>
      </w:pPr>
      <w:rPr>
        <w:rFonts w:hint="default"/>
        <w:b/>
      </w:rPr>
    </w:lvl>
    <w:lvl w:ilvl="1">
      <w:start w:val="1"/>
      <w:numFmt w:val="decimal"/>
      <w:lvlText w:val="%1.%2."/>
      <w:lvlJc w:val="left"/>
      <w:pPr>
        <w:ind w:left="680" w:hanging="680"/>
      </w:pPr>
      <w:rPr>
        <w:rFonts w:ascii="Arial" w:hAnsi="Arial" w:cs="Arial" w:hint="default"/>
        <w:b w:val="0"/>
      </w:rPr>
    </w:lvl>
    <w:lvl w:ilvl="2">
      <w:start w:val="1"/>
      <w:numFmt w:val="bullet"/>
      <w:lvlText w:val=""/>
      <w:lvlJc w:val="left"/>
      <w:pPr>
        <w:ind w:left="1418" w:hanging="567"/>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13EF6AC5"/>
    <w:multiLevelType w:val="hybridMultilevel"/>
    <w:tmpl w:val="AEC2DA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4955829"/>
    <w:multiLevelType w:val="hybridMultilevel"/>
    <w:tmpl w:val="A71C56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nsid w:val="14A12216"/>
    <w:multiLevelType w:val="hybridMultilevel"/>
    <w:tmpl w:val="A8682178"/>
    <w:lvl w:ilvl="0" w:tplc="C70CB386">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51F7D63"/>
    <w:multiLevelType w:val="multilevel"/>
    <w:tmpl w:val="125E0726"/>
    <w:lvl w:ilvl="0">
      <w:start w:val="1"/>
      <w:numFmt w:val="decimal"/>
      <w:lvlText w:val="%1."/>
      <w:lvlJc w:val="left"/>
      <w:pPr>
        <w:ind w:left="397" w:hanging="397"/>
      </w:pPr>
      <w:rPr>
        <w:rFonts w:hint="default"/>
        <w:b/>
      </w:rPr>
    </w:lvl>
    <w:lvl w:ilvl="1">
      <w:start w:val="1"/>
      <w:numFmt w:val="bullet"/>
      <w:lvlText w:val=""/>
      <w:lvlJc w:val="left"/>
      <w:pPr>
        <w:ind w:left="680" w:hanging="680"/>
      </w:pPr>
      <w:rPr>
        <w:rFonts w:ascii="Symbol" w:hAnsi="Symbol" w:hint="default"/>
        <w:b w:val="0"/>
      </w:rPr>
    </w:lvl>
    <w:lvl w:ilvl="2">
      <w:start w:val="1"/>
      <w:numFmt w:val="lowerRoman"/>
      <w:lvlText w:val="%3."/>
      <w:lvlJc w:val="left"/>
      <w:pPr>
        <w:ind w:left="1418"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153F4BCD"/>
    <w:multiLevelType w:val="hybridMultilevel"/>
    <w:tmpl w:val="4934B9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16D47BE6"/>
    <w:multiLevelType w:val="hybridMultilevel"/>
    <w:tmpl w:val="D9A2BA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17972D5F"/>
    <w:multiLevelType w:val="hybridMultilevel"/>
    <w:tmpl w:val="90DCE4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182E63EB"/>
    <w:multiLevelType w:val="hybridMultilevel"/>
    <w:tmpl w:val="7D42D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186A50D6"/>
    <w:multiLevelType w:val="multilevel"/>
    <w:tmpl w:val="8CCCDA3E"/>
    <w:lvl w:ilvl="0">
      <w:start w:val="1"/>
      <w:numFmt w:val="decimal"/>
      <w:lvlText w:val="%1."/>
      <w:lvlJc w:val="left"/>
      <w:pPr>
        <w:ind w:left="397" w:hanging="397"/>
      </w:pPr>
      <w:rPr>
        <w:rFonts w:hint="default"/>
        <w:b/>
      </w:rPr>
    </w:lvl>
    <w:lvl w:ilvl="1">
      <w:start w:val="2"/>
      <w:numFmt w:val="decimal"/>
      <w:lvlText w:val="%1.%2."/>
      <w:lvlJc w:val="left"/>
      <w:pPr>
        <w:ind w:left="680" w:hanging="680"/>
      </w:pPr>
      <w:rPr>
        <w:rFonts w:ascii="Arial" w:hAnsi="Arial" w:cs="Arial" w:hint="default"/>
        <w:b w:val="0"/>
      </w:rPr>
    </w:lvl>
    <w:lvl w:ilvl="2">
      <w:start w:val="1"/>
      <w:numFmt w:val="lowerRoman"/>
      <w:lvlText w:val="%3."/>
      <w:lvlJc w:val="left"/>
      <w:pPr>
        <w:ind w:left="1418"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19421DBD"/>
    <w:multiLevelType w:val="multilevel"/>
    <w:tmpl w:val="0300944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1A9503D2"/>
    <w:multiLevelType w:val="multilevel"/>
    <w:tmpl w:val="613833D4"/>
    <w:lvl w:ilvl="0">
      <w:start w:val="6"/>
      <w:numFmt w:val="decimal"/>
      <w:lvlText w:val="%1."/>
      <w:lvlJc w:val="left"/>
      <w:pPr>
        <w:ind w:left="360" w:hanging="360"/>
      </w:pPr>
      <w:rPr>
        <w:rFonts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1AC22818"/>
    <w:multiLevelType w:val="hybridMultilevel"/>
    <w:tmpl w:val="C256F2A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1AE33A9B"/>
    <w:multiLevelType w:val="multilevel"/>
    <w:tmpl w:val="EFE6EDC0"/>
    <w:lvl w:ilvl="0">
      <w:start w:val="1"/>
      <w:numFmt w:val="lowerRoman"/>
      <w:lvlText w:val="%1."/>
      <w:lvlJc w:val="left"/>
      <w:pPr>
        <w:ind w:left="397" w:hanging="397"/>
      </w:pPr>
      <w:rPr>
        <w:rFonts w:hint="default"/>
        <w:b w:val="0"/>
      </w:rPr>
    </w:lvl>
    <w:lvl w:ilvl="1">
      <w:start w:val="1"/>
      <w:numFmt w:val="decimal"/>
      <w:lvlText w:val="%1.%2."/>
      <w:lvlJc w:val="left"/>
      <w:pPr>
        <w:ind w:left="680" w:hanging="680"/>
      </w:pPr>
      <w:rPr>
        <w:rFonts w:ascii="Arial" w:hAnsi="Arial" w:cs="Arial" w:hint="default"/>
        <w:b w:val="0"/>
      </w:rPr>
    </w:lvl>
    <w:lvl w:ilvl="2">
      <w:start w:val="1"/>
      <w:numFmt w:val="lowerRoman"/>
      <w:lvlText w:val="%3."/>
      <w:lvlJc w:val="left"/>
      <w:pPr>
        <w:ind w:left="1418"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1CBC0C20"/>
    <w:multiLevelType w:val="multilevel"/>
    <w:tmpl w:val="B6C4EDD4"/>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1CF77544"/>
    <w:multiLevelType w:val="hybridMultilevel"/>
    <w:tmpl w:val="B7802FB2"/>
    <w:lvl w:ilvl="0" w:tplc="3A727456">
      <w:start w:val="1"/>
      <w:numFmt w:val="decimal"/>
      <w:lvlText w:val="%1."/>
      <w:lvlJc w:val="left"/>
      <w:pPr>
        <w:tabs>
          <w:tab w:val="num" w:pos="720"/>
        </w:tabs>
        <w:ind w:left="720" w:hanging="360"/>
      </w:pPr>
    </w:lvl>
    <w:lvl w:ilvl="1" w:tplc="9844E9FC" w:tentative="1">
      <w:start w:val="1"/>
      <w:numFmt w:val="decimal"/>
      <w:lvlText w:val="%2."/>
      <w:lvlJc w:val="left"/>
      <w:pPr>
        <w:tabs>
          <w:tab w:val="num" w:pos="1440"/>
        </w:tabs>
        <w:ind w:left="1440" w:hanging="360"/>
      </w:pPr>
    </w:lvl>
    <w:lvl w:ilvl="2" w:tplc="2304C0A4" w:tentative="1">
      <w:start w:val="1"/>
      <w:numFmt w:val="decimal"/>
      <w:lvlText w:val="%3."/>
      <w:lvlJc w:val="left"/>
      <w:pPr>
        <w:tabs>
          <w:tab w:val="num" w:pos="2160"/>
        </w:tabs>
        <w:ind w:left="2160" w:hanging="360"/>
      </w:pPr>
    </w:lvl>
    <w:lvl w:ilvl="3" w:tplc="EAEE6122" w:tentative="1">
      <w:start w:val="1"/>
      <w:numFmt w:val="decimal"/>
      <w:lvlText w:val="%4."/>
      <w:lvlJc w:val="left"/>
      <w:pPr>
        <w:tabs>
          <w:tab w:val="num" w:pos="2880"/>
        </w:tabs>
        <w:ind w:left="2880" w:hanging="360"/>
      </w:pPr>
    </w:lvl>
    <w:lvl w:ilvl="4" w:tplc="E79270AA" w:tentative="1">
      <w:start w:val="1"/>
      <w:numFmt w:val="decimal"/>
      <w:lvlText w:val="%5."/>
      <w:lvlJc w:val="left"/>
      <w:pPr>
        <w:tabs>
          <w:tab w:val="num" w:pos="3600"/>
        </w:tabs>
        <w:ind w:left="3600" w:hanging="360"/>
      </w:pPr>
    </w:lvl>
    <w:lvl w:ilvl="5" w:tplc="B94AC0E8" w:tentative="1">
      <w:start w:val="1"/>
      <w:numFmt w:val="decimal"/>
      <w:lvlText w:val="%6."/>
      <w:lvlJc w:val="left"/>
      <w:pPr>
        <w:tabs>
          <w:tab w:val="num" w:pos="4320"/>
        </w:tabs>
        <w:ind w:left="4320" w:hanging="360"/>
      </w:pPr>
    </w:lvl>
    <w:lvl w:ilvl="6" w:tplc="3F040604" w:tentative="1">
      <w:start w:val="1"/>
      <w:numFmt w:val="decimal"/>
      <w:lvlText w:val="%7."/>
      <w:lvlJc w:val="left"/>
      <w:pPr>
        <w:tabs>
          <w:tab w:val="num" w:pos="5040"/>
        </w:tabs>
        <w:ind w:left="5040" w:hanging="360"/>
      </w:pPr>
    </w:lvl>
    <w:lvl w:ilvl="7" w:tplc="11B82DA8" w:tentative="1">
      <w:start w:val="1"/>
      <w:numFmt w:val="decimal"/>
      <w:lvlText w:val="%8."/>
      <w:lvlJc w:val="left"/>
      <w:pPr>
        <w:tabs>
          <w:tab w:val="num" w:pos="5760"/>
        </w:tabs>
        <w:ind w:left="5760" w:hanging="360"/>
      </w:pPr>
    </w:lvl>
    <w:lvl w:ilvl="8" w:tplc="0DE2137A" w:tentative="1">
      <w:start w:val="1"/>
      <w:numFmt w:val="decimal"/>
      <w:lvlText w:val="%9."/>
      <w:lvlJc w:val="left"/>
      <w:pPr>
        <w:tabs>
          <w:tab w:val="num" w:pos="6480"/>
        </w:tabs>
        <w:ind w:left="6480" w:hanging="360"/>
      </w:pPr>
    </w:lvl>
  </w:abstractNum>
  <w:abstractNum w:abstractNumId="29">
    <w:nsid w:val="1F077BE8"/>
    <w:multiLevelType w:val="hybridMultilevel"/>
    <w:tmpl w:val="1BD2D1B2"/>
    <w:lvl w:ilvl="0" w:tplc="3EFE2B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1FA364A4"/>
    <w:multiLevelType w:val="hybridMultilevel"/>
    <w:tmpl w:val="6EAE9CF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1">
    <w:nsid w:val="1FB21D89"/>
    <w:multiLevelType w:val="hybridMultilevel"/>
    <w:tmpl w:val="8D72C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204B1404"/>
    <w:multiLevelType w:val="multilevel"/>
    <w:tmpl w:val="B6C4EDD4"/>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20A9197B"/>
    <w:multiLevelType w:val="hybridMultilevel"/>
    <w:tmpl w:val="5CBC2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219F0FD7"/>
    <w:multiLevelType w:val="hybridMultilevel"/>
    <w:tmpl w:val="D200E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21B021E7"/>
    <w:multiLevelType w:val="hybridMultilevel"/>
    <w:tmpl w:val="B19C4C8C"/>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23A057D6"/>
    <w:multiLevelType w:val="hybridMultilevel"/>
    <w:tmpl w:val="CA747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25BC6171"/>
    <w:multiLevelType w:val="hybridMultilevel"/>
    <w:tmpl w:val="EEB090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29527AAC"/>
    <w:multiLevelType w:val="multilevel"/>
    <w:tmpl w:val="E474D5B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2974741A"/>
    <w:multiLevelType w:val="multilevel"/>
    <w:tmpl w:val="96885344"/>
    <w:lvl w:ilvl="0">
      <w:start w:val="1"/>
      <w:numFmt w:val="decimal"/>
      <w:lvlText w:val="%1."/>
      <w:lvlJc w:val="left"/>
      <w:pPr>
        <w:ind w:left="397" w:hanging="397"/>
      </w:pPr>
      <w:rPr>
        <w:rFonts w:hint="default"/>
        <w:b/>
      </w:rPr>
    </w:lvl>
    <w:lvl w:ilvl="1">
      <w:start w:val="1"/>
      <w:numFmt w:val="lowerRoman"/>
      <w:lvlText w:val="%2."/>
      <w:lvlJc w:val="right"/>
      <w:pPr>
        <w:ind w:left="680" w:hanging="680"/>
      </w:pPr>
      <w:rPr>
        <w:rFonts w:hint="default"/>
        <w:b w:val="0"/>
      </w:rPr>
    </w:lvl>
    <w:lvl w:ilvl="2">
      <w:start w:val="1"/>
      <w:numFmt w:val="lowerRoman"/>
      <w:lvlText w:val="%3."/>
      <w:lvlJc w:val="left"/>
      <w:pPr>
        <w:ind w:left="1418"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2A025CAF"/>
    <w:multiLevelType w:val="multilevel"/>
    <w:tmpl w:val="F7064D9C"/>
    <w:lvl w:ilvl="0">
      <w:start w:val="18"/>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nsid w:val="2AB05284"/>
    <w:multiLevelType w:val="multilevel"/>
    <w:tmpl w:val="613833D4"/>
    <w:lvl w:ilvl="0">
      <w:start w:val="6"/>
      <w:numFmt w:val="decimal"/>
      <w:lvlText w:val="%1."/>
      <w:lvlJc w:val="left"/>
      <w:pPr>
        <w:ind w:left="360" w:hanging="360"/>
      </w:pPr>
      <w:rPr>
        <w:rFonts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2BB50525"/>
    <w:multiLevelType w:val="multilevel"/>
    <w:tmpl w:val="EEB66AC2"/>
    <w:lvl w:ilvl="0">
      <w:start w:val="6"/>
      <w:numFmt w:val="decimal"/>
      <w:lvlText w:val="%1."/>
      <w:lvlJc w:val="left"/>
      <w:pPr>
        <w:ind w:left="360" w:hanging="360"/>
      </w:pPr>
      <w:rPr>
        <w:rFonts w:ascii="Arial" w:hAnsi="Arial" w:cs="Arial" w:hint="default"/>
        <w:b w:val="0"/>
        <w:color w:val="auto"/>
        <w:sz w:val="22"/>
        <w:szCs w:val="22"/>
      </w:rPr>
    </w:lvl>
    <w:lvl w:ilvl="1">
      <w:start w:val="1"/>
      <w:numFmt w:val="decimal"/>
      <w:lvlText w:val="%1.%2."/>
      <w:lvlJc w:val="left"/>
      <w:pPr>
        <w:ind w:left="720" w:hanging="720"/>
      </w:pPr>
      <w:rPr>
        <w:rFonts w:hint="default"/>
        <w:b w:val="0"/>
      </w:rPr>
    </w:lvl>
    <w:lvl w:ilvl="2">
      <w:start w:val="1"/>
      <w:numFmt w:val="lowerRoman"/>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nsid w:val="2BDB2174"/>
    <w:multiLevelType w:val="multilevel"/>
    <w:tmpl w:val="2250CB96"/>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Roman"/>
      <w:lvlText w:val="%3."/>
      <w:lvlJc w:val="righ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nsid w:val="2BF9384B"/>
    <w:multiLevelType w:val="hybridMultilevel"/>
    <w:tmpl w:val="C58867E0"/>
    <w:lvl w:ilvl="0" w:tplc="4E1CDACA">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2D332C85"/>
    <w:multiLevelType w:val="hybridMultilevel"/>
    <w:tmpl w:val="3BD611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nsid w:val="2DF54320"/>
    <w:multiLevelType w:val="multilevel"/>
    <w:tmpl w:val="D8B40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nsid w:val="2EB226AB"/>
    <w:multiLevelType w:val="hybridMultilevel"/>
    <w:tmpl w:val="3D381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30C82AB9"/>
    <w:multiLevelType w:val="multilevel"/>
    <w:tmpl w:val="485A3CD0"/>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Roman"/>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nsid w:val="319C7580"/>
    <w:multiLevelType w:val="multilevel"/>
    <w:tmpl w:val="0CF215E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Roman"/>
      <w:lvlText w:val="%3."/>
      <w:lvlJc w:val="righ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nsid w:val="32983AA3"/>
    <w:multiLevelType w:val="multilevel"/>
    <w:tmpl w:val="D65879D8"/>
    <w:lvl w:ilvl="0">
      <w:start w:val="1"/>
      <w:numFmt w:val="decimal"/>
      <w:lvlText w:val="%1."/>
      <w:lvlJc w:val="left"/>
      <w:pPr>
        <w:ind w:left="360" w:hanging="360"/>
      </w:pPr>
      <w:rPr>
        <w:rFonts w:hint="default"/>
        <w:b/>
      </w:rPr>
    </w:lvl>
    <w:lvl w:ilvl="1">
      <w:start w:val="1"/>
      <w:numFmt w:val="decimal"/>
      <w:lvlText w:val="%1.%2."/>
      <w:lvlJc w:val="left"/>
      <w:pPr>
        <w:ind w:left="1021" w:hanging="661"/>
      </w:pPr>
      <w:rPr>
        <w:rFonts w:hint="default"/>
      </w:rPr>
    </w:lvl>
    <w:lvl w:ilvl="2">
      <w:start w:val="1"/>
      <w:numFmt w:val="lowerRoman"/>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nsid w:val="348937CE"/>
    <w:multiLevelType w:val="hybridMultilevel"/>
    <w:tmpl w:val="4B3CCE1E"/>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52">
    <w:nsid w:val="36B171E3"/>
    <w:multiLevelType w:val="multilevel"/>
    <w:tmpl w:val="D8C8ECC4"/>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Roman"/>
      <w:lvlText w:val="%3."/>
      <w:lvlJc w:val="righ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nsid w:val="373935CC"/>
    <w:multiLevelType w:val="hybridMultilevel"/>
    <w:tmpl w:val="33DCCC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nsid w:val="375F7D73"/>
    <w:multiLevelType w:val="multilevel"/>
    <w:tmpl w:val="0E1C8E0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38234387"/>
    <w:multiLevelType w:val="multilevel"/>
    <w:tmpl w:val="8A7C20FC"/>
    <w:lvl w:ilvl="0">
      <w:start w:val="1"/>
      <w:numFmt w:val="decimal"/>
      <w:lvlText w:val="%1."/>
      <w:lvlJc w:val="left"/>
      <w:pPr>
        <w:ind w:left="397" w:hanging="397"/>
      </w:pPr>
      <w:rPr>
        <w:rFonts w:hint="default"/>
        <w:b/>
      </w:rPr>
    </w:lvl>
    <w:lvl w:ilvl="1">
      <w:start w:val="1"/>
      <w:numFmt w:val="bullet"/>
      <w:lvlText w:val=""/>
      <w:lvlJc w:val="left"/>
      <w:pPr>
        <w:ind w:left="680" w:hanging="680"/>
      </w:pPr>
      <w:rPr>
        <w:rFonts w:ascii="Symbol" w:hAnsi="Symbol" w:hint="default"/>
        <w:b w:val="0"/>
      </w:rPr>
    </w:lvl>
    <w:lvl w:ilvl="2">
      <w:start w:val="1"/>
      <w:numFmt w:val="lowerRoman"/>
      <w:lvlText w:val="%3."/>
      <w:lvlJc w:val="right"/>
      <w:pPr>
        <w:ind w:left="1418"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393863E2"/>
    <w:multiLevelType w:val="hybridMultilevel"/>
    <w:tmpl w:val="4D3202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39897BD1"/>
    <w:multiLevelType w:val="multilevel"/>
    <w:tmpl w:val="92FEC4D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Roman"/>
      <w:lvlText w:val="%3."/>
      <w:lvlJc w:val="righ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nsid w:val="39FB21B4"/>
    <w:multiLevelType w:val="hybridMultilevel"/>
    <w:tmpl w:val="763AE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3A8D0531"/>
    <w:multiLevelType w:val="hybridMultilevel"/>
    <w:tmpl w:val="A31A9D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nsid w:val="3B7A779C"/>
    <w:multiLevelType w:val="hybridMultilevel"/>
    <w:tmpl w:val="D828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nsid w:val="3C497839"/>
    <w:multiLevelType w:val="hybridMultilevel"/>
    <w:tmpl w:val="E22A01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3CB4154D"/>
    <w:multiLevelType w:val="multilevel"/>
    <w:tmpl w:val="EFE6EDC0"/>
    <w:lvl w:ilvl="0">
      <w:start w:val="1"/>
      <w:numFmt w:val="lowerRoman"/>
      <w:lvlText w:val="%1."/>
      <w:lvlJc w:val="left"/>
      <w:pPr>
        <w:ind w:left="397" w:hanging="397"/>
      </w:pPr>
      <w:rPr>
        <w:rFonts w:hint="default"/>
        <w:b w:val="0"/>
      </w:rPr>
    </w:lvl>
    <w:lvl w:ilvl="1">
      <w:start w:val="1"/>
      <w:numFmt w:val="decimal"/>
      <w:lvlText w:val="%1.%2."/>
      <w:lvlJc w:val="left"/>
      <w:pPr>
        <w:ind w:left="680" w:hanging="680"/>
      </w:pPr>
      <w:rPr>
        <w:rFonts w:ascii="Arial" w:hAnsi="Arial" w:cs="Arial" w:hint="default"/>
        <w:b w:val="0"/>
      </w:rPr>
    </w:lvl>
    <w:lvl w:ilvl="2">
      <w:start w:val="1"/>
      <w:numFmt w:val="lowerRoman"/>
      <w:lvlText w:val="%3."/>
      <w:lvlJc w:val="left"/>
      <w:pPr>
        <w:ind w:left="1418"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nsid w:val="3DA65461"/>
    <w:multiLevelType w:val="hybridMultilevel"/>
    <w:tmpl w:val="B29ED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3F1C5D99"/>
    <w:multiLevelType w:val="hybridMultilevel"/>
    <w:tmpl w:val="DD7C921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5">
    <w:nsid w:val="3FCF2ED7"/>
    <w:multiLevelType w:val="multilevel"/>
    <w:tmpl w:val="008EA18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Roman"/>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6">
    <w:nsid w:val="40CA3A11"/>
    <w:multiLevelType w:val="hybridMultilevel"/>
    <w:tmpl w:val="988A4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nsid w:val="42904786"/>
    <w:multiLevelType w:val="multilevel"/>
    <w:tmpl w:val="C4DE2B5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Roman"/>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nsid w:val="43D74ED9"/>
    <w:multiLevelType w:val="hybridMultilevel"/>
    <w:tmpl w:val="FD0E95D6"/>
    <w:lvl w:ilvl="0" w:tplc="FBB049BA">
      <w:numFmt w:val="bullet"/>
      <w:lvlText w:val="-"/>
      <w:lvlJc w:val="left"/>
      <w:pPr>
        <w:ind w:left="360" w:hanging="360"/>
      </w:pPr>
      <w:rPr>
        <w:rFonts w:ascii="ArialMT" w:eastAsiaTheme="minorHAnsi" w:hAnsi="ArialMT" w:cs="ArialMT"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nsid w:val="45493792"/>
    <w:multiLevelType w:val="multilevel"/>
    <w:tmpl w:val="0EFC15F4"/>
    <w:lvl w:ilvl="0">
      <w:start w:val="6"/>
      <w:numFmt w:val="decimal"/>
      <w:lvlText w:val="%1."/>
      <w:lvlJc w:val="left"/>
      <w:pPr>
        <w:ind w:left="360" w:hanging="360"/>
      </w:pPr>
      <w:rPr>
        <w:rFonts w:ascii="Arial" w:hAnsi="Arial" w:cs="Arial" w:hint="default"/>
        <w:b w:val="0"/>
        <w:color w:val="auto"/>
        <w:sz w:val="22"/>
        <w:szCs w:val="22"/>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nsid w:val="456F71D1"/>
    <w:multiLevelType w:val="hybridMultilevel"/>
    <w:tmpl w:val="52D89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1">
    <w:nsid w:val="483E28F1"/>
    <w:multiLevelType w:val="multilevel"/>
    <w:tmpl w:val="C934457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Roman"/>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2">
    <w:nsid w:val="4D993D39"/>
    <w:multiLevelType w:val="multilevel"/>
    <w:tmpl w:val="99CEDF0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nsid w:val="53483029"/>
    <w:multiLevelType w:val="hybridMultilevel"/>
    <w:tmpl w:val="4072D4F6"/>
    <w:lvl w:ilvl="0" w:tplc="DC4E47C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nsid w:val="53C904F9"/>
    <w:multiLevelType w:val="multilevel"/>
    <w:tmpl w:val="380ECF5C"/>
    <w:lvl w:ilvl="0">
      <w:start w:val="1"/>
      <w:numFmt w:val="bullet"/>
      <w:lvlText w:val=""/>
      <w:lvlJc w:val="left"/>
      <w:pPr>
        <w:ind w:left="397" w:hanging="397"/>
      </w:pPr>
      <w:rPr>
        <w:rFonts w:ascii="Symbol" w:hAnsi="Symbol" w:hint="default"/>
        <w:b/>
      </w:rPr>
    </w:lvl>
    <w:lvl w:ilvl="1">
      <w:start w:val="1"/>
      <w:numFmt w:val="decimal"/>
      <w:lvlText w:val="%1.%2."/>
      <w:lvlJc w:val="left"/>
      <w:pPr>
        <w:ind w:left="680" w:hanging="680"/>
      </w:pPr>
      <w:rPr>
        <w:rFonts w:ascii="Arial" w:hAnsi="Arial" w:cs="Arial" w:hint="default"/>
        <w:b w:val="0"/>
      </w:rPr>
    </w:lvl>
    <w:lvl w:ilvl="2">
      <w:start w:val="1"/>
      <w:numFmt w:val="bullet"/>
      <w:lvlText w:val=""/>
      <w:lvlJc w:val="left"/>
      <w:pPr>
        <w:ind w:left="1418" w:hanging="567"/>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nsid w:val="541D275C"/>
    <w:multiLevelType w:val="multilevel"/>
    <w:tmpl w:val="5F88796A"/>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6">
    <w:nsid w:val="56CC12B0"/>
    <w:multiLevelType w:val="hybridMultilevel"/>
    <w:tmpl w:val="58ECD7CE"/>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nsid w:val="56F37099"/>
    <w:multiLevelType w:val="hybridMultilevel"/>
    <w:tmpl w:val="B184B0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8">
    <w:nsid w:val="57290DE9"/>
    <w:multiLevelType w:val="hybridMultilevel"/>
    <w:tmpl w:val="AC12A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nsid w:val="57B91B23"/>
    <w:multiLevelType w:val="multilevel"/>
    <w:tmpl w:val="7340F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57FC1B24"/>
    <w:multiLevelType w:val="hybridMultilevel"/>
    <w:tmpl w:val="E2E896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nsid w:val="598F0FAA"/>
    <w:multiLevelType w:val="multilevel"/>
    <w:tmpl w:val="380ECF5C"/>
    <w:lvl w:ilvl="0">
      <w:start w:val="1"/>
      <w:numFmt w:val="bullet"/>
      <w:lvlText w:val=""/>
      <w:lvlJc w:val="left"/>
      <w:pPr>
        <w:ind w:left="397" w:hanging="397"/>
      </w:pPr>
      <w:rPr>
        <w:rFonts w:ascii="Symbol" w:hAnsi="Symbol" w:hint="default"/>
        <w:b/>
      </w:rPr>
    </w:lvl>
    <w:lvl w:ilvl="1">
      <w:start w:val="1"/>
      <w:numFmt w:val="decimal"/>
      <w:lvlText w:val="%1.%2."/>
      <w:lvlJc w:val="left"/>
      <w:pPr>
        <w:ind w:left="680" w:hanging="680"/>
      </w:pPr>
      <w:rPr>
        <w:rFonts w:ascii="Arial" w:hAnsi="Arial" w:cs="Arial" w:hint="default"/>
        <w:b w:val="0"/>
      </w:rPr>
    </w:lvl>
    <w:lvl w:ilvl="2">
      <w:start w:val="1"/>
      <w:numFmt w:val="bullet"/>
      <w:lvlText w:val=""/>
      <w:lvlJc w:val="left"/>
      <w:pPr>
        <w:ind w:left="1418" w:hanging="567"/>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nsid w:val="5A832EA1"/>
    <w:multiLevelType w:val="hybridMultilevel"/>
    <w:tmpl w:val="378077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nsid w:val="5C114D06"/>
    <w:multiLevelType w:val="multilevel"/>
    <w:tmpl w:val="7BE6CD8E"/>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Roman"/>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4">
    <w:nsid w:val="5C980D7F"/>
    <w:multiLevelType w:val="multilevel"/>
    <w:tmpl w:val="C9AA329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nsid w:val="5E437020"/>
    <w:multiLevelType w:val="hybridMultilevel"/>
    <w:tmpl w:val="D8E68BC8"/>
    <w:lvl w:ilvl="0" w:tplc="A6E2CE6E">
      <w:start w:val="6"/>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nsid w:val="5FFA4788"/>
    <w:multiLevelType w:val="hybridMultilevel"/>
    <w:tmpl w:val="BC72D3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nsid w:val="60532A83"/>
    <w:multiLevelType w:val="multilevel"/>
    <w:tmpl w:val="22A68E26"/>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8">
    <w:nsid w:val="60B258CF"/>
    <w:multiLevelType w:val="hybridMultilevel"/>
    <w:tmpl w:val="2C2E65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nsid w:val="61095DB8"/>
    <w:multiLevelType w:val="hybridMultilevel"/>
    <w:tmpl w:val="8730C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nsid w:val="610A0E3D"/>
    <w:multiLevelType w:val="hybridMultilevel"/>
    <w:tmpl w:val="F4E226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nsid w:val="622F63A9"/>
    <w:multiLevelType w:val="hybridMultilevel"/>
    <w:tmpl w:val="43EAC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nsid w:val="62AC34E6"/>
    <w:multiLevelType w:val="multilevel"/>
    <w:tmpl w:val="247298E8"/>
    <w:lvl w:ilvl="0">
      <w:start w:val="1"/>
      <w:numFmt w:val="decimal"/>
      <w:lvlText w:val="%1."/>
      <w:lvlJc w:val="left"/>
      <w:pPr>
        <w:ind w:left="397" w:hanging="397"/>
      </w:pPr>
      <w:rPr>
        <w:rFonts w:hint="default"/>
        <w:b/>
      </w:rPr>
    </w:lvl>
    <w:lvl w:ilvl="1">
      <w:start w:val="1"/>
      <w:numFmt w:val="bullet"/>
      <w:lvlText w:val=""/>
      <w:lvlJc w:val="left"/>
      <w:pPr>
        <w:ind w:left="680" w:hanging="680"/>
      </w:pPr>
      <w:rPr>
        <w:rFonts w:ascii="Symbol" w:hAnsi="Symbol" w:hint="default"/>
        <w:b w:val="0"/>
      </w:rPr>
    </w:lvl>
    <w:lvl w:ilvl="2">
      <w:start w:val="1"/>
      <w:numFmt w:val="lowerRoman"/>
      <w:lvlText w:val="%3."/>
      <w:lvlJc w:val="left"/>
      <w:pPr>
        <w:ind w:left="1418"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nsid w:val="62E83A11"/>
    <w:multiLevelType w:val="hybridMultilevel"/>
    <w:tmpl w:val="B2FAC7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nsid w:val="65A401E4"/>
    <w:multiLevelType w:val="hybridMultilevel"/>
    <w:tmpl w:val="71682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nsid w:val="67266609"/>
    <w:multiLevelType w:val="hybridMultilevel"/>
    <w:tmpl w:val="5F9E94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nsid w:val="69CF7A42"/>
    <w:multiLevelType w:val="hybridMultilevel"/>
    <w:tmpl w:val="0EA67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nsid w:val="69ED7E73"/>
    <w:multiLevelType w:val="hybridMultilevel"/>
    <w:tmpl w:val="9F4CC3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nsid w:val="6A6E5DBC"/>
    <w:multiLevelType w:val="multilevel"/>
    <w:tmpl w:val="6EB818DC"/>
    <w:lvl w:ilvl="0">
      <w:start w:val="1"/>
      <w:numFmt w:val="bullet"/>
      <w:lvlText w:val=""/>
      <w:lvlJc w:val="left"/>
      <w:pPr>
        <w:ind w:left="397" w:hanging="397"/>
      </w:pPr>
      <w:rPr>
        <w:rFonts w:ascii="Symbol" w:hAnsi="Symbol" w:hint="default"/>
        <w:b/>
      </w:rPr>
    </w:lvl>
    <w:lvl w:ilvl="1">
      <w:start w:val="1"/>
      <w:numFmt w:val="decimal"/>
      <w:lvlText w:val="%1.%2."/>
      <w:lvlJc w:val="left"/>
      <w:pPr>
        <w:ind w:left="680" w:hanging="680"/>
      </w:pPr>
      <w:rPr>
        <w:rFonts w:ascii="Arial" w:hAnsi="Arial" w:cs="Arial" w:hint="default"/>
        <w:b w:val="0"/>
      </w:rPr>
    </w:lvl>
    <w:lvl w:ilvl="2">
      <w:start w:val="1"/>
      <w:numFmt w:val="lowerRoman"/>
      <w:lvlText w:val="%3."/>
      <w:lvlJc w:val="left"/>
      <w:pPr>
        <w:ind w:left="1418"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9">
    <w:nsid w:val="6AAC23A5"/>
    <w:multiLevelType w:val="multilevel"/>
    <w:tmpl w:val="9ADA0712"/>
    <w:lvl w:ilvl="0">
      <w:start w:val="1"/>
      <w:numFmt w:val="lowerRoman"/>
      <w:lvlText w:val="%1."/>
      <w:lvlJc w:val="left"/>
      <w:pPr>
        <w:ind w:left="397" w:hanging="397"/>
      </w:pPr>
      <w:rPr>
        <w:rFonts w:hint="default"/>
        <w:b/>
      </w:rPr>
    </w:lvl>
    <w:lvl w:ilvl="1">
      <w:start w:val="1"/>
      <w:numFmt w:val="decimal"/>
      <w:lvlText w:val="%1.%2."/>
      <w:lvlJc w:val="left"/>
      <w:pPr>
        <w:ind w:left="680" w:hanging="680"/>
      </w:pPr>
      <w:rPr>
        <w:rFonts w:ascii="Arial" w:hAnsi="Arial" w:cs="Arial" w:hint="default"/>
        <w:b w:val="0"/>
      </w:rPr>
    </w:lvl>
    <w:lvl w:ilvl="2">
      <w:start w:val="1"/>
      <w:numFmt w:val="bullet"/>
      <w:lvlText w:val=""/>
      <w:lvlJc w:val="left"/>
      <w:pPr>
        <w:ind w:left="1418" w:hanging="567"/>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nsid w:val="6AE5145B"/>
    <w:multiLevelType w:val="hybridMultilevel"/>
    <w:tmpl w:val="F496CB04"/>
    <w:lvl w:ilvl="0" w:tplc="E904CFEE">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1">
    <w:nsid w:val="6BE331E0"/>
    <w:multiLevelType w:val="multilevel"/>
    <w:tmpl w:val="D65879D8"/>
    <w:lvl w:ilvl="0">
      <w:start w:val="1"/>
      <w:numFmt w:val="decimal"/>
      <w:lvlText w:val="%1."/>
      <w:lvlJc w:val="left"/>
      <w:pPr>
        <w:ind w:left="360" w:hanging="360"/>
      </w:pPr>
      <w:rPr>
        <w:rFonts w:hint="default"/>
        <w:b/>
      </w:rPr>
    </w:lvl>
    <w:lvl w:ilvl="1">
      <w:start w:val="1"/>
      <w:numFmt w:val="decimal"/>
      <w:lvlText w:val="%1.%2."/>
      <w:lvlJc w:val="left"/>
      <w:pPr>
        <w:ind w:left="1021" w:hanging="661"/>
      </w:pPr>
      <w:rPr>
        <w:rFonts w:hint="default"/>
      </w:rPr>
    </w:lvl>
    <w:lvl w:ilvl="2">
      <w:start w:val="1"/>
      <w:numFmt w:val="lowerRoman"/>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2">
    <w:nsid w:val="6D3D001D"/>
    <w:multiLevelType w:val="hybridMultilevel"/>
    <w:tmpl w:val="EDE64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nsid w:val="6D7315F6"/>
    <w:multiLevelType w:val="multilevel"/>
    <w:tmpl w:val="7C1CA7EA"/>
    <w:lvl w:ilvl="0">
      <w:start w:val="1"/>
      <w:numFmt w:val="decimal"/>
      <w:lvlText w:val="%1."/>
      <w:lvlJc w:val="left"/>
      <w:pPr>
        <w:ind w:left="397" w:hanging="397"/>
      </w:pPr>
      <w:rPr>
        <w:rFonts w:hint="default"/>
        <w:b/>
      </w:rPr>
    </w:lvl>
    <w:lvl w:ilvl="1">
      <w:start w:val="1"/>
      <w:numFmt w:val="bullet"/>
      <w:lvlText w:val=""/>
      <w:lvlJc w:val="left"/>
      <w:pPr>
        <w:ind w:left="680" w:hanging="680"/>
      </w:pPr>
      <w:rPr>
        <w:rFonts w:ascii="Symbol" w:hAnsi="Symbol" w:hint="default"/>
        <w:b w:val="0"/>
      </w:rPr>
    </w:lvl>
    <w:lvl w:ilvl="2">
      <w:start w:val="1"/>
      <w:numFmt w:val="lowerRoman"/>
      <w:lvlText w:val="%3."/>
      <w:lvlJc w:val="right"/>
      <w:pPr>
        <w:ind w:left="1418"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4">
    <w:nsid w:val="6DF47380"/>
    <w:multiLevelType w:val="hybridMultilevel"/>
    <w:tmpl w:val="AEE62950"/>
    <w:lvl w:ilvl="0" w:tplc="CC5EAF84">
      <w:numFmt w:val="bullet"/>
      <w:pStyle w:val="Bulletlist"/>
      <w:lvlText w:val=""/>
      <w:lvlJc w:val="left"/>
      <w:pPr>
        <w:ind w:left="3016" w:hanging="360"/>
      </w:pPr>
      <w:rPr>
        <w:rFonts w:ascii="Symbol" w:eastAsiaTheme="minorHAnsi" w:hAnsi="Symbol" w:cs="Arial" w:hint="default"/>
      </w:rPr>
    </w:lvl>
    <w:lvl w:ilvl="1" w:tplc="08090003">
      <w:start w:val="1"/>
      <w:numFmt w:val="bullet"/>
      <w:lvlText w:val="o"/>
      <w:lvlJc w:val="left"/>
      <w:pPr>
        <w:ind w:left="3736" w:hanging="360"/>
      </w:pPr>
      <w:rPr>
        <w:rFonts w:ascii="Courier New" w:hAnsi="Courier New" w:cs="Courier New" w:hint="default"/>
      </w:rPr>
    </w:lvl>
    <w:lvl w:ilvl="2" w:tplc="08090005" w:tentative="1">
      <w:start w:val="1"/>
      <w:numFmt w:val="bullet"/>
      <w:lvlText w:val=""/>
      <w:lvlJc w:val="left"/>
      <w:pPr>
        <w:ind w:left="4456" w:hanging="360"/>
      </w:pPr>
      <w:rPr>
        <w:rFonts w:ascii="Wingdings" w:hAnsi="Wingdings" w:hint="default"/>
      </w:rPr>
    </w:lvl>
    <w:lvl w:ilvl="3" w:tplc="08090001" w:tentative="1">
      <w:start w:val="1"/>
      <w:numFmt w:val="bullet"/>
      <w:lvlText w:val=""/>
      <w:lvlJc w:val="left"/>
      <w:pPr>
        <w:ind w:left="5176" w:hanging="360"/>
      </w:pPr>
      <w:rPr>
        <w:rFonts w:ascii="Symbol" w:hAnsi="Symbol" w:hint="default"/>
      </w:rPr>
    </w:lvl>
    <w:lvl w:ilvl="4" w:tplc="08090003" w:tentative="1">
      <w:start w:val="1"/>
      <w:numFmt w:val="bullet"/>
      <w:lvlText w:val="o"/>
      <w:lvlJc w:val="left"/>
      <w:pPr>
        <w:ind w:left="5896" w:hanging="360"/>
      </w:pPr>
      <w:rPr>
        <w:rFonts w:ascii="Courier New" w:hAnsi="Courier New" w:cs="Courier New" w:hint="default"/>
      </w:rPr>
    </w:lvl>
    <w:lvl w:ilvl="5" w:tplc="08090005" w:tentative="1">
      <w:start w:val="1"/>
      <w:numFmt w:val="bullet"/>
      <w:lvlText w:val=""/>
      <w:lvlJc w:val="left"/>
      <w:pPr>
        <w:ind w:left="6616" w:hanging="360"/>
      </w:pPr>
      <w:rPr>
        <w:rFonts w:ascii="Wingdings" w:hAnsi="Wingdings" w:hint="default"/>
      </w:rPr>
    </w:lvl>
    <w:lvl w:ilvl="6" w:tplc="08090001" w:tentative="1">
      <w:start w:val="1"/>
      <w:numFmt w:val="bullet"/>
      <w:lvlText w:val=""/>
      <w:lvlJc w:val="left"/>
      <w:pPr>
        <w:ind w:left="7336" w:hanging="360"/>
      </w:pPr>
      <w:rPr>
        <w:rFonts w:ascii="Symbol" w:hAnsi="Symbol" w:hint="default"/>
      </w:rPr>
    </w:lvl>
    <w:lvl w:ilvl="7" w:tplc="08090003" w:tentative="1">
      <w:start w:val="1"/>
      <w:numFmt w:val="bullet"/>
      <w:lvlText w:val="o"/>
      <w:lvlJc w:val="left"/>
      <w:pPr>
        <w:ind w:left="8056" w:hanging="360"/>
      </w:pPr>
      <w:rPr>
        <w:rFonts w:ascii="Courier New" w:hAnsi="Courier New" w:cs="Courier New" w:hint="default"/>
      </w:rPr>
    </w:lvl>
    <w:lvl w:ilvl="8" w:tplc="08090005" w:tentative="1">
      <w:start w:val="1"/>
      <w:numFmt w:val="bullet"/>
      <w:lvlText w:val=""/>
      <w:lvlJc w:val="left"/>
      <w:pPr>
        <w:ind w:left="8776" w:hanging="360"/>
      </w:pPr>
      <w:rPr>
        <w:rFonts w:ascii="Wingdings" w:hAnsi="Wingdings" w:hint="default"/>
      </w:rPr>
    </w:lvl>
  </w:abstractNum>
  <w:abstractNum w:abstractNumId="105">
    <w:nsid w:val="6EAB5B31"/>
    <w:multiLevelType w:val="hybridMultilevel"/>
    <w:tmpl w:val="4808A7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6">
    <w:nsid w:val="6F490B14"/>
    <w:multiLevelType w:val="multilevel"/>
    <w:tmpl w:val="4D90E1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6F555A2F"/>
    <w:multiLevelType w:val="hybridMultilevel"/>
    <w:tmpl w:val="080AA9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nsid w:val="705258F7"/>
    <w:multiLevelType w:val="multilevel"/>
    <w:tmpl w:val="324CF8B0"/>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Roman"/>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9">
    <w:nsid w:val="72DA572E"/>
    <w:multiLevelType w:val="hybridMultilevel"/>
    <w:tmpl w:val="6DAE3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72E63FDB"/>
    <w:multiLevelType w:val="multilevel"/>
    <w:tmpl w:val="D06A0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73236557"/>
    <w:multiLevelType w:val="hybridMultilevel"/>
    <w:tmpl w:val="0FCC45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nsid w:val="747E5C5B"/>
    <w:multiLevelType w:val="multilevel"/>
    <w:tmpl w:val="A4026F04"/>
    <w:lvl w:ilvl="0">
      <w:start w:val="1"/>
      <w:numFmt w:val="decimal"/>
      <w:lvlText w:val="%1."/>
      <w:lvlJc w:val="left"/>
      <w:pPr>
        <w:ind w:left="397" w:hanging="397"/>
      </w:pPr>
      <w:rPr>
        <w:rFonts w:hint="default"/>
        <w:b/>
      </w:rPr>
    </w:lvl>
    <w:lvl w:ilvl="1">
      <w:start w:val="1"/>
      <w:numFmt w:val="bullet"/>
      <w:lvlText w:val=""/>
      <w:lvlJc w:val="left"/>
      <w:pPr>
        <w:ind w:left="680" w:hanging="680"/>
      </w:pPr>
      <w:rPr>
        <w:rFonts w:ascii="Symbol" w:hAnsi="Symbol" w:hint="default"/>
        <w:b w:val="0"/>
      </w:rPr>
    </w:lvl>
    <w:lvl w:ilvl="2">
      <w:start w:val="1"/>
      <w:numFmt w:val="lowerRoman"/>
      <w:lvlText w:val="%3."/>
      <w:lvlJc w:val="right"/>
      <w:pPr>
        <w:ind w:left="1418"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nsid w:val="760E38BF"/>
    <w:multiLevelType w:val="multilevel"/>
    <w:tmpl w:val="545CD4A0"/>
    <w:lvl w:ilvl="0">
      <w:start w:val="1"/>
      <w:numFmt w:val="decimal"/>
      <w:lvlText w:val="%1."/>
      <w:lvlJc w:val="left"/>
      <w:pPr>
        <w:ind w:left="397" w:hanging="397"/>
      </w:pPr>
      <w:rPr>
        <w:rFonts w:hint="default"/>
        <w:b/>
      </w:rPr>
    </w:lvl>
    <w:lvl w:ilvl="1">
      <w:start w:val="1"/>
      <w:numFmt w:val="bullet"/>
      <w:lvlText w:val=""/>
      <w:lvlJc w:val="left"/>
      <w:pPr>
        <w:ind w:left="680" w:hanging="680"/>
      </w:pPr>
      <w:rPr>
        <w:rFonts w:ascii="Symbol" w:hAnsi="Symbol" w:hint="default"/>
        <w:b w:val="0"/>
      </w:rPr>
    </w:lvl>
    <w:lvl w:ilvl="2">
      <w:start w:val="1"/>
      <w:numFmt w:val="lowerRoman"/>
      <w:lvlText w:val="%3."/>
      <w:lvlJc w:val="right"/>
      <w:pPr>
        <w:ind w:left="1418"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4">
    <w:nsid w:val="7658569F"/>
    <w:multiLevelType w:val="hybridMultilevel"/>
    <w:tmpl w:val="F71805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nsid w:val="76C66D5A"/>
    <w:multiLevelType w:val="hybridMultilevel"/>
    <w:tmpl w:val="B9AC90A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nsid w:val="77FA0B46"/>
    <w:multiLevelType w:val="multilevel"/>
    <w:tmpl w:val="F662D926"/>
    <w:lvl w:ilvl="0">
      <w:start w:val="6"/>
      <w:numFmt w:val="decimal"/>
      <w:lvlText w:val="%1."/>
      <w:lvlJc w:val="left"/>
      <w:pPr>
        <w:ind w:left="360" w:hanging="360"/>
      </w:pPr>
      <w:rPr>
        <w:rFonts w:ascii="Arial" w:hAnsi="Arial" w:cs="Arial" w:hint="default"/>
        <w:b w:val="0"/>
        <w:color w:val="auto"/>
        <w:sz w:val="22"/>
        <w:szCs w:val="22"/>
      </w:rPr>
    </w:lvl>
    <w:lvl w:ilvl="1">
      <w:start w:val="1"/>
      <w:numFmt w:val="decimal"/>
      <w:lvlText w:val="%1.%2."/>
      <w:lvlJc w:val="left"/>
      <w:pPr>
        <w:ind w:left="720" w:hanging="720"/>
      </w:pPr>
      <w:rPr>
        <w:rFonts w:hint="default"/>
        <w:b w:val="0"/>
      </w:rPr>
    </w:lvl>
    <w:lvl w:ilvl="2">
      <w:start w:val="1"/>
      <w:numFmt w:val="lowerRoman"/>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7">
    <w:nsid w:val="785F397A"/>
    <w:multiLevelType w:val="multilevel"/>
    <w:tmpl w:val="824639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nsid w:val="7A9E6064"/>
    <w:multiLevelType w:val="multilevel"/>
    <w:tmpl w:val="EE668920"/>
    <w:lvl w:ilvl="0">
      <w:start w:val="1"/>
      <w:numFmt w:val="decimal"/>
      <w:pStyle w:val="Heading1"/>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9">
    <w:nsid w:val="7D1D250F"/>
    <w:multiLevelType w:val="hybridMultilevel"/>
    <w:tmpl w:val="EE5CC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1"/>
    <w:lvlOverride w:ilvl="0">
      <w:lvl w:ilvl="0">
        <w:start w:val="1"/>
        <w:numFmt w:val="decimal"/>
        <w:lvlText w:val="%1."/>
        <w:lvlJc w:val="left"/>
        <w:pPr>
          <w:ind w:left="817" w:hanging="397"/>
        </w:pPr>
        <w:rPr>
          <w:rFonts w:hint="default"/>
          <w:b/>
        </w:rPr>
      </w:lvl>
    </w:lvlOverride>
    <w:lvlOverride w:ilvl="1">
      <w:lvl w:ilvl="1">
        <w:start w:val="1"/>
        <w:numFmt w:val="decimal"/>
        <w:pStyle w:val="ListParagraph"/>
        <w:lvlText w:val="%1.%2."/>
        <w:lvlJc w:val="left"/>
        <w:pPr>
          <w:ind w:left="1100" w:hanging="680"/>
        </w:pPr>
        <w:rPr>
          <w:rFonts w:ascii="Arial" w:hAnsi="Arial" w:cs="Arial" w:hint="default"/>
          <w:b w:val="0"/>
        </w:rPr>
      </w:lvl>
    </w:lvlOverride>
    <w:lvlOverride w:ilvl="2">
      <w:lvl w:ilvl="2">
        <w:start w:val="1"/>
        <w:numFmt w:val="lowerRoman"/>
        <w:lvlText w:val="%3."/>
        <w:lvlJc w:val="left"/>
        <w:pPr>
          <w:ind w:left="1838" w:hanging="567"/>
        </w:pPr>
        <w:rPr>
          <w:rFonts w:hint="default"/>
        </w:rPr>
      </w:lvl>
    </w:lvlOverride>
    <w:lvlOverride w:ilvl="3">
      <w:lvl w:ilvl="3">
        <w:start w:val="1"/>
        <w:numFmt w:val="decimal"/>
        <w:lvlText w:val="%1.%2.%3.%4."/>
        <w:lvlJc w:val="left"/>
        <w:pPr>
          <w:ind w:left="2148" w:hanging="648"/>
        </w:pPr>
        <w:rPr>
          <w:rFonts w:hint="default"/>
        </w:rPr>
      </w:lvl>
    </w:lvlOverride>
    <w:lvlOverride w:ilvl="4">
      <w:lvl w:ilvl="4">
        <w:start w:val="1"/>
        <w:numFmt w:val="decimal"/>
        <w:lvlText w:val="%1.%2.%3.%4.%5."/>
        <w:lvlJc w:val="left"/>
        <w:pPr>
          <w:ind w:left="2652" w:hanging="792"/>
        </w:pPr>
        <w:rPr>
          <w:rFonts w:hint="default"/>
        </w:rPr>
      </w:lvl>
    </w:lvlOverride>
    <w:lvlOverride w:ilvl="5">
      <w:lvl w:ilvl="5">
        <w:start w:val="1"/>
        <w:numFmt w:val="decimal"/>
        <w:lvlText w:val="%1.%2.%3.%4.%5.%6."/>
        <w:lvlJc w:val="left"/>
        <w:pPr>
          <w:ind w:left="3156" w:hanging="936"/>
        </w:pPr>
        <w:rPr>
          <w:rFonts w:hint="default"/>
        </w:rPr>
      </w:lvl>
    </w:lvlOverride>
    <w:lvlOverride w:ilvl="6">
      <w:lvl w:ilvl="6">
        <w:start w:val="1"/>
        <w:numFmt w:val="decimal"/>
        <w:lvlText w:val="%1.%2.%3.%4.%5.%6.%7."/>
        <w:lvlJc w:val="left"/>
        <w:pPr>
          <w:ind w:left="3660" w:hanging="1080"/>
        </w:pPr>
        <w:rPr>
          <w:rFonts w:hint="default"/>
        </w:rPr>
      </w:lvl>
    </w:lvlOverride>
    <w:lvlOverride w:ilvl="7">
      <w:lvl w:ilvl="7">
        <w:start w:val="1"/>
        <w:numFmt w:val="decimal"/>
        <w:lvlText w:val="%1.%2.%3.%4.%5.%6.%7.%8."/>
        <w:lvlJc w:val="left"/>
        <w:pPr>
          <w:ind w:left="4164" w:hanging="1224"/>
        </w:pPr>
        <w:rPr>
          <w:rFonts w:hint="default"/>
        </w:rPr>
      </w:lvl>
    </w:lvlOverride>
    <w:lvlOverride w:ilvl="8">
      <w:lvl w:ilvl="8">
        <w:start w:val="1"/>
        <w:numFmt w:val="decimal"/>
        <w:lvlText w:val="%1.%2.%3.%4.%5.%6.%7.%8.%9."/>
        <w:lvlJc w:val="left"/>
        <w:pPr>
          <w:ind w:left="4740" w:hanging="1440"/>
        </w:pPr>
        <w:rPr>
          <w:rFonts w:hint="default"/>
        </w:rPr>
      </w:lvl>
    </w:lvlOverride>
  </w:num>
  <w:num w:numId="3">
    <w:abstractNumId w:val="101"/>
  </w:num>
  <w:num w:numId="4">
    <w:abstractNumId w:val="50"/>
  </w:num>
  <w:num w:numId="5">
    <w:abstractNumId w:val="109"/>
  </w:num>
  <w:num w:numId="6">
    <w:abstractNumId w:val="16"/>
  </w:num>
  <w:num w:numId="7">
    <w:abstractNumId w:val="28"/>
  </w:num>
  <w:num w:numId="8">
    <w:abstractNumId w:val="11"/>
    <w:lvlOverride w:ilvl="0">
      <w:lvl w:ilvl="0">
        <w:start w:val="1"/>
        <w:numFmt w:val="decimal"/>
        <w:lvlText w:val="%1."/>
        <w:lvlJc w:val="left"/>
        <w:pPr>
          <w:ind w:left="397" w:hanging="397"/>
        </w:pPr>
        <w:rPr>
          <w:rFonts w:hint="default"/>
          <w:b/>
        </w:rPr>
      </w:lvl>
    </w:lvlOverride>
    <w:lvlOverride w:ilvl="1">
      <w:lvl w:ilvl="1">
        <w:start w:val="1"/>
        <w:numFmt w:val="decimal"/>
        <w:pStyle w:val="ListParagraph"/>
        <w:lvlText w:val="%1.%2."/>
        <w:lvlJc w:val="left"/>
        <w:pPr>
          <w:ind w:left="567" w:hanging="567"/>
        </w:pPr>
        <w:rPr>
          <w:rFonts w:ascii="Arial" w:hAnsi="Arial" w:cs="Arial" w:hint="default"/>
          <w:b w:val="0"/>
        </w:rPr>
      </w:lvl>
    </w:lvlOverride>
    <w:lvlOverride w:ilvl="2">
      <w:lvl w:ilvl="2">
        <w:start w:val="1"/>
        <w:numFmt w:val="lowerRoman"/>
        <w:lvlText w:val="%3."/>
        <w:lvlJc w:val="left"/>
        <w:pPr>
          <w:ind w:left="1247" w:hanging="5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abstractNumId w:val="33"/>
  </w:num>
  <w:num w:numId="10">
    <w:abstractNumId w:val="11"/>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3"/>
  </w:num>
  <w:num w:numId="13">
    <w:abstractNumId w:val="63"/>
  </w:num>
  <w:num w:numId="14">
    <w:abstractNumId w:val="47"/>
  </w:num>
  <w:num w:numId="15">
    <w:abstractNumId w:val="81"/>
  </w:num>
  <w:num w:numId="16">
    <w:abstractNumId w:val="74"/>
  </w:num>
  <w:num w:numId="17">
    <w:abstractNumId w:val="10"/>
  </w:num>
  <w:num w:numId="18">
    <w:abstractNumId w:val="98"/>
  </w:num>
  <w:num w:numId="19">
    <w:abstractNumId w:val="117"/>
  </w:num>
  <w:num w:numId="20">
    <w:abstractNumId w:val="11"/>
    <w:lvlOverride w:ilvl="0">
      <w:lvl w:ilvl="0">
        <w:start w:val="1"/>
        <w:numFmt w:val="decimal"/>
        <w:lvlText w:val="%1."/>
        <w:lvlJc w:val="left"/>
        <w:pPr>
          <w:ind w:left="397" w:hanging="397"/>
        </w:pPr>
        <w:rPr>
          <w:rFonts w:hint="default"/>
          <w:b/>
        </w:rPr>
      </w:lvl>
    </w:lvlOverride>
    <w:lvlOverride w:ilvl="1">
      <w:lvl w:ilvl="1">
        <w:start w:val="1"/>
        <w:numFmt w:val="decimal"/>
        <w:pStyle w:val="ListParagraph"/>
        <w:lvlText w:val="%1.%2."/>
        <w:lvlJc w:val="left"/>
        <w:pPr>
          <w:ind w:left="680" w:hanging="680"/>
        </w:pPr>
        <w:rPr>
          <w:rFonts w:ascii="Arial" w:hAnsi="Arial" w:cs="Arial" w:hint="default"/>
          <w:b w:val="0"/>
        </w:rPr>
      </w:lvl>
    </w:lvlOverride>
    <w:lvlOverride w:ilvl="2">
      <w:lvl w:ilvl="2">
        <w:start w:val="1"/>
        <w:numFmt w:val="lowerRoman"/>
        <w:lvlText w:val="%3."/>
        <w:lvlJc w:val="left"/>
        <w:pPr>
          <w:ind w:left="1418" w:hanging="5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abstractNumId w:val="11"/>
    <w:lvlOverride w:ilvl="0">
      <w:lvl w:ilvl="0">
        <w:start w:val="1"/>
        <w:numFmt w:val="decimal"/>
        <w:lvlText w:val="%1."/>
        <w:lvlJc w:val="left"/>
        <w:pPr>
          <w:ind w:left="397" w:hanging="397"/>
        </w:pPr>
        <w:rPr>
          <w:rFonts w:hint="default"/>
          <w:b/>
        </w:rPr>
      </w:lvl>
    </w:lvlOverride>
    <w:lvlOverride w:ilvl="1">
      <w:lvl w:ilvl="1">
        <w:start w:val="1"/>
        <w:numFmt w:val="decimal"/>
        <w:pStyle w:val="ListParagraph"/>
        <w:lvlText w:val="%1.%2."/>
        <w:lvlJc w:val="left"/>
        <w:pPr>
          <w:ind w:left="680" w:hanging="680"/>
        </w:pPr>
        <w:rPr>
          <w:rFonts w:ascii="Arial" w:hAnsi="Arial" w:cs="Arial" w:hint="default"/>
          <w:b w:val="0"/>
        </w:rPr>
      </w:lvl>
    </w:lvlOverride>
    <w:lvlOverride w:ilvl="2">
      <w:lvl w:ilvl="2">
        <w:start w:val="1"/>
        <w:numFmt w:val="lowerRoman"/>
        <w:lvlText w:val="%3."/>
        <w:lvlJc w:val="left"/>
        <w:pPr>
          <w:ind w:left="1418" w:hanging="5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abstractNumId w:val="22"/>
  </w:num>
  <w:num w:numId="23">
    <w:abstractNumId w:val="11"/>
    <w:lvlOverride w:ilvl="0">
      <w:startOverride w:val="1"/>
      <w:lvl w:ilvl="0">
        <w:start w:val="1"/>
        <w:numFmt w:val="decimal"/>
        <w:lvlText w:val="%1."/>
        <w:lvlJc w:val="left"/>
        <w:pPr>
          <w:ind w:left="397" w:hanging="397"/>
        </w:pPr>
        <w:rPr>
          <w:rFonts w:hint="default"/>
          <w:b/>
        </w:rPr>
      </w:lvl>
    </w:lvlOverride>
    <w:lvlOverride w:ilvl="1">
      <w:startOverride w:val="30"/>
      <w:lvl w:ilvl="1">
        <w:start w:val="30"/>
        <w:numFmt w:val="decimal"/>
        <w:pStyle w:val="ListParagraph"/>
        <w:lvlText w:val="%1.%2."/>
        <w:lvlJc w:val="left"/>
        <w:pPr>
          <w:ind w:left="680" w:hanging="680"/>
        </w:pPr>
        <w:rPr>
          <w:rFonts w:ascii="Arial" w:hAnsi="Arial" w:cs="Arial" w:hint="default"/>
          <w:b w:val="0"/>
        </w:rPr>
      </w:lvl>
    </w:lvlOverride>
    <w:lvlOverride w:ilvl="2">
      <w:startOverride w:val="1"/>
      <w:lvl w:ilvl="2">
        <w:start w:val="1"/>
        <w:numFmt w:val="lowerRoman"/>
        <w:lvlText w:val="%3."/>
        <w:lvlJc w:val="left"/>
        <w:pPr>
          <w:ind w:left="1418" w:hanging="567"/>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24">
    <w:abstractNumId w:val="54"/>
  </w:num>
  <w:num w:numId="25">
    <w:abstractNumId w:val="87"/>
  </w:num>
  <w:num w:numId="26">
    <w:abstractNumId w:val="7"/>
  </w:num>
  <w:num w:numId="27">
    <w:abstractNumId w:val="72"/>
  </w:num>
  <w:num w:numId="28">
    <w:abstractNumId w:val="11"/>
    <w:lvlOverride w:ilvl="0">
      <w:startOverride w:val="1"/>
      <w:lvl w:ilvl="0">
        <w:start w:val="1"/>
        <w:numFmt w:val="decimal"/>
        <w:lvlText w:val="%1."/>
        <w:lvlJc w:val="left"/>
        <w:pPr>
          <w:ind w:left="397" w:hanging="397"/>
        </w:pPr>
        <w:rPr>
          <w:rFonts w:hint="default"/>
          <w:b/>
        </w:rPr>
      </w:lvl>
    </w:lvlOverride>
    <w:lvlOverride w:ilvl="1">
      <w:startOverride w:val="2"/>
      <w:lvl w:ilvl="1">
        <w:start w:val="2"/>
        <w:numFmt w:val="decimal"/>
        <w:pStyle w:val="ListParagraph"/>
        <w:lvlText w:val="%1.%2."/>
        <w:lvlJc w:val="left"/>
        <w:pPr>
          <w:ind w:left="680" w:hanging="680"/>
        </w:pPr>
        <w:rPr>
          <w:rFonts w:ascii="Arial" w:hAnsi="Arial" w:cs="Arial" w:hint="default"/>
          <w:b w:val="0"/>
        </w:rPr>
      </w:lvl>
    </w:lvlOverride>
  </w:num>
  <w:num w:numId="29">
    <w:abstractNumId w:val="11"/>
    <w:lvlOverride w:ilvl="0">
      <w:startOverride w:val="1"/>
    </w:lvlOverride>
    <w:lvlOverride w:ilvl="1">
      <w:startOverride w:val="6"/>
    </w:lvlOverride>
  </w:num>
  <w:num w:numId="30">
    <w:abstractNumId w:val="11"/>
    <w:lvlOverride w:ilvl="0">
      <w:startOverride w:val="1"/>
    </w:lvlOverride>
    <w:lvlOverride w:ilvl="1">
      <w:startOverride w:val="9"/>
    </w:lvlOverride>
  </w:num>
  <w:num w:numId="31">
    <w:abstractNumId w:val="84"/>
  </w:num>
  <w:num w:numId="32">
    <w:abstractNumId w:val="58"/>
  </w:num>
  <w:num w:numId="33">
    <w:abstractNumId w:val="96"/>
  </w:num>
  <w:num w:numId="34">
    <w:abstractNumId w:val="59"/>
  </w:num>
  <w:num w:numId="35">
    <w:abstractNumId w:val="70"/>
  </w:num>
  <w:num w:numId="36">
    <w:abstractNumId w:val="77"/>
  </w:num>
  <w:num w:numId="37">
    <w:abstractNumId w:val="53"/>
  </w:num>
  <w:num w:numId="38">
    <w:abstractNumId w:val="114"/>
  </w:num>
  <w:num w:numId="39">
    <w:abstractNumId w:val="102"/>
  </w:num>
  <w:num w:numId="40">
    <w:abstractNumId w:val="90"/>
  </w:num>
  <w:num w:numId="41">
    <w:abstractNumId w:val="45"/>
  </w:num>
  <w:num w:numId="42">
    <w:abstractNumId w:val="37"/>
  </w:num>
  <w:num w:numId="43">
    <w:abstractNumId w:val="105"/>
  </w:num>
  <w:num w:numId="44">
    <w:abstractNumId w:val="88"/>
  </w:num>
  <w:num w:numId="45">
    <w:abstractNumId w:val="60"/>
  </w:num>
  <w:num w:numId="46">
    <w:abstractNumId w:val="97"/>
  </w:num>
  <w:num w:numId="47">
    <w:abstractNumId w:val="17"/>
  </w:num>
  <w:num w:numId="48">
    <w:abstractNumId w:val="107"/>
  </w:num>
  <w:num w:numId="49">
    <w:abstractNumId w:val="19"/>
  </w:num>
  <w:num w:numId="50">
    <w:abstractNumId w:val="25"/>
  </w:num>
  <w:num w:numId="51">
    <w:abstractNumId w:val="61"/>
  </w:num>
  <w:num w:numId="52">
    <w:abstractNumId w:val="46"/>
  </w:num>
  <w:num w:numId="53">
    <w:abstractNumId w:val="15"/>
  </w:num>
  <w:num w:numId="54">
    <w:abstractNumId w:val="11"/>
    <w:lvlOverride w:ilvl="0">
      <w:lvl w:ilvl="0">
        <w:start w:val="1"/>
        <w:numFmt w:val="decimal"/>
        <w:lvlText w:val="%1."/>
        <w:lvlJc w:val="left"/>
        <w:pPr>
          <w:ind w:left="817" w:hanging="397"/>
        </w:pPr>
        <w:rPr>
          <w:rFonts w:hint="default"/>
          <w:b/>
        </w:rPr>
      </w:lvl>
    </w:lvlOverride>
    <w:lvlOverride w:ilvl="1">
      <w:lvl w:ilvl="1">
        <w:start w:val="4"/>
        <w:numFmt w:val="decimal"/>
        <w:pStyle w:val="ListParagraph"/>
        <w:lvlText w:val="%1.%2."/>
        <w:lvlJc w:val="left"/>
        <w:pPr>
          <w:ind w:left="1100" w:hanging="680"/>
        </w:pPr>
        <w:rPr>
          <w:rFonts w:ascii="Arial" w:hAnsi="Arial" w:cs="Arial" w:hint="default"/>
          <w:b w:val="0"/>
        </w:rPr>
      </w:lvl>
    </w:lvlOverride>
    <w:lvlOverride w:ilvl="2">
      <w:lvl w:ilvl="2">
        <w:start w:val="1"/>
        <w:numFmt w:val="lowerRoman"/>
        <w:lvlText w:val="%3."/>
        <w:lvlJc w:val="left"/>
        <w:pPr>
          <w:ind w:left="1418" w:hanging="5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5">
    <w:abstractNumId w:val="11"/>
    <w:lvlOverride w:ilvl="0">
      <w:startOverride w:val="1"/>
      <w:lvl w:ilvl="0">
        <w:start w:val="1"/>
        <w:numFmt w:val="decimal"/>
        <w:lvlText w:val="%1."/>
        <w:lvlJc w:val="left"/>
        <w:pPr>
          <w:ind w:left="817" w:hanging="397"/>
        </w:pPr>
        <w:rPr>
          <w:rFonts w:hint="default"/>
          <w:b/>
        </w:rPr>
      </w:lvl>
    </w:lvlOverride>
    <w:lvlOverride w:ilvl="1">
      <w:startOverride w:val="7"/>
      <w:lvl w:ilvl="1">
        <w:start w:val="7"/>
        <w:numFmt w:val="decimal"/>
        <w:pStyle w:val="ListParagraph"/>
        <w:lvlText w:val="%1.%2."/>
        <w:lvlJc w:val="left"/>
        <w:pPr>
          <w:ind w:left="1100" w:hanging="680"/>
        </w:pPr>
        <w:rPr>
          <w:rFonts w:ascii="Arial" w:hAnsi="Arial" w:cs="Arial" w:hint="default"/>
          <w:b w:val="0"/>
        </w:rPr>
      </w:lvl>
    </w:lvlOverride>
  </w:num>
  <w:num w:numId="56">
    <w:abstractNumId w:val="11"/>
    <w:lvlOverride w:ilvl="0">
      <w:startOverride w:val="1"/>
      <w:lvl w:ilvl="0">
        <w:start w:val="1"/>
        <w:numFmt w:val="decimal"/>
        <w:lvlText w:val="%1."/>
        <w:lvlJc w:val="left"/>
        <w:pPr>
          <w:ind w:left="817" w:hanging="397"/>
        </w:pPr>
        <w:rPr>
          <w:rFonts w:hint="default"/>
          <w:b/>
        </w:rPr>
      </w:lvl>
    </w:lvlOverride>
    <w:lvlOverride w:ilvl="1">
      <w:startOverride w:val="7"/>
      <w:lvl w:ilvl="1">
        <w:start w:val="7"/>
        <w:numFmt w:val="decimal"/>
        <w:pStyle w:val="ListParagraph"/>
        <w:lvlText w:val="%1.%2."/>
        <w:lvlJc w:val="left"/>
        <w:pPr>
          <w:ind w:left="1100" w:hanging="680"/>
        </w:pPr>
        <w:rPr>
          <w:rFonts w:ascii="Arial" w:hAnsi="Arial" w:cs="Arial" w:hint="default"/>
          <w:b w:val="0"/>
        </w:rPr>
      </w:lvl>
    </w:lvlOverride>
  </w:num>
  <w:num w:numId="57">
    <w:abstractNumId w:val="23"/>
  </w:num>
  <w:num w:numId="58">
    <w:abstractNumId w:val="11"/>
    <w:lvlOverride w:ilvl="0">
      <w:startOverride w:val="5"/>
      <w:lvl w:ilvl="0">
        <w:start w:val="5"/>
        <w:numFmt w:val="decimal"/>
        <w:lvlText w:val="%1."/>
        <w:lvlJc w:val="left"/>
        <w:pPr>
          <w:ind w:left="397" w:hanging="397"/>
        </w:pPr>
        <w:rPr>
          <w:rFonts w:hint="default"/>
          <w:b/>
        </w:rPr>
      </w:lvl>
    </w:lvlOverride>
    <w:lvlOverride w:ilvl="1">
      <w:startOverride w:val="4"/>
      <w:lvl w:ilvl="1">
        <w:start w:val="4"/>
        <w:numFmt w:val="decimal"/>
        <w:pStyle w:val="ListParagraph"/>
        <w:lvlText w:val="%1.%2."/>
        <w:lvlJc w:val="left"/>
        <w:pPr>
          <w:ind w:left="567" w:hanging="567"/>
        </w:pPr>
        <w:rPr>
          <w:rFonts w:ascii="Arial" w:hAnsi="Arial" w:cs="Arial" w:hint="default"/>
          <w:b w:val="0"/>
        </w:rPr>
      </w:lvl>
    </w:lvlOverride>
  </w:num>
  <w:num w:numId="59">
    <w:abstractNumId w:val="11"/>
    <w:lvlOverride w:ilvl="0">
      <w:startOverride w:val="5"/>
      <w:lvl w:ilvl="0">
        <w:start w:val="5"/>
        <w:numFmt w:val="decimal"/>
        <w:lvlText w:val="%1."/>
        <w:lvlJc w:val="left"/>
        <w:pPr>
          <w:ind w:left="397" w:hanging="397"/>
        </w:pPr>
        <w:rPr>
          <w:rFonts w:hint="default"/>
          <w:b/>
        </w:rPr>
      </w:lvl>
    </w:lvlOverride>
    <w:lvlOverride w:ilvl="1">
      <w:startOverride w:val="7"/>
      <w:lvl w:ilvl="1">
        <w:start w:val="7"/>
        <w:numFmt w:val="decimal"/>
        <w:pStyle w:val="ListParagraph"/>
        <w:lvlText w:val="%1.%2."/>
        <w:lvlJc w:val="left"/>
        <w:pPr>
          <w:ind w:left="567" w:hanging="567"/>
        </w:pPr>
        <w:rPr>
          <w:rFonts w:ascii="Arial" w:hAnsi="Arial" w:cs="Arial" w:hint="default"/>
          <w:b w:val="0"/>
        </w:rPr>
      </w:lvl>
    </w:lvlOverride>
  </w:num>
  <w:num w:numId="60">
    <w:abstractNumId w:val="69"/>
  </w:num>
  <w:num w:numId="61">
    <w:abstractNumId w:val="38"/>
  </w:num>
  <w:num w:numId="62">
    <w:abstractNumId w:val="49"/>
  </w:num>
  <w:num w:numId="63">
    <w:abstractNumId w:val="65"/>
  </w:num>
  <w:num w:numId="64">
    <w:abstractNumId w:val="94"/>
  </w:num>
  <w:num w:numId="65">
    <w:abstractNumId w:val="31"/>
  </w:num>
  <w:num w:numId="66">
    <w:abstractNumId w:val="27"/>
  </w:num>
  <w:num w:numId="67">
    <w:abstractNumId w:val="8"/>
  </w:num>
  <w:num w:numId="68">
    <w:abstractNumId w:val="83"/>
  </w:num>
  <w:num w:numId="69">
    <w:abstractNumId w:val="76"/>
  </w:num>
  <w:num w:numId="70">
    <w:abstractNumId w:val="35"/>
  </w:num>
  <w:num w:numId="71">
    <w:abstractNumId w:val="4"/>
  </w:num>
  <w:num w:numId="72">
    <w:abstractNumId w:val="71"/>
  </w:num>
  <w:num w:numId="73">
    <w:abstractNumId w:val="32"/>
  </w:num>
  <w:num w:numId="74">
    <w:abstractNumId w:val="40"/>
  </w:num>
  <w:num w:numId="75">
    <w:abstractNumId w:val="52"/>
  </w:num>
  <w:num w:numId="76">
    <w:abstractNumId w:val="57"/>
  </w:num>
  <w:num w:numId="77">
    <w:abstractNumId w:val="0"/>
  </w:num>
  <w:num w:numId="78">
    <w:abstractNumId w:val="108"/>
  </w:num>
  <w:num w:numId="79">
    <w:abstractNumId w:val="43"/>
  </w:num>
  <w:num w:numId="80">
    <w:abstractNumId w:val="24"/>
  </w:num>
  <w:num w:numId="81">
    <w:abstractNumId w:val="41"/>
  </w:num>
  <w:num w:numId="82">
    <w:abstractNumId w:val="86"/>
  </w:num>
  <w:num w:numId="83">
    <w:abstractNumId w:val="91"/>
  </w:num>
  <w:num w:numId="84">
    <w:abstractNumId w:val="56"/>
  </w:num>
  <w:num w:numId="85">
    <w:abstractNumId w:val="20"/>
  </w:num>
  <w:num w:numId="86">
    <w:abstractNumId w:val="93"/>
  </w:num>
  <w:num w:numId="87">
    <w:abstractNumId w:val="113"/>
  </w:num>
  <w:num w:numId="88">
    <w:abstractNumId w:val="103"/>
  </w:num>
  <w:num w:numId="89">
    <w:abstractNumId w:val="55"/>
  </w:num>
  <w:num w:numId="90">
    <w:abstractNumId w:val="67"/>
  </w:num>
  <w:num w:numId="91">
    <w:abstractNumId w:val="115"/>
  </w:num>
  <w:num w:numId="92">
    <w:abstractNumId w:val="112"/>
  </w:num>
  <w:num w:numId="93">
    <w:abstractNumId w:val="2"/>
  </w:num>
  <w:num w:numId="94">
    <w:abstractNumId w:val="92"/>
  </w:num>
  <w:num w:numId="95">
    <w:abstractNumId w:val="26"/>
  </w:num>
  <w:num w:numId="96">
    <w:abstractNumId w:val="75"/>
  </w:num>
  <w:num w:numId="97">
    <w:abstractNumId w:val="48"/>
  </w:num>
  <w:num w:numId="98">
    <w:abstractNumId w:val="68"/>
  </w:num>
  <w:num w:numId="99">
    <w:abstractNumId w:val="79"/>
  </w:num>
  <w:num w:numId="100">
    <w:abstractNumId w:val="110"/>
  </w:num>
  <w:num w:numId="101">
    <w:abstractNumId w:val="89"/>
  </w:num>
  <w:num w:numId="102">
    <w:abstractNumId w:val="30"/>
  </w:num>
  <w:num w:numId="103">
    <w:abstractNumId w:val="78"/>
  </w:num>
  <w:num w:numId="104">
    <w:abstractNumId w:val="66"/>
  </w:num>
  <w:num w:numId="105">
    <w:abstractNumId w:val="34"/>
  </w:num>
  <w:num w:numId="106">
    <w:abstractNumId w:val="106"/>
  </w:num>
  <w:num w:numId="107">
    <w:abstractNumId w:val="36"/>
  </w:num>
  <w:num w:numId="108">
    <w:abstractNumId w:val="29"/>
  </w:num>
  <w:num w:numId="109">
    <w:abstractNumId w:val="3"/>
  </w:num>
  <w:num w:numId="110">
    <w:abstractNumId w:val="119"/>
  </w:num>
  <w:num w:numId="111">
    <w:abstractNumId w:val="104"/>
  </w:num>
  <w:num w:numId="112">
    <w:abstractNumId w:val="80"/>
  </w:num>
  <w:num w:numId="113">
    <w:abstractNumId w:val="6"/>
  </w:num>
  <w:num w:numId="114">
    <w:abstractNumId w:val="21"/>
  </w:num>
  <w:num w:numId="115">
    <w:abstractNumId w:val="100"/>
  </w:num>
  <w:num w:numId="116">
    <w:abstractNumId w:val="85"/>
  </w:num>
  <w:num w:numId="117">
    <w:abstractNumId w:val="51"/>
  </w:num>
  <w:num w:numId="118">
    <w:abstractNumId w:val="82"/>
  </w:num>
  <w:num w:numId="119">
    <w:abstractNumId w:val="9"/>
  </w:num>
  <w:num w:numId="1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95"/>
  </w:num>
  <w:num w:numId="122">
    <w:abstractNumId w:val="1"/>
  </w:num>
  <w:num w:numId="123">
    <w:abstractNumId w:val="14"/>
  </w:num>
  <w:num w:numId="124">
    <w:abstractNumId w:val="111"/>
  </w:num>
  <w:num w:numId="125">
    <w:abstractNumId w:val="12"/>
  </w:num>
  <w:num w:numId="126">
    <w:abstractNumId w:val="11"/>
    <w:lvlOverride w:ilvl="0">
      <w:startOverride w:val="1"/>
      <w:lvl w:ilvl="0">
        <w:start w:val="1"/>
        <w:numFmt w:val="decimal"/>
        <w:lvlText w:val="%1."/>
        <w:lvlJc w:val="left"/>
        <w:pPr>
          <w:ind w:left="817" w:hanging="397"/>
        </w:pPr>
        <w:rPr>
          <w:rFonts w:hint="default"/>
          <w:b/>
        </w:rPr>
      </w:lvl>
    </w:lvlOverride>
  </w:num>
  <w:num w:numId="127">
    <w:abstractNumId w:val="116"/>
  </w:num>
  <w:num w:numId="1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44"/>
  </w:num>
  <w:num w:numId="130">
    <w:abstractNumId w:val="42"/>
  </w:num>
  <w:num w:numId="131">
    <w:abstractNumId w:val="62"/>
  </w:num>
  <w:num w:numId="1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39"/>
  </w:num>
  <w:num w:numId="134">
    <w:abstractNumId w:val="118"/>
  </w:num>
  <w:num w:numId="135">
    <w:abstractNumId w:val="64"/>
  </w:num>
  <w:num w:numId="136">
    <w:abstractNumId w:val="13"/>
  </w:num>
  <w:num w:numId="137">
    <w:abstractNumId w:val="99"/>
  </w:num>
  <w:num w:numId="138">
    <w:abstractNumId w:val="5"/>
  </w:num>
  <w:num w:numId="139">
    <w:abstractNumId w:val="18"/>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442"/>
    <w:rsid w:val="00001B0D"/>
    <w:rsid w:val="000025E9"/>
    <w:rsid w:val="0000278C"/>
    <w:rsid w:val="00004626"/>
    <w:rsid w:val="0000479E"/>
    <w:rsid w:val="00006410"/>
    <w:rsid w:val="00006830"/>
    <w:rsid w:val="0000773C"/>
    <w:rsid w:val="000111BF"/>
    <w:rsid w:val="00011F4A"/>
    <w:rsid w:val="00015555"/>
    <w:rsid w:val="000173C7"/>
    <w:rsid w:val="00021066"/>
    <w:rsid w:val="000219F8"/>
    <w:rsid w:val="0002736E"/>
    <w:rsid w:val="00030DBD"/>
    <w:rsid w:val="00031113"/>
    <w:rsid w:val="000346D5"/>
    <w:rsid w:val="00034C27"/>
    <w:rsid w:val="00034C73"/>
    <w:rsid w:val="00042C63"/>
    <w:rsid w:val="000444B4"/>
    <w:rsid w:val="00050AA8"/>
    <w:rsid w:val="000510A5"/>
    <w:rsid w:val="00053761"/>
    <w:rsid w:val="0006235B"/>
    <w:rsid w:val="00066A91"/>
    <w:rsid w:val="00067612"/>
    <w:rsid w:val="00067D62"/>
    <w:rsid w:val="000710A4"/>
    <w:rsid w:val="00071E55"/>
    <w:rsid w:val="00080EF8"/>
    <w:rsid w:val="00081593"/>
    <w:rsid w:val="000849BC"/>
    <w:rsid w:val="00084AC9"/>
    <w:rsid w:val="00084C65"/>
    <w:rsid w:val="000863DC"/>
    <w:rsid w:val="00087B00"/>
    <w:rsid w:val="00090D60"/>
    <w:rsid w:val="000948A3"/>
    <w:rsid w:val="00095CFA"/>
    <w:rsid w:val="00095FCD"/>
    <w:rsid w:val="00097F3F"/>
    <w:rsid w:val="000A00E6"/>
    <w:rsid w:val="000A099E"/>
    <w:rsid w:val="000A163C"/>
    <w:rsid w:val="000A25F3"/>
    <w:rsid w:val="000A2D25"/>
    <w:rsid w:val="000A47A5"/>
    <w:rsid w:val="000A68C1"/>
    <w:rsid w:val="000A6A74"/>
    <w:rsid w:val="000B03A7"/>
    <w:rsid w:val="000B0945"/>
    <w:rsid w:val="000B1ACF"/>
    <w:rsid w:val="000B2175"/>
    <w:rsid w:val="000B3E07"/>
    <w:rsid w:val="000B57A8"/>
    <w:rsid w:val="000B60C2"/>
    <w:rsid w:val="000B60DC"/>
    <w:rsid w:val="000B61EE"/>
    <w:rsid w:val="000B6542"/>
    <w:rsid w:val="000B7892"/>
    <w:rsid w:val="000C0C54"/>
    <w:rsid w:val="000C6392"/>
    <w:rsid w:val="000C7ADF"/>
    <w:rsid w:val="000D41B9"/>
    <w:rsid w:val="000D4370"/>
    <w:rsid w:val="000D76BA"/>
    <w:rsid w:val="000E0872"/>
    <w:rsid w:val="000E0ABE"/>
    <w:rsid w:val="000E5D19"/>
    <w:rsid w:val="000E64DA"/>
    <w:rsid w:val="000E6BF9"/>
    <w:rsid w:val="000F14B1"/>
    <w:rsid w:val="000F1A75"/>
    <w:rsid w:val="000F4FFA"/>
    <w:rsid w:val="000F57EA"/>
    <w:rsid w:val="000F67AC"/>
    <w:rsid w:val="00100380"/>
    <w:rsid w:val="00105D61"/>
    <w:rsid w:val="001070AD"/>
    <w:rsid w:val="001123E6"/>
    <w:rsid w:val="00114A68"/>
    <w:rsid w:val="0012149C"/>
    <w:rsid w:val="00121BBE"/>
    <w:rsid w:val="0012375C"/>
    <w:rsid w:val="00124EA3"/>
    <w:rsid w:val="00125D74"/>
    <w:rsid w:val="00126918"/>
    <w:rsid w:val="00127DC4"/>
    <w:rsid w:val="00133B3D"/>
    <w:rsid w:val="0013460E"/>
    <w:rsid w:val="00137865"/>
    <w:rsid w:val="001421B7"/>
    <w:rsid w:val="00143204"/>
    <w:rsid w:val="00144804"/>
    <w:rsid w:val="00146952"/>
    <w:rsid w:val="00151275"/>
    <w:rsid w:val="00154195"/>
    <w:rsid w:val="00155D63"/>
    <w:rsid w:val="00157516"/>
    <w:rsid w:val="001575DE"/>
    <w:rsid w:val="00157AC8"/>
    <w:rsid w:val="00163504"/>
    <w:rsid w:val="00164311"/>
    <w:rsid w:val="00166355"/>
    <w:rsid w:val="00166FAA"/>
    <w:rsid w:val="001675EE"/>
    <w:rsid w:val="00167AB8"/>
    <w:rsid w:val="00167EAB"/>
    <w:rsid w:val="00170199"/>
    <w:rsid w:val="00170A94"/>
    <w:rsid w:val="00172388"/>
    <w:rsid w:val="00173047"/>
    <w:rsid w:val="001743F1"/>
    <w:rsid w:val="00176E03"/>
    <w:rsid w:val="00185ABC"/>
    <w:rsid w:val="00185CA3"/>
    <w:rsid w:val="00187082"/>
    <w:rsid w:val="00191D60"/>
    <w:rsid w:val="001928BC"/>
    <w:rsid w:val="0019510E"/>
    <w:rsid w:val="001953A9"/>
    <w:rsid w:val="00195405"/>
    <w:rsid w:val="001A0C6C"/>
    <w:rsid w:val="001A3543"/>
    <w:rsid w:val="001A6872"/>
    <w:rsid w:val="001B1D92"/>
    <w:rsid w:val="001B1F11"/>
    <w:rsid w:val="001B21FB"/>
    <w:rsid w:val="001B2844"/>
    <w:rsid w:val="001B65C2"/>
    <w:rsid w:val="001B672E"/>
    <w:rsid w:val="001B77E9"/>
    <w:rsid w:val="001C0D75"/>
    <w:rsid w:val="001C6155"/>
    <w:rsid w:val="001C6F68"/>
    <w:rsid w:val="001C7304"/>
    <w:rsid w:val="001D3169"/>
    <w:rsid w:val="001D43AB"/>
    <w:rsid w:val="001D6D30"/>
    <w:rsid w:val="001D7267"/>
    <w:rsid w:val="001D7E7A"/>
    <w:rsid w:val="001E068C"/>
    <w:rsid w:val="001E1C40"/>
    <w:rsid w:val="001E4486"/>
    <w:rsid w:val="001E52F4"/>
    <w:rsid w:val="001F2337"/>
    <w:rsid w:val="001F5A1F"/>
    <w:rsid w:val="001F608F"/>
    <w:rsid w:val="001F7884"/>
    <w:rsid w:val="00200575"/>
    <w:rsid w:val="0020185B"/>
    <w:rsid w:val="00202100"/>
    <w:rsid w:val="00204252"/>
    <w:rsid w:val="00206172"/>
    <w:rsid w:val="0020620B"/>
    <w:rsid w:val="00210945"/>
    <w:rsid w:val="00210AC1"/>
    <w:rsid w:val="00210B95"/>
    <w:rsid w:val="00211FC6"/>
    <w:rsid w:val="002148E0"/>
    <w:rsid w:val="002148F3"/>
    <w:rsid w:val="0021535A"/>
    <w:rsid w:val="0022154D"/>
    <w:rsid w:val="00221C54"/>
    <w:rsid w:val="0022337A"/>
    <w:rsid w:val="00225750"/>
    <w:rsid w:val="00226C2E"/>
    <w:rsid w:val="00232AA8"/>
    <w:rsid w:val="00237361"/>
    <w:rsid w:val="002374AE"/>
    <w:rsid w:val="00240935"/>
    <w:rsid w:val="00241839"/>
    <w:rsid w:val="002425DB"/>
    <w:rsid w:val="00244F8E"/>
    <w:rsid w:val="0024578F"/>
    <w:rsid w:val="00246775"/>
    <w:rsid w:val="002505ED"/>
    <w:rsid w:val="00250A41"/>
    <w:rsid w:val="00251091"/>
    <w:rsid w:val="002525F7"/>
    <w:rsid w:val="002537F9"/>
    <w:rsid w:val="00253C04"/>
    <w:rsid w:val="00253DFE"/>
    <w:rsid w:val="002571A6"/>
    <w:rsid w:val="00257373"/>
    <w:rsid w:val="00261EFB"/>
    <w:rsid w:val="002626C3"/>
    <w:rsid w:val="002644B9"/>
    <w:rsid w:val="00264ACB"/>
    <w:rsid w:val="0026569B"/>
    <w:rsid w:val="0027052E"/>
    <w:rsid w:val="0027205F"/>
    <w:rsid w:val="00276FB6"/>
    <w:rsid w:val="002810E5"/>
    <w:rsid w:val="0028183E"/>
    <w:rsid w:val="002832A2"/>
    <w:rsid w:val="0028467C"/>
    <w:rsid w:val="00286B37"/>
    <w:rsid w:val="0028753E"/>
    <w:rsid w:val="0029170C"/>
    <w:rsid w:val="00293A72"/>
    <w:rsid w:val="00293AFF"/>
    <w:rsid w:val="002948D7"/>
    <w:rsid w:val="00295575"/>
    <w:rsid w:val="0029758D"/>
    <w:rsid w:val="00297C4C"/>
    <w:rsid w:val="00297F39"/>
    <w:rsid w:val="002A0697"/>
    <w:rsid w:val="002A1470"/>
    <w:rsid w:val="002A2B32"/>
    <w:rsid w:val="002A55FF"/>
    <w:rsid w:val="002B3593"/>
    <w:rsid w:val="002B401E"/>
    <w:rsid w:val="002B734B"/>
    <w:rsid w:val="002B73B8"/>
    <w:rsid w:val="002B760E"/>
    <w:rsid w:val="002B7E93"/>
    <w:rsid w:val="002C026E"/>
    <w:rsid w:val="002C046D"/>
    <w:rsid w:val="002C24CE"/>
    <w:rsid w:val="002C494C"/>
    <w:rsid w:val="002C5167"/>
    <w:rsid w:val="002C6BE1"/>
    <w:rsid w:val="002C74CB"/>
    <w:rsid w:val="002C7FA6"/>
    <w:rsid w:val="002D0669"/>
    <w:rsid w:val="002D1BA6"/>
    <w:rsid w:val="002D2692"/>
    <w:rsid w:val="002D3C55"/>
    <w:rsid w:val="002D4EBD"/>
    <w:rsid w:val="002D5973"/>
    <w:rsid w:val="002D5B2C"/>
    <w:rsid w:val="002D5F0D"/>
    <w:rsid w:val="002D60D4"/>
    <w:rsid w:val="002D6349"/>
    <w:rsid w:val="002D6409"/>
    <w:rsid w:val="002D708D"/>
    <w:rsid w:val="002D74F0"/>
    <w:rsid w:val="002E0534"/>
    <w:rsid w:val="002E05CB"/>
    <w:rsid w:val="002E108C"/>
    <w:rsid w:val="002E180F"/>
    <w:rsid w:val="002E2791"/>
    <w:rsid w:val="002E321A"/>
    <w:rsid w:val="002E38CA"/>
    <w:rsid w:val="002E3DBC"/>
    <w:rsid w:val="002E561A"/>
    <w:rsid w:val="002F3BC0"/>
    <w:rsid w:val="00301D9C"/>
    <w:rsid w:val="00302419"/>
    <w:rsid w:val="00303F95"/>
    <w:rsid w:val="003043D8"/>
    <w:rsid w:val="0030624E"/>
    <w:rsid w:val="003069AC"/>
    <w:rsid w:val="00306EE4"/>
    <w:rsid w:val="00307055"/>
    <w:rsid w:val="00307DD4"/>
    <w:rsid w:val="003108A9"/>
    <w:rsid w:val="003144D0"/>
    <w:rsid w:val="00315804"/>
    <w:rsid w:val="00321F1E"/>
    <w:rsid w:val="0032304E"/>
    <w:rsid w:val="00333FD9"/>
    <w:rsid w:val="0033558F"/>
    <w:rsid w:val="003355BC"/>
    <w:rsid w:val="00335DAA"/>
    <w:rsid w:val="003366D0"/>
    <w:rsid w:val="00337273"/>
    <w:rsid w:val="00337306"/>
    <w:rsid w:val="00341611"/>
    <w:rsid w:val="003443FB"/>
    <w:rsid w:val="00344BFD"/>
    <w:rsid w:val="00352014"/>
    <w:rsid w:val="00362D1C"/>
    <w:rsid w:val="003630B9"/>
    <w:rsid w:val="00365CC7"/>
    <w:rsid w:val="0037049B"/>
    <w:rsid w:val="0037191A"/>
    <w:rsid w:val="00371999"/>
    <w:rsid w:val="00372583"/>
    <w:rsid w:val="00372D8C"/>
    <w:rsid w:val="00373B9D"/>
    <w:rsid w:val="00376086"/>
    <w:rsid w:val="00376FA3"/>
    <w:rsid w:val="003815C4"/>
    <w:rsid w:val="00383B4D"/>
    <w:rsid w:val="00384637"/>
    <w:rsid w:val="003860D9"/>
    <w:rsid w:val="00391342"/>
    <w:rsid w:val="0039285D"/>
    <w:rsid w:val="00392E56"/>
    <w:rsid w:val="00397D74"/>
    <w:rsid w:val="003A0DF4"/>
    <w:rsid w:val="003A1D57"/>
    <w:rsid w:val="003A30B9"/>
    <w:rsid w:val="003A3A2C"/>
    <w:rsid w:val="003A4DC7"/>
    <w:rsid w:val="003A5CC7"/>
    <w:rsid w:val="003A7DC2"/>
    <w:rsid w:val="003A7DD3"/>
    <w:rsid w:val="003B264F"/>
    <w:rsid w:val="003B4C8E"/>
    <w:rsid w:val="003B60ED"/>
    <w:rsid w:val="003B7F80"/>
    <w:rsid w:val="003C0924"/>
    <w:rsid w:val="003C0FE7"/>
    <w:rsid w:val="003C1A1E"/>
    <w:rsid w:val="003C4216"/>
    <w:rsid w:val="003C5514"/>
    <w:rsid w:val="003C68B4"/>
    <w:rsid w:val="003D029A"/>
    <w:rsid w:val="003D4BC4"/>
    <w:rsid w:val="003D5642"/>
    <w:rsid w:val="003D63C2"/>
    <w:rsid w:val="003D73B9"/>
    <w:rsid w:val="003E1654"/>
    <w:rsid w:val="003E28E5"/>
    <w:rsid w:val="003E3008"/>
    <w:rsid w:val="003E5113"/>
    <w:rsid w:val="003E5551"/>
    <w:rsid w:val="003E56BB"/>
    <w:rsid w:val="003F01A1"/>
    <w:rsid w:val="003F4C06"/>
    <w:rsid w:val="003F5415"/>
    <w:rsid w:val="003F61CF"/>
    <w:rsid w:val="003F6C16"/>
    <w:rsid w:val="003F783A"/>
    <w:rsid w:val="0040066B"/>
    <w:rsid w:val="004020BE"/>
    <w:rsid w:val="0040247E"/>
    <w:rsid w:val="00403FDF"/>
    <w:rsid w:val="00405F1D"/>
    <w:rsid w:val="004131EB"/>
    <w:rsid w:val="004162A2"/>
    <w:rsid w:val="004205F0"/>
    <w:rsid w:val="004206F5"/>
    <w:rsid w:val="00420A4B"/>
    <w:rsid w:val="00421089"/>
    <w:rsid w:val="00423642"/>
    <w:rsid w:val="00424C9B"/>
    <w:rsid w:val="004254FF"/>
    <w:rsid w:val="004276F6"/>
    <w:rsid w:val="00427825"/>
    <w:rsid w:val="00427A6B"/>
    <w:rsid w:val="00430BDA"/>
    <w:rsid w:val="00430D0B"/>
    <w:rsid w:val="0043301C"/>
    <w:rsid w:val="0043428A"/>
    <w:rsid w:val="004346F3"/>
    <w:rsid w:val="00436C5E"/>
    <w:rsid w:val="00437666"/>
    <w:rsid w:val="00440987"/>
    <w:rsid w:val="004433FC"/>
    <w:rsid w:val="00444675"/>
    <w:rsid w:val="0044547C"/>
    <w:rsid w:val="0044596F"/>
    <w:rsid w:val="0044759A"/>
    <w:rsid w:val="00453572"/>
    <w:rsid w:val="0045381E"/>
    <w:rsid w:val="00454197"/>
    <w:rsid w:val="004547A6"/>
    <w:rsid w:val="004553A1"/>
    <w:rsid w:val="00455520"/>
    <w:rsid w:val="004616E8"/>
    <w:rsid w:val="0046401A"/>
    <w:rsid w:val="0046584C"/>
    <w:rsid w:val="00466CAC"/>
    <w:rsid w:val="00472B9C"/>
    <w:rsid w:val="004733A1"/>
    <w:rsid w:val="0047383E"/>
    <w:rsid w:val="00473D21"/>
    <w:rsid w:val="00473E83"/>
    <w:rsid w:val="00476434"/>
    <w:rsid w:val="00477EFC"/>
    <w:rsid w:val="00481832"/>
    <w:rsid w:val="004839AC"/>
    <w:rsid w:val="0049095F"/>
    <w:rsid w:val="00491DB5"/>
    <w:rsid w:val="00491DFE"/>
    <w:rsid w:val="00491EC5"/>
    <w:rsid w:val="00492397"/>
    <w:rsid w:val="00492FD6"/>
    <w:rsid w:val="00496000"/>
    <w:rsid w:val="00496BAA"/>
    <w:rsid w:val="00497368"/>
    <w:rsid w:val="004976AF"/>
    <w:rsid w:val="004A0C9F"/>
    <w:rsid w:val="004A260A"/>
    <w:rsid w:val="004A2F13"/>
    <w:rsid w:val="004A3AB2"/>
    <w:rsid w:val="004A5AD0"/>
    <w:rsid w:val="004A7789"/>
    <w:rsid w:val="004B0A08"/>
    <w:rsid w:val="004B1C78"/>
    <w:rsid w:val="004B282E"/>
    <w:rsid w:val="004B4AEA"/>
    <w:rsid w:val="004B5B35"/>
    <w:rsid w:val="004C0600"/>
    <w:rsid w:val="004C2623"/>
    <w:rsid w:val="004C274C"/>
    <w:rsid w:val="004D3365"/>
    <w:rsid w:val="004D3FEB"/>
    <w:rsid w:val="004E1A36"/>
    <w:rsid w:val="004E2651"/>
    <w:rsid w:val="004E2F08"/>
    <w:rsid w:val="004E53BB"/>
    <w:rsid w:val="004E5FB8"/>
    <w:rsid w:val="004E7561"/>
    <w:rsid w:val="004F0858"/>
    <w:rsid w:val="004F0B17"/>
    <w:rsid w:val="004F126C"/>
    <w:rsid w:val="004F2382"/>
    <w:rsid w:val="004F2C11"/>
    <w:rsid w:val="004F5315"/>
    <w:rsid w:val="004F5E50"/>
    <w:rsid w:val="004F6412"/>
    <w:rsid w:val="005010CE"/>
    <w:rsid w:val="00503FC2"/>
    <w:rsid w:val="00506587"/>
    <w:rsid w:val="0051010F"/>
    <w:rsid w:val="00512E90"/>
    <w:rsid w:val="00516589"/>
    <w:rsid w:val="00516FC6"/>
    <w:rsid w:val="00520350"/>
    <w:rsid w:val="0052363E"/>
    <w:rsid w:val="0052503C"/>
    <w:rsid w:val="00525756"/>
    <w:rsid w:val="00526290"/>
    <w:rsid w:val="00527BE4"/>
    <w:rsid w:val="00530556"/>
    <w:rsid w:val="005322D1"/>
    <w:rsid w:val="00532D9B"/>
    <w:rsid w:val="00533944"/>
    <w:rsid w:val="0053610B"/>
    <w:rsid w:val="00541A50"/>
    <w:rsid w:val="00542F26"/>
    <w:rsid w:val="00543594"/>
    <w:rsid w:val="0054544B"/>
    <w:rsid w:val="00545C60"/>
    <w:rsid w:val="00546712"/>
    <w:rsid w:val="0054717F"/>
    <w:rsid w:val="00553100"/>
    <w:rsid w:val="005548EA"/>
    <w:rsid w:val="00554F8B"/>
    <w:rsid w:val="00555989"/>
    <w:rsid w:val="00555E80"/>
    <w:rsid w:val="00556866"/>
    <w:rsid w:val="00556902"/>
    <w:rsid w:val="0056098E"/>
    <w:rsid w:val="00561A79"/>
    <w:rsid w:val="00564BA0"/>
    <w:rsid w:val="00564F23"/>
    <w:rsid w:val="00565072"/>
    <w:rsid w:val="00567524"/>
    <w:rsid w:val="00567606"/>
    <w:rsid w:val="00567684"/>
    <w:rsid w:val="00567C74"/>
    <w:rsid w:val="00570A0D"/>
    <w:rsid w:val="00570F30"/>
    <w:rsid w:val="0057129B"/>
    <w:rsid w:val="00572A5A"/>
    <w:rsid w:val="0057396B"/>
    <w:rsid w:val="00574984"/>
    <w:rsid w:val="00575EDC"/>
    <w:rsid w:val="00576C0C"/>
    <w:rsid w:val="005773BA"/>
    <w:rsid w:val="00577AE6"/>
    <w:rsid w:val="00577E11"/>
    <w:rsid w:val="005811A2"/>
    <w:rsid w:val="00582781"/>
    <w:rsid w:val="00582F14"/>
    <w:rsid w:val="0058430A"/>
    <w:rsid w:val="00584406"/>
    <w:rsid w:val="00585507"/>
    <w:rsid w:val="005875CD"/>
    <w:rsid w:val="005908EB"/>
    <w:rsid w:val="00592745"/>
    <w:rsid w:val="00592C57"/>
    <w:rsid w:val="005942ED"/>
    <w:rsid w:val="005957E6"/>
    <w:rsid w:val="0059618B"/>
    <w:rsid w:val="00596239"/>
    <w:rsid w:val="0059658C"/>
    <w:rsid w:val="005967AE"/>
    <w:rsid w:val="00597DD2"/>
    <w:rsid w:val="005A0341"/>
    <w:rsid w:val="005A2B63"/>
    <w:rsid w:val="005A4BF1"/>
    <w:rsid w:val="005B041C"/>
    <w:rsid w:val="005B070B"/>
    <w:rsid w:val="005B16C9"/>
    <w:rsid w:val="005B6BC2"/>
    <w:rsid w:val="005C2666"/>
    <w:rsid w:val="005C2D4E"/>
    <w:rsid w:val="005C3DA4"/>
    <w:rsid w:val="005C766D"/>
    <w:rsid w:val="005C7E33"/>
    <w:rsid w:val="005D0A81"/>
    <w:rsid w:val="005D249B"/>
    <w:rsid w:val="005D4B70"/>
    <w:rsid w:val="005D4D93"/>
    <w:rsid w:val="005D6C2E"/>
    <w:rsid w:val="005E0E2F"/>
    <w:rsid w:val="005E19EF"/>
    <w:rsid w:val="005E2D9C"/>
    <w:rsid w:val="005E3B33"/>
    <w:rsid w:val="005E4A02"/>
    <w:rsid w:val="005E6533"/>
    <w:rsid w:val="005E73DD"/>
    <w:rsid w:val="005F0247"/>
    <w:rsid w:val="005F3563"/>
    <w:rsid w:val="005F3C87"/>
    <w:rsid w:val="005F4553"/>
    <w:rsid w:val="005F576B"/>
    <w:rsid w:val="0060028E"/>
    <w:rsid w:val="00602C4F"/>
    <w:rsid w:val="00602E25"/>
    <w:rsid w:val="0060403A"/>
    <w:rsid w:val="0060528D"/>
    <w:rsid w:val="00605C3A"/>
    <w:rsid w:val="00607264"/>
    <w:rsid w:val="00610A49"/>
    <w:rsid w:val="006117EA"/>
    <w:rsid w:val="0061698F"/>
    <w:rsid w:val="00616FD1"/>
    <w:rsid w:val="00620163"/>
    <w:rsid w:val="006203AB"/>
    <w:rsid w:val="00620CAD"/>
    <w:rsid w:val="00620D3B"/>
    <w:rsid w:val="006212CB"/>
    <w:rsid w:val="006215B4"/>
    <w:rsid w:val="00623884"/>
    <w:rsid w:val="00624901"/>
    <w:rsid w:val="00625ECE"/>
    <w:rsid w:val="0062746E"/>
    <w:rsid w:val="00631392"/>
    <w:rsid w:val="00631E86"/>
    <w:rsid w:val="006364B6"/>
    <w:rsid w:val="00637DFC"/>
    <w:rsid w:val="0064384A"/>
    <w:rsid w:val="0064585D"/>
    <w:rsid w:val="006466CB"/>
    <w:rsid w:val="0064778B"/>
    <w:rsid w:val="006513DC"/>
    <w:rsid w:val="0065245D"/>
    <w:rsid w:val="00654FAC"/>
    <w:rsid w:val="00655158"/>
    <w:rsid w:val="00655842"/>
    <w:rsid w:val="00655C80"/>
    <w:rsid w:val="00663F01"/>
    <w:rsid w:val="0066497D"/>
    <w:rsid w:val="0067217D"/>
    <w:rsid w:val="006735FD"/>
    <w:rsid w:val="0067367E"/>
    <w:rsid w:val="006747B9"/>
    <w:rsid w:val="006757F0"/>
    <w:rsid w:val="00675BEC"/>
    <w:rsid w:val="0068165C"/>
    <w:rsid w:val="00681742"/>
    <w:rsid w:val="0068491E"/>
    <w:rsid w:val="00686157"/>
    <w:rsid w:val="0068796F"/>
    <w:rsid w:val="00687FA7"/>
    <w:rsid w:val="00690B80"/>
    <w:rsid w:val="0069119B"/>
    <w:rsid w:val="006926F1"/>
    <w:rsid w:val="00693DDA"/>
    <w:rsid w:val="0069473B"/>
    <w:rsid w:val="006972E1"/>
    <w:rsid w:val="006A11F5"/>
    <w:rsid w:val="006A2D60"/>
    <w:rsid w:val="006A6BAE"/>
    <w:rsid w:val="006A7318"/>
    <w:rsid w:val="006B2624"/>
    <w:rsid w:val="006B2BBC"/>
    <w:rsid w:val="006B30AF"/>
    <w:rsid w:val="006B58C4"/>
    <w:rsid w:val="006C29A6"/>
    <w:rsid w:val="006C2B0C"/>
    <w:rsid w:val="006C32D7"/>
    <w:rsid w:val="006C4D2F"/>
    <w:rsid w:val="006C5B94"/>
    <w:rsid w:val="006C5E02"/>
    <w:rsid w:val="006C70A7"/>
    <w:rsid w:val="006C7203"/>
    <w:rsid w:val="006C7609"/>
    <w:rsid w:val="006D24C6"/>
    <w:rsid w:val="006D3E32"/>
    <w:rsid w:val="006D577C"/>
    <w:rsid w:val="006D7336"/>
    <w:rsid w:val="006E23B2"/>
    <w:rsid w:val="006E5DE4"/>
    <w:rsid w:val="006E6342"/>
    <w:rsid w:val="006F0BAF"/>
    <w:rsid w:val="006F2E36"/>
    <w:rsid w:val="006F3569"/>
    <w:rsid w:val="006F4A02"/>
    <w:rsid w:val="006F4E7B"/>
    <w:rsid w:val="006F57DD"/>
    <w:rsid w:val="006F5B05"/>
    <w:rsid w:val="00707E03"/>
    <w:rsid w:val="0071142C"/>
    <w:rsid w:val="00712B38"/>
    <w:rsid w:val="00714567"/>
    <w:rsid w:val="007176AD"/>
    <w:rsid w:val="007211EB"/>
    <w:rsid w:val="0072493E"/>
    <w:rsid w:val="0072664E"/>
    <w:rsid w:val="00731DFB"/>
    <w:rsid w:val="00732E27"/>
    <w:rsid w:val="007341C9"/>
    <w:rsid w:val="007368FC"/>
    <w:rsid w:val="00741176"/>
    <w:rsid w:val="0074232B"/>
    <w:rsid w:val="0074304F"/>
    <w:rsid w:val="00744F6F"/>
    <w:rsid w:val="0074513A"/>
    <w:rsid w:val="0074652C"/>
    <w:rsid w:val="00746F54"/>
    <w:rsid w:val="007504E5"/>
    <w:rsid w:val="00751E68"/>
    <w:rsid w:val="00757FF7"/>
    <w:rsid w:val="00760CEB"/>
    <w:rsid w:val="00762239"/>
    <w:rsid w:val="0076322D"/>
    <w:rsid w:val="00766E9B"/>
    <w:rsid w:val="00767A17"/>
    <w:rsid w:val="00771534"/>
    <w:rsid w:val="0077278B"/>
    <w:rsid w:val="00775AD0"/>
    <w:rsid w:val="00776ED6"/>
    <w:rsid w:val="0078069C"/>
    <w:rsid w:val="00780AEA"/>
    <w:rsid w:val="0078380D"/>
    <w:rsid w:val="00785CEE"/>
    <w:rsid w:val="007A0013"/>
    <w:rsid w:val="007A08C0"/>
    <w:rsid w:val="007A0D2A"/>
    <w:rsid w:val="007A1895"/>
    <w:rsid w:val="007A594B"/>
    <w:rsid w:val="007A59F7"/>
    <w:rsid w:val="007A6018"/>
    <w:rsid w:val="007A64FD"/>
    <w:rsid w:val="007A6591"/>
    <w:rsid w:val="007A67CF"/>
    <w:rsid w:val="007A6F05"/>
    <w:rsid w:val="007B0D04"/>
    <w:rsid w:val="007B13BC"/>
    <w:rsid w:val="007B1F63"/>
    <w:rsid w:val="007B2F6C"/>
    <w:rsid w:val="007B30D6"/>
    <w:rsid w:val="007B511C"/>
    <w:rsid w:val="007B649A"/>
    <w:rsid w:val="007B7DBB"/>
    <w:rsid w:val="007C1097"/>
    <w:rsid w:val="007C151D"/>
    <w:rsid w:val="007C2375"/>
    <w:rsid w:val="007C2383"/>
    <w:rsid w:val="007C28F0"/>
    <w:rsid w:val="007C3360"/>
    <w:rsid w:val="007C4F65"/>
    <w:rsid w:val="007C55D9"/>
    <w:rsid w:val="007D0C94"/>
    <w:rsid w:val="007D1208"/>
    <w:rsid w:val="007D1657"/>
    <w:rsid w:val="007D1D8B"/>
    <w:rsid w:val="007D23F7"/>
    <w:rsid w:val="007D2B28"/>
    <w:rsid w:val="007D5D75"/>
    <w:rsid w:val="007E058D"/>
    <w:rsid w:val="007E1AE5"/>
    <w:rsid w:val="007E204F"/>
    <w:rsid w:val="007E37FA"/>
    <w:rsid w:val="007E3F64"/>
    <w:rsid w:val="007E5E9A"/>
    <w:rsid w:val="007F1326"/>
    <w:rsid w:val="007F2104"/>
    <w:rsid w:val="007F2E1B"/>
    <w:rsid w:val="007F31C3"/>
    <w:rsid w:val="007F5763"/>
    <w:rsid w:val="007F6399"/>
    <w:rsid w:val="007F6F64"/>
    <w:rsid w:val="008001EF"/>
    <w:rsid w:val="008014A3"/>
    <w:rsid w:val="0080182F"/>
    <w:rsid w:val="008029F6"/>
    <w:rsid w:val="008043EA"/>
    <w:rsid w:val="0080465F"/>
    <w:rsid w:val="00810A2D"/>
    <w:rsid w:val="00810DF6"/>
    <w:rsid w:val="0081657B"/>
    <w:rsid w:val="0081665E"/>
    <w:rsid w:val="00824FCB"/>
    <w:rsid w:val="008255E1"/>
    <w:rsid w:val="0082635B"/>
    <w:rsid w:val="00831BBE"/>
    <w:rsid w:val="00833B9E"/>
    <w:rsid w:val="00835BB3"/>
    <w:rsid w:val="00837C4A"/>
    <w:rsid w:val="00840646"/>
    <w:rsid w:val="00840F88"/>
    <w:rsid w:val="008416B9"/>
    <w:rsid w:val="00843CFC"/>
    <w:rsid w:val="00844BF7"/>
    <w:rsid w:val="00847DBB"/>
    <w:rsid w:val="00847ECA"/>
    <w:rsid w:val="00851615"/>
    <w:rsid w:val="008537E6"/>
    <w:rsid w:val="00853BEE"/>
    <w:rsid w:val="00853F6A"/>
    <w:rsid w:val="00855D44"/>
    <w:rsid w:val="00857BA4"/>
    <w:rsid w:val="00862DE1"/>
    <w:rsid w:val="008636F9"/>
    <w:rsid w:val="00864B91"/>
    <w:rsid w:val="00866625"/>
    <w:rsid w:val="008667C8"/>
    <w:rsid w:val="00866BA1"/>
    <w:rsid w:val="00871503"/>
    <w:rsid w:val="00876F07"/>
    <w:rsid w:val="00880BB1"/>
    <w:rsid w:val="00881ECA"/>
    <w:rsid w:val="00884D61"/>
    <w:rsid w:val="00884EA5"/>
    <w:rsid w:val="00886517"/>
    <w:rsid w:val="00891224"/>
    <w:rsid w:val="008917DB"/>
    <w:rsid w:val="00891A60"/>
    <w:rsid w:val="00892717"/>
    <w:rsid w:val="00892840"/>
    <w:rsid w:val="00892E74"/>
    <w:rsid w:val="00894167"/>
    <w:rsid w:val="00895E5B"/>
    <w:rsid w:val="00896EA7"/>
    <w:rsid w:val="00897318"/>
    <w:rsid w:val="008A184D"/>
    <w:rsid w:val="008A3B01"/>
    <w:rsid w:val="008A3E3B"/>
    <w:rsid w:val="008A4091"/>
    <w:rsid w:val="008A4EEC"/>
    <w:rsid w:val="008A50C0"/>
    <w:rsid w:val="008A5C4C"/>
    <w:rsid w:val="008B0ED7"/>
    <w:rsid w:val="008B58DB"/>
    <w:rsid w:val="008C31D7"/>
    <w:rsid w:val="008C3B4E"/>
    <w:rsid w:val="008C5A73"/>
    <w:rsid w:val="008D373A"/>
    <w:rsid w:val="008D38A4"/>
    <w:rsid w:val="008D4B9F"/>
    <w:rsid w:val="008D5327"/>
    <w:rsid w:val="008D59CF"/>
    <w:rsid w:val="008D6BFD"/>
    <w:rsid w:val="008D74A2"/>
    <w:rsid w:val="008D7769"/>
    <w:rsid w:val="008E0D5D"/>
    <w:rsid w:val="008E2ACC"/>
    <w:rsid w:val="008E3E01"/>
    <w:rsid w:val="008E4300"/>
    <w:rsid w:val="008E4EA0"/>
    <w:rsid w:val="008E504B"/>
    <w:rsid w:val="008F0F1E"/>
    <w:rsid w:val="008F1C00"/>
    <w:rsid w:val="008F2B98"/>
    <w:rsid w:val="008F5ECD"/>
    <w:rsid w:val="008F5FB0"/>
    <w:rsid w:val="008F5FEA"/>
    <w:rsid w:val="008F691E"/>
    <w:rsid w:val="0090124E"/>
    <w:rsid w:val="0090253F"/>
    <w:rsid w:val="009034E0"/>
    <w:rsid w:val="009037ED"/>
    <w:rsid w:val="00906E21"/>
    <w:rsid w:val="00911D11"/>
    <w:rsid w:val="00912EC0"/>
    <w:rsid w:val="0091375F"/>
    <w:rsid w:val="00913A78"/>
    <w:rsid w:val="009147A5"/>
    <w:rsid w:val="00915884"/>
    <w:rsid w:val="00915D37"/>
    <w:rsid w:val="009175A2"/>
    <w:rsid w:val="009208E9"/>
    <w:rsid w:val="009260B1"/>
    <w:rsid w:val="0092695A"/>
    <w:rsid w:val="00927470"/>
    <w:rsid w:val="00931D1B"/>
    <w:rsid w:val="009332AA"/>
    <w:rsid w:val="009343F2"/>
    <w:rsid w:val="00934555"/>
    <w:rsid w:val="009404EB"/>
    <w:rsid w:val="00940D3E"/>
    <w:rsid w:val="00941812"/>
    <w:rsid w:val="009419AD"/>
    <w:rsid w:val="00944727"/>
    <w:rsid w:val="00944D5E"/>
    <w:rsid w:val="00950D41"/>
    <w:rsid w:val="00954076"/>
    <w:rsid w:val="00954C72"/>
    <w:rsid w:val="0095529B"/>
    <w:rsid w:val="00955E78"/>
    <w:rsid w:val="00955FC5"/>
    <w:rsid w:val="00956AB5"/>
    <w:rsid w:val="00962A81"/>
    <w:rsid w:val="009639A0"/>
    <w:rsid w:val="00964C57"/>
    <w:rsid w:val="00966D56"/>
    <w:rsid w:val="009677F4"/>
    <w:rsid w:val="009716D0"/>
    <w:rsid w:val="009717B6"/>
    <w:rsid w:val="00973A6E"/>
    <w:rsid w:val="00974106"/>
    <w:rsid w:val="00974CC3"/>
    <w:rsid w:val="00977ABB"/>
    <w:rsid w:val="00982209"/>
    <w:rsid w:val="009901D4"/>
    <w:rsid w:val="00993686"/>
    <w:rsid w:val="00994A16"/>
    <w:rsid w:val="0099739F"/>
    <w:rsid w:val="009A108C"/>
    <w:rsid w:val="009A22AB"/>
    <w:rsid w:val="009A2DE1"/>
    <w:rsid w:val="009A30B4"/>
    <w:rsid w:val="009A4872"/>
    <w:rsid w:val="009A5730"/>
    <w:rsid w:val="009A7193"/>
    <w:rsid w:val="009A7442"/>
    <w:rsid w:val="009A7F35"/>
    <w:rsid w:val="009B0C78"/>
    <w:rsid w:val="009B58CF"/>
    <w:rsid w:val="009B5CE4"/>
    <w:rsid w:val="009B5E13"/>
    <w:rsid w:val="009C004C"/>
    <w:rsid w:val="009C16DF"/>
    <w:rsid w:val="009C4FB8"/>
    <w:rsid w:val="009C550D"/>
    <w:rsid w:val="009C7B5C"/>
    <w:rsid w:val="009C7BE2"/>
    <w:rsid w:val="009D1A3D"/>
    <w:rsid w:val="009D383B"/>
    <w:rsid w:val="009D4451"/>
    <w:rsid w:val="009D55B8"/>
    <w:rsid w:val="009E289C"/>
    <w:rsid w:val="009E2B69"/>
    <w:rsid w:val="009E3230"/>
    <w:rsid w:val="009E4FD8"/>
    <w:rsid w:val="009F0463"/>
    <w:rsid w:val="009F6A26"/>
    <w:rsid w:val="009F6B2E"/>
    <w:rsid w:val="00A00878"/>
    <w:rsid w:val="00A016EB"/>
    <w:rsid w:val="00A021B8"/>
    <w:rsid w:val="00A02363"/>
    <w:rsid w:val="00A028E7"/>
    <w:rsid w:val="00A03376"/>
    <w:rsid w:val="00A03718"/>
    <w:rsid w:val="00A03CDF"/>
    <w:rsid w:val="00A06DAB"/>
    <w:rsid w:val="00A10B02"/>
    <w:rsid w:val="00A11CF2"/>
    <w:rsid w:val="00A13A1A"/>
    <w:rsid w:val="00A149A3"/>
    <w:rsid w:val="00A167BC"/>
    <w:rsid w:val="00A216D4"/>
    <w:rsid w:val="00A2515C"/>
    <w:rsid w:val="00A305EA"/>
    <w:rsid w:val="00A33BE6"/>
    <w:rsid w:val="00A3405A"/>
    <w:rsid w:val="00A340AE"/>
    <w:rsid w:val="00A35CBC"/>
    <w:rsid w:val="00A378BC"/>
    <w:rsid w:val="00A41C64"/>
    <w:rsid w:val="00A440C4"/>
    <w:rsid w:val="00A44904"/>
    <w:rsid w:val="00A52568"/>
    <w:rsid w:val="00A54661"/>
    <w:rsid w:val="00A556E6"/>
    <w:rsid w:val="00A559C9"/>
    <w:rsid w:val="00A56560"/>
    <w:rsid w:val="00A566B0"/>
    <w:rsid w:val="00A567BD"/>
    <w:rsid w:val="00A603FB"/>
    <w:rsid w:val="00A60C6B"/>
    <w:rsid w:val="00A6264D"/>
    <w:rsid w:val="00A63C18"/>
    <w:rsid w:val="00A64F6C"/>
    <w:rsid w:val="00A654A6"/>
    <w:rsid w:val="00A657FD"/>
    <w:rsid w:val="00A704A5"/>
    <w:rsid w:val="00A7279E"/>
    <w:rsid w:val="00A7299D"/>
    <w:rsid w:val="00A76134"/>
    <w:rsid w:val="00A802FC"/>
    <w:rsid w:val="00A803D5"/>
    <w:rsid w:val="00A85083"/>
    <w:rsid w:val="00A86798"/>
    <w:rsid w:val="00A91124"/>
    <w:rsid w:val="00A91747"/>
    <w:rsid w:val="00A92D49"/>
    <w:rsid w:val="00AA05FB"/>
    <w:rsid w:val="00AA0613"/>
    <w:rsid w:val="00AA0D6A"/>
    <w:rsid w:val="00AA20F1"/>
    <w:rsid w:val="00AA46CB"/>
    <w:rsid w:val="00AA4C82"/>
    <w:rsid w:val="00AA681B"/>
    <w:rsid w:val="00AA75A9"/>
    <w:rsid w:val="00AB3A63"/>
    <w:rsid w:val="00AB4B78"/>
    <w:rsid w:val="00AB53C7"/>
    <w:rsid w:val="00AB5BE4"/>
    <w:rsid w:val="00AC0492"/>
    <w:rsid w:val="00AC06BC"/>
    <w:rsid w:val="00AC085A"/>
    <w:rsid w:val="00AC0F62"/>
    <w:rsid w:val="00AC1E64"/>
    <w:rsid w:val="00AC7398"/>
    <w:rsid w:val="00AD08AC"/>
    <w:rsid w:val="00AD31EC"/>
    <w:rsid w:val="00AE217F"/>
    <w:rsid w:val="00AE31FE"/>
    <w:rsid w:val="00AF00BA"/>
    <w:rsid w:val="00AF1020"/>
    <w:rsid w:val="00AF10AE"/>
    <w:rsid w:val="00AF1C76"/>
    <w:rsid w:val="00AF3325"/>
    <w:rsid w:val="00AF5FE4"/>
    <w:rsid w:val="00AF62BE"/>
    <w:rsid w:val="00B00AC1"/>
    <w:rsid w:val="00B0198C"/>
    <w:rsid w:val="00B04401"/>
    <w:rsid w:val="00B06C58"/>
    <w:rsid w:val="00B06CA4"/>
    <w:rsid w:val="00B079BA"/>
    <w:rsid w:val="00B1047A"/>
    <w:rsid w:val="00B1083C"/>
    <w:rsid w:val="00B11D1A"/>
    <w:rsid w:val="00B131CB"/>
    <w:rsid w:val="00B1499D"/>
    <w:rsid w:val="00B16D2E"/>
    <w:rsid w:val="00B17661"/>
    <w:rsid w:val="00B20C8F"/>
    <w:rsid w:val="00B22335"/>
    <w:rsid w:val="00B22777"/>
    <w:rsid w:val="00B2608D"/>
    <w:rsid w:val="00B32843"/>
    <w:rsid w:val="00B32C0F"/>
    <w:rsid w:val="00B33492"/>
    <w:rsid w:val="00B34A2C"/>
    <w:rsid w:val="00B34DD5"/>
    <w:rsid w:val="00B34DE8"/>
    <w:rsid w:val="00B352BE"/>
    <w:rsid w:val="00B37F5D"/>
    <w:rsid w:val="00B40BDF"/>
    <w:rsid w:val="00B41D74"/>
    <w:rsid w:val="00B437A7"/>
    <w:rsid w:val="00B51271"/>
    <w:rsid w:val="00B53254"/>
    <w:rsid w:val="00B54BEB"/>
    <w:rsid w:val="00B54D68"/>
    <w:rsid w:val="00B54E4E"/>
    <w:rsid w:val="00B57D85"/>
    <w:rsid w:val="00B60BAD"/>
    <w:rsid w:val="00B6348A"/>
    <w:rsid w:val="00B65F45"/>
    <w:rsid w:val="00B66F60"/>
    <w:rsid w:val="00B67AB6"/>
    <w:rsid w:val="00B74E8F"/>
    <w:rsid w:val="00B7530D"/>
    <w:rsid w:val="00B812FB"/>
    <w:rsid w:val="00B81B67"/>
    <w:rsid w:val="00B8257A"/>
    <w:rsid w:val="00B83572"/>
    <w:rsid w:val="00B86D8B"/>
    <w:rsid w:val="00B87564"/>
    <w:rsid w:val="00B92E2B"/>
    <w:rsid w:val="00B93693"/>
    <w:rsid w:val="00BA0AA9"/>
    <w:rsid w:val="00BA0FA8"/>
    <w:rsid w:val="00BA3478"/>
    <w:rsid w:val="00BA4ABE"/>
    <w:rsid w:val="00BB16A4"/>
    <w:rsid w:val="00BB5F19"/>
    <w:rsid w:val="00BC1053"/>
    <w:rsid w:val="00BC3500"/>
    <w:rsid w:val="00BC556A"/>
    <w:rsid w:val="00BC56E1"/>
    <w:rsid w:val="00BD056D"/>
    <w:rsid w:val="00BD05B9"/>
    <w:rsid w:val="00BD0AEA"/>
    <w:rsid w:val="00BD1114"/>
    <w:rsid w:val="00BD624C"/>
    <w:rsid w:val="00BD73BC"/>
    <w:rsid w:val="00BE0934"/>
    <w:rsid w:val="00BE6F67"/>
    <w:rsid w:val="00BE7AC1"/>
    <w:rsid w:val="00BF2DD9"/>
    <w:rsid w:val="00BF30AE"/>
    <w:rsid w:val="00BF3FF2"/>
    <w:rsid w:val="00BF57DB"/>
    <w:rsid w:val="00BF634B"/>
    <w:rsid w:val="00C005AC"/>
    <w:rsid w:val="00C00C1C"/>
    <w:rsid w:val="00C022D5"/>
    <w:rsid w:val="00C02590"/>
    <w:rsid w:val="00C059C6"/>
    <w:rsid w:val="00C0660D"/>
    <w:rsid w:val="00C0671C"/>
    <w:rsid w:val="00C07ACD"/>
    <w:rsid w:val="00C11612"/>
    <w:rsid w:val="00C12ED1"/>
    <w:rsid w:val="00C13BFC"/>
    <w:rsid w:val="00C15A08"/>
    <w:rsid w:val="00C166C3"/>
    <w:rsid w:val="00C21135"/>
    <w:rsid w:val="00C2173E"/>
    <w:rsid w:val="00C21F5A"/>
    <w:rsid w:val="00C22F2C"/>
    <w:rsid w:val="00C23606"/>
    <w:rsid w:val="00C236FC"/>
    <w:rsid w:val="00C247B8"/>
    <w:rsid w:val="00C248AD"/>
    <w:rsid w:val="00C24CFE"/>
    <w:rsid w:val="00C24D0B"/>
    <w:rsid w:val="00C27303"/>
    <w:rsid w:val="00C27B4D"/>
    <w:rsid w:val="00C30F50"/>
    <w:rsid w:val="00C31769"/>
    <w:rsid w:val="00C37623"/>
    <w:rsid w:val="00C406DF"/>
    <w:rsid w:val="00C40D24"/>
    <w:rsid w:val="00C43E67"/>
    <w:rsid w:val="00C45B8A"/>
    <w:rsid w:val="00C5192D"/>
    <w:rsid w:val="00C52A0E"/>
    <w:rsid w:val="00C61759"/>
    <w:rsid w:val="00C61AF9"/>
    <w:rsid w:val="00C62D96"/>
    <w:rsid w:val="00C704C2"/>
    <w:rsid w:val="00C70898"/>
    <w:rsid w:val="00C7592C"/>
    <w:rsid w:val="00C80FDA"/>
    <w:rsid w:val="00C83A08"/>
    <w:rsid w:val="00C83B92"/>
    <w:rsid w:val="00C8517B"/>
    <w:rsid w:val="00C86294"/>
    <w:rsid w:val="00C86650"/>
    <w:rsid w:val="00C86BD9"/>
    <w:rsid w:val="00C872F0"/>
    <w:rsid w:val="00C90CA9"/>
    <w:rsid w:val="00C90CD8"/>
    <w:rsid w:val="00C91091"/>
    <w:rsid w:val="00C91E31"/>
    <w:rsid w:val="00C92E51"/>
    <w:rsid w:val="00C9336B"/>
    <w:rsid w:val="00C938DB"/>
    <w:rsid w:val="00C94B70"/>
    <w:rsid w:val="00C957BE"/>
    <w:rsid w:val="00C960F5"/>
    <w:rsid w:val="00CA0543"/>
    <w:rsid w:val="00CA162C"/>
    <w:rsid w:val="00CA170D"/>
    <w:rsid w:val="00CA406A"/>
    <w:rsid w:val="00CA7215"/>
    <w:rsid w:val="00CB11D1"/>
    <w:rsid w:val="00CB1C8F"/>
    <w:rsid w:val="00CB3604"/>
    <w:rsid w:val="00CB4369"/>
    <w:rsid w:val="00CB5625"/>
    <w:rsid w:val="00CB5F01"/>
    <w:rsid w:val="00CB7948"/>
    <w:rsid w:val="00CC1716"/>
    <w:rsid w:val="00CC22EE"/>
    <w:rsid w:val="00CC2CF5"/>
    <w:rsid w:val="00CC5CFC"/>
    <w:rsid w:val="00CC5E1D"/>
    <w:rsid w:val="00CC65A0"/>
    <w:rsid w:val="00CD1424"/>
    <w:rsid w:val="00CD157B"/>
    <w:rsid w:val="00CD3345"/>
    <w:rsid w:val="00CD66CA"/>
    <w:rsid w:val="00CD6D49"/>
    <w:rsid w:val="00CE2B59"/>
    <w:rsid w:val="00CE4C5B"/>
    <w:rsid w:val="00CE4F18"/>
    <w:rsid w:val="00CF0C48"/>
    <w:rsid w:val="00CF43A4"/>
    <w:rsid w:val="00CF46B7"/>
    <w:rsid w:val="00D02191"/>
    <w:rsid w:val="00D025C7"/>
    <w:rsid w:val="00D0270E"/>
    <w:rsid w:val="00D0580F"/>
    <w:rsid w:val="00D13129"/>
    <w:rsid w:val="00D13285"/>
    <w:rsid w:val="00D15EF2"/>
    <w:rsid w:val="00D1622D"/>
    <w:rsid w:val="00D20B55"/>
    <w:rsid w:val="00D228F1"/>
    <w:rsid w:val="00D24CCC"/>
    <w:rsid w:val="00D27BB0"/>
    <w:rsid w:val="00D3034C"/>
    <w:rsid w:val="00D3174D"/>
    <w:rsid w:val="00D33603"/>
    <w:rsid w:val="00D36EE3"/>
    <w:rsid w:val="00D37649"/>
    <w:rsid w:val="00D37ABB"/>
    <w:rsid w:val="00D37DA1"/>
    <w:rsid w:val="00D411C8"/>
    <w:rsid w:val="00D41681"/>
    <w:rsid w:val="00D42347"/>
    <w:rsid w:val="00D463D6"/>
    <w:rsid w:val="00D46989"/>
    <w:rsid w:val="00D47F55"/>
    <w:rsid w:val="00D51CC0"/>
    <w:rsid w:val="00D54BE2"/>
    <w:rsid w:val="00D608ED"/>
    <w:rsid w:val="00D61331"/>
    <w:rsid w:val="00D61F7B"/>
    <w:rsid w:val="00D72366"/>
    <w:rsid w:val="00D7255D"/>
    <w:rsid w:val="00D73540"/>
    <w:rsid w:val="00D73AE1"/>
    <w:rsid w:val="00D73E83"/>
    <w:rsid w:val="00D74356"/>
    <w:rsid w:val="00D75655"/>
    <w:rsid w:val="00D760E5"/>
    <w:rsid w:val="00D76115"/>
    <w:rsid w:val="00D76F6B"/>
    <w:rsid w:val="00D7789A"/>
    <w:rsid w:val="00D80A1B"/>
    <w:rsid w:val="00D814E0"/>
    <w:rsid w:val="00D831B3"/>
    <w:rsid w:val="00D842AE"/>
    <w:rsid w:val="00D852EA"/>
    <w:rsid w:val="00D861C4"/>
    <w:rsid w:val="00D86C92"/>
    <w:rsid w:val="00D87055"/>
    <w:rsid w:val="00D90536"/>
    <w:rsid w:val="00D91986"/>
    <w:rsid w:val="00D96550"/>
    <w:rsid w:val="00DA03AE"/>
    <w:rsid w:val="00DA0928"/>
    <w:rsid w:val="00DA1229"/>
    <w:rsid w:val="00DA137F"/>
    <w:rsid w:val="00DA2E44"/>
    <w:rsid w:val="00DA2F1C"/>
    <w:rsid w:val="00DA4C69"/>
    <w:rsid w:val="00DA5355"/>
    <w:rsid w:val="00DA6519"/>
    <w:rsid w:val="00DB2D0E"/>
    <w:rsid w:val="00DB3BA7"/>
    <w:rsid w:val="00DB3E06"/>
    <w:rsid w:val="00DB5759"/>
    <w:rsid w:val="00DB666D"/>
    <w:rsid w:val="00DB6C48"/>
    <w:rsid w:val="00DB6DE3"/>
    <w:rsid w:val="00DB71DF"/>
    <w:rsid w:val="00DC2AA0"/>
    <w:rsid w:val="00DC6DF5"/>
    <w:rsid w:val="00DC74D2"/>
    <w:rsid w:val="00DD1D5F"/>
    <w:rsid w:val="00DD21D3"/>
    <w:rsid w:val="00DD241E"/>
    <w:rsid w:val="00DD3875"/>
    <w:rsid w:val="00DD4AD2"/>
    <w:rsid w:val="00DD5E7C"/>
    <w:rsid w:val="00DD7392"/>
    <w:rsid w:val="00DE3424"/>
    <w:rsid w:val="00DE552F"/>
    <w:rsid w:val="00DE61F4"/>
    <w:rsid w:val="00DE6DAC"/>
    <w:rsid w:val="00DF12E0"/>
    <w:rsid w:val="00DF12FA"/>
    <w:rsid w:val="00DF21D9"/>
    <w:rsid w:val="00DF4197"/>
    <w:rsid w:val="00DF5745"/>
    <w:rsid w:val="00DF6A05"/>
    <w:rsid w:val="00E008BE"/>
    <w:rsid w:val="00E0136F"/>
    <w:rsid w:val="00E020A6"/>
    <w:rsid w:val="00E121B0"/>
    <w:rsid w:val="00E1440D"/>
    <w:rsid w:val="00E15BB9"/>
    <w:rsid w:val="00E17A18"/>
    <w:rsid w:val="00E207AA"/>
    <w:rsid w:val="00E20959"/>
    <w:rsid w:val="00E21753"/>
    <w:rsid w:val="00E21EBF"/>
    <w:rsid w:val="00E22011"/>
    <w:rsid w:val="00E22113"/>
    <w:rsid w:val="00E249CD"/>
    <w:rsid w:val="00E25E0B"/>
    <w:rsid w:val="00E34953"/>
    <w:rsid w:val="00E3556F"/>
    <w:rsid w:val="00E3605D"/>
    <w:rsid w:val="00E37FC6"/>
    <w:rsid w:val="00E41224"/>
    <w:rsid w:val="00E41F26"/>
    <w:rsid w:val="00E42062"/>
    <w:rsid w:val="00E442F8"/>
    <w:rsid w:val="00E5073E"/>
    <w:rsid w:val="00E51209"/>
    <w:rsid w:val="00E5368E"/>
    <w:rsid w:val="00E54E02"/>
    <w:rsid w:val="00E56410"/>
    <w:rsid w:val="00E575B5"/>
    <w:rsid w:val="00E5783E"/>
    <w:rsid w:val="00E6004F"/>
    <w:rsid w:val="00E60B53"/>
    <w:rsid w:val="00E62541"/>
    <w:rsid w:val="00E65B39"/>
    <w:rsid w:val="00E65C0A"/>
    <w:rsid w:val="00E71E7E"/>
    <w:rsid w:val="00E71F31"/>
    <w:rsid w:val="00E7233E"/>
    <w:rsid w:val="00E736F2"/>
    <w:rsid w:val="00E74BAC"/>
    <w:rsid w:val="00E7588F"/>
    <w:rsid w:val="00E80C2A"/>
    <w:rsid w:val="00E82717"/>
    <w:rsid w:val="00E82885"/>
    <w:rsid w:val="00E845E2"/>
    <w:rsid w:val="00E85976"/>
    <w:rsid w:val="00E85BFD"/>
    <w:rsid w:val="00E87019"/>
    <w:rsid w:val="00E93E4A"/>
    <w:rsid w:val="00E956A9"/>
    <w:rsid w:val="00EA03AA"/>
    <w:rsid w:val="00EA461C"/>
    <w:rsid w:val="00EA514F"/>
    <w:rsid w:val="00EA5DEF"/>
    <w:rsid w:val="00EA61B4"/>
    <w:rsid w:val="00EA6ED4"/>
    <w:rsid w:val="00EB054A"/>
    <w:rsid w:val="00EB4FE9"/>
    <w:rsid w:val="00EB7EF5"/>
    <w:rsid w:val="00EC12A0"/>
    <w:rsid w:val="00EC48C7"/>
    <w:rsid w:val="00EC5F4F"/>
    <w:rsid w:val="00ED175F"/>
    <w:rsid w:val="00ED4220"/>
    <w:rsid w:val="00ED4F36"/>
    <w:rsid w:val="00EE35FA"/>
    <w:rsid w:val="00EE43E5"/>
    <w:rsid w:val="00EE6716"/>
    <w:rsid w:val="00EE6EE7"/>
    <w:rsid w:val="00EE7F18"/>
    <w:rsid w:val="00EF012B"/>
    <w:rsid w:val="00EF31B5"/>
    <w:rsid w:val="00EF47D7"/>
    <w:rsid w:val="00EF6867"/>
    <w:rsid w:val="00EF7F62"/>
    <w:rsid w:val="00F02901"/>
    <w:rsid w:val="00F0382F"/>
    <w:rsid w:val="00F05886"/>
    <w:rsid w:val="00F065EC"/>
    <w:rsid w:val="00F066E3"/>
    <w:rsid w:val="00F0672B"/>
    <w:rsid w:val="00F073ED"/>
    <w:rsid w:val="00F07E59"/>
    <w:rsid w:val="00F118EF"/>
    <w:rsid w:val="00F1283A"/>
    <w:rsid w:val="00F1327F"/>
    <w:rsid w:val="00F14501"/>
    <w:rsid w:val="00F14D4D"/>
    <w:rsid w:val="00F16AA0"/>
    <w:rsid w:val="00F16F5D"/>
    <w:rsid w:val="00F17FE9"/>
    <w:rsid w:val="00F20A2E"/>
    <w:rsid w:val="00F21CA2"/>
    <w:rsid w:val="00F23BAE"/>
    <w:rsid w:val="00F25671"/>
    <w:rsid w:val="00F3140D"/>
    <w:rsid w:val="00F31ECC"/>
    <w:rsid w:val="00F353EA"/>
    <w:rsid w:val="00F40867"/>
    <w:rsid w:val="00F44230"/>
    <w:rsid w:val="00F508FE"/>
    <w:rsid w:val="00F50B99"/>
    <w:rsid w:val="00F51825"/>
    <w:rsid w:val="00F54FC8"/>
    <w:rsid w:val="00F57583"/>
    <w:rsid w:val="00F6036C"/>
    <w:rsid w:val="00F61D1F"/>
    <w:rsid w:val="00F61EDD"/>
    <w:rsid w:val="00F63DB9"/>
    <w:rsid w:val="00F66FB7"/>
    <w:rsid w:val="00F673FE"/>
    <w:rsid w:val="00F71FA1"/>
    <w:rsid w:val="00F802D8"/>
    <w:rsid w:val="00F834A5"/>
    <w:rsid w:val="00F83F29"/>
    <w:rsid w:val="00F86493"/>
    <w:rsid w:val="00F8687D"/>
    <w:rsid w:val="00F91191"/>
    <w:rsid w:val="00F9136D"/>
    <w:rsid w:val="00F9144C"/>
    <w:rsid w:val="00F94595"/>
    <w:rsid w:val="00F9470F"/>
    <w:rsid w:val="00F974B7"/>
    <w:rsid w:val="00FA05F8"/>
    <w:rsid w:val="00FA06AD"/>
    <w:rsid w:val="00FA1024"/>
    <w:rsid w:val="00FA3515"/>
    <w:rsid w:val="00FA387F"/>
    <w:rsid w:val="00FA56EE"/>
    <w:rsid w:val="00FA5BF4"/>
    <w:rsid w:val="00FA6686"/>
    <w:rsid w:val="00FB0536"/>
    <w:rsid w:val="00FB19CA"/>
    <w:rsid w:val="00FB2450"/>
    <w:rsid w:val="00FB4C85"/>
    <w:rsid w:val="00FB4E95"/>
    <w:rsid w:val="00FB6E2B"/>
    <w:rsid w:val="00FB7469"/>
    <w:rsid w:val="00FB786F"/>
    <w:rsid w:val="00FB7B56"/>
    <w:rsid w:val="00FC2FFE"/>
    <w:rsid w:val="00FC78B5"/>
    <w:rsid w:val="00FC7917"/>
    <w:rsid w:val="00FD0156"/>
    <w:rsid w:val="00FD1D64"/>
    <w:rsid w:val="00FD2296"/>
    <w:rsid w:val="00FD4F7E"/>
    <w:rsid w:val="00FD57DC"/>
    <w:rsid w:val="00FD63C3"/>
    <w:rsid w:val="00FE1562"/>
    <w:rsid w:val="00FE2CB1"/>
    <w:rsid w:val="00FE4885"/>
    <w:rsid w:val="00FE4DF2"/>
    <w:rsid w:val="00FE59F3"/>
    <w:rsid w:val="00FE7AFA"/>
    <w:rsid w:val="00FF00C1"/>
    <w:rsid w:val="00FF0E53"/>
    <w:rsid w:val="00FF4E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503"/>
    <w:rPr>
      <w:rFonts w:ascii="Arial" w:hAnsi="Arial"/>
    </w:rPr>
  </w:style>
  <w:style w:type="paragraph" w:styleId="Heading1">
    <w:name w:val="heading 1"/>
    <w:basedOn w:val="Normal"/>
    <w:next w:val="Normal"/>
    <w:link w:val="Heading1Char"/>
    <w:uiPriority w:val="9"/>
    <w:qFormat/>
    <w:rsid w:val="00C12ED1"/>
    <w:pPr>
      <w:keepNext/>
      <w:keepLines/>
      <w:numPr>
        <w:numId w:val="134"/>
      </w:numPr>
      <w:spacing w:before="360" w:after="240"/>
      <w:outlineLvl w:val="0"/>
    </w:pPr>
    <w:rPr>
      <w:rFonts w:eastAsiaTheme="majorEastAsia" w:cs="Arial"/>
      <w:b/>
      <w:sz w:val="32"/>
      <w:szCs w:val="32"/>
    </w:rPr>
  </w:style>
  <w:style w:type="paragraph" w:styleId="Heading2">
    <w:name w:val="heading 2"/>
    <w:basedOn w:val="Normal"/>
    <w:next w:val="Normal"/>
    <w:link w:val="Heading2Char"/>
    <w:uiPriority w:val="9"/>
    <w:unhideWhenUsed/>
    <w:qFormat/>
    <w:rsid w:val="001269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B575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ED1"/>
    <w:rPr>
      <w:rFonts w:ascii="Arial" w:eastAsiaTheme="majorEastAsia" w:hAnsi="Arial" w:cs="Arial"/>
      <w:b/>
      <w:sz w:val="32"/>
      <w:szCs w:val="32"/>
    </w:rPr>
  </w:style>
  <w:style w:type="character" w:customStyle="1" w:styleId="Heading2Char">
    <w:name w:val="Heading 2 Char"/>
    <w:basedOn w:val="DefaultParagraphFont"/>
    <w:link w:val="Heading2"/>
    <w:uiPriority w:val="9"/>
    <w:rsid w:val="00126918"/>
    <w:rPr>
      <w:rFonts w:asciiTheme="majorHAnsi" w:eastAsiaTheme="majorEastAsia" w:hAnsiTheme="majorHAnsi" w:cstheme="majorBidi"/>
      <w:color w:val="2E74B5" w:themeColor="accent1" w:themeShade="BF"/>
      <w:sz w:val="26"/>
      <w:szCs w:val="26"/>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0B3E07"/>
    <w:pPr>
      <w:numPr>
        <w:ilvl w:val="1"/>
        <w:numId w:val="10"/>
      </w:numPr>
    </w:pPr>
    <w:rPr>
      <w:rFonts w:cs="Arial"/>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897318"/>
    <w:rPr>
      <w:rFonts w:ascii="Arial" w:hAnsi="Arial" w:cs="Arial"/>
    </w:rPr>
  </w:style>
  <w:style w:type="table" w:styleId="TableGrid">
    <w:name w:val="Table Grid"/>
    <w:basedOn w:val="TableNormal"/>
    <w:uiPriority w:val="39"/>
    <w:rsid w:val="00142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2DE1"/>
    <w:rPr>
      <w:sz w:val="16"/>
      <w:szCs w:val="16"/>
    </w:rPr>
  </w:style>
  <w:style w:type="paragraph" w:styleId="CommentText">
    <w:name w:val="annotation text"/>
    <w:basedOn w:val="Normal"/>
    <w:link w:val="CommentTextChar"/>
    <w:uiPriority w:val="99"/>
    <w:unhideWhenUsed/>
    <w:rsid w:val="00862DE1"/>
    <w:pPr>
      <w:spacing w:line="240" w:lineRule="auto"/>
    </w:pPr>
    <w:rPr>
      <w:sz w:val="20"/>
      <w:szCs w:val="20"/>
    </w:rPr>
  </w:style>
  <w:style w:type="character" w:customStyle="1" w:styleId="CommentTextChar">
    <w:name w:val="Comment Text Char"/>
    <w:basedOn w:val="DefaultParagraphFont"/>
    <w:link w:val="CommentText"/>
    <w:uiPriority w:val="99"/>
    <w:rsid w:val="00862DE1"/>
    <w:rPr>
      <w:sz w:val="20"/>
      <w:szCs w:val="20"/>
    </w:rPr>
  </w:style>
  <w:style w:type="paragraph" w:styleId="CommentSubject">
    <w:name w:val="annotation subject"/>
    <w:basedOn w:val="CommentText"/>
    <w:next w:val="CommentText"/>
    <w:link w:val="CommentSubjectChar"/>
    <w:uiPriority w:val="99"/>
    <w:semiHidden/>
    <w:unhideWhenUsed/>
    <w:rsid w:val="00862DE1"/>
    <w:rPr>
      <w:b/>
      <w:bCs/>
    </w:rPr>
  </w:style>
  <w:style w:type="character" w:customStyle="1" w:styleId="CommentSubjectChar">
    <w:name w:val="Comment Subject Char"/>
    <w:basedOn w:val="CommentTextChar"/>
    <w:link w:val="CommentSubject"/>
    <w:uiPriority w:val="99"/>
    <w:semiHidden/>
    <w:rsid w:val="00862DE1"/>
    <w:rPr>
      <w:b/>
      <w:bCs/>
      <w:sz w:val="20"/>
      <w:szCs w:val="20"/>
    </w:rPr>
  </w:style>
  <w:style w:type="paragraph" w:styleId="BalloonText">
    <w:name w:val="Balloon Text"/>
    <w:basedOn w:val="Normal"/>
    <w:link w:val="BalloonTextChar"/>
    <w:uiPriority w:val="99"/>
    <w:semiHidden/>
    <w:unhideWhenUsed/>
    <w:rsid w:val="00862D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DE1"/>
    <w:rPr>
      <w:rFonts w:ascii="Segoe UI" w:hAnsi="Segoe UI" w:cs="Segoe UI"/>
      <w:sz w:val="18"/>
      <w:szCs w:val="18"/>
    </w:rPr>
  </w:style>
  <w:style w:type="character" w:styleId="Hyperlink">
    <w:name w:val="Hyperlink"/>
    <w:basedOn w:val="DefaultParagraphFont"/>
    <w:uiPriority w:val="99"/>
    <w:unhideWhenUsed/>
    <w:rsid w:val="00884EA5"/>
    <w:rPr>
      <w:color w:val="0563C1" w:themeColor="hyperlink"/>
      <w:u w:val="single"/>
    </w:rPr>
  </w:style>
  <w:style w:type="paragraph" w:styleId="TOCHeading">
    <w:name w:val="TOC Heading"/>
    <w:basedOn w:val="Heading1"/>
    <w:next w:val="Normal"/>
    <w:uiPriority w:val="39"/>
    <w:unhideWhenUsed/>
    <w:qFormat/>
    <w:rsid w:val="0040247E"/>
    <w:pPr>
      <w:outlineLvl w:val="9"/>
    </w:pPr>
    <w:rPr>
      <w:lang w:val="en-US"/>
    </w:rPr>
  </w:style>
  <w:style w:type="paragraph" w:customStyle="1" w:styleId="Default">
    <w:name w:val="Default"/>
    <w:rsid w:val="009A30B4"/>
    <w:pPr>
      <w:autoSpaceDE w:val="0"/>
      <w:autoSpaceDN w:val="0"/>
      <w:adjustRightInd w:val="0"/>
      <w:spacing w:after="0" w:line="240" w:lineRule="auto"/>
    </w:pPr>
    <w:rPr>
      <w:rFonts w:ascii="Arial" w:hAnsi="Arial" w:cs="Arial"/>
      <w:color w:val="000000"/>
      <w:sz w:val="24"/>
      <w:szCs w:val="24"/>
    </w:rPr>
  </w:style>
  <w:style w:type="paragraph" w:styleId="DocumentMap">
    <w:name w:val="Document Map"/>
    <w:basedOn w:val="Normal"/>
    <w:link w:val="DocumentMapChar"/>
    <w:uiPriority w:val="99"/>
    <w:semiHidden/>
    <w:unhideWhenUsed/>
    <w:rsid w:val="008D38A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8D38A4"/>
    <w:rPr>
      <w:rFonts w:ascii="Times New Roman" w:hAnsi="Times New Roman" w:cs="Times New Roman"/>
      <w:sz w:val="24"/>
      <w:szCs w:val="24"/>
    </w:rPr>
  </w:style>
  <w:style w:type="paragraph" w:styleId="Revision">
    <w:name w:val="Revision"/>
    <w:hidden/>
    <w:uiPriority w:val="99"/>
    <w:semiHidden/>
    <w:rsid w:val="008D38A4"/>
    <w:pPr>
      <w:spacing w:after="0" w:line="240" w:lineRule="auto"/>
    </w:pPr>
  </w:style>
  <w:style w:type="paragraph" w:styleId="Footer">
    <w:name w:val="footer"/>
    <w:basedOn w:val="Normal"/>
    <w:link w:val="FooterChar"/>
    <w:uiPriority w:val="99"/>
    <w:unhideWhenUsed/>
    <w:rsid w:val="00E420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2062"/>
  </w:style>
  <w:style w:type="character" w:styleId="PageNumber">
    <w:name w:val="page number"/>
    <w:basedOn w:val="DefaultParagraphFont"/>
    <w:uiPriority w:val="99"/>
    <w:semiHidden/>
    <w:unhideWhenUsed/>
    <w:rsid w:val="00E42062"/>
  </w:style>
  <w:style w:type="paragraph" w:styleId="NormalWeb">
    <w:name w:val="Normal (Web)"/>
    <w:basedOn w:val="Normal"/>
    <w:uiPriority w:val="99"/>
    <w:unhideWhenUsed/>
    <w:rsid w:val="002C026E"/>
    <w:pPr>
      <w:spacing w:before="100" w:beforeAutospacing="1" w:after="100" w:afterAutospacing="1" w:line="240" w:lineRule="auto"/>
    </w:pPr>
    <w:rPr>
      <w:rFonts w:ascii="Times New Roman" w:hAnsi="Times New Roman" w:cs="Times New Roman"/>
      <w:sz w:val="24"/>
      <w:szCs w:val="24"/>
      <w:lang w:val="en-US"/>
    </w:rPr>
  </w:style>
  <w:style w:type="paragraph" w:styleId="Subtitle">
    <w:name w:val="Subtitle"/>
    <w:basedOn w:val="Normal"/>
    <w:next w:val="Normal"/>
    <w:link w:val="SubtitleChar"/>
    <w:uiPriority w:val="11"/>
    <w:qFormat/>
    <w:rsid w:val="00871503"/>
    <w:rPr>
      <w:rFonts w:cs="Arial"/>
      <w:b/>
      <w:sz w:val="32"/>
    </w:rPr>
  </w:style>
  <w:style w:type="character" w:customStyle="1" w:styleId="SubtitleChar">
    <w:name w:val="Subtitle Char"/>
    <w:basedOn w:val="DefaultParagraphFont"/>
    <w:link w:val="Subtitle"/>
    <w:uiPriority w:val="11"/>
    <w:rsid w:val="00871503"/>
    <w:rPr>
      <w:rFonts w:ascii="Arial" w:hAnsi="Arial" w:cs="Arial"/>
      <w:b/>
      <w:sz w:val="32"/>
    </w:rPr>
  </w:style>
  <w:style w:type="paragraph" w:styleId="TOC1">
    <w:name w:val="toc 1"/>
    <w:basedOn w:val="Normal"/>
    <w:next w:val="Normal"/>
    <w:autoRedefine/>
    <w:uiPriority w:val="39"/>
    <w:unhideWhenUsed/>
    <w:rsid w:val="00623884"/>
    <w:pPr>
      <w:tabs>
        <w:tab w:val="left" w:pos="440"/>
        <w:tab w:val="right" w:leader="dot" w:pos="8948"/>
      </w:tabs>
      <w:spacing w:after="100"/>
    </w:pPr>
  </w:style>
  <w:style w:type="table" w:customStyle="1" w:styleId="PlainTable11">
    <w:name w:val="Plain Table 11"/>
    <w:basedOn w:val="TableNormal"/>
    <w:uiPriority w:val="41"/>
    <w:rsid w:val="005875C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2">
    <w:name w:val="toc 2"/>
    <w:basedOn w:val="Normal"/>
    <w:next w:val="Normal"/>
    <w:autoRedefine/>
    <w:uiPriority w:val="39"/>
    <w:unhideWhenUsed/>
    <w:rsid w:val="00BD0AEA"/>
    <w:pPr>
      <w:tabs>
        <w:tab w:val="left" w:pos="426"/>
        <w:tab w:val="right" w:leader="dot" w:pos="8948"/>
      </w:tabs>
      <w:spacing w:after="100"/>
      <w:ind w:left="220" w:hanging="220"/>
    </w:pPr>
    <w:rPr>
      <w:rFonts w:eastAsiaTheme="minorEastAsia" w:cs="Times New Roman"/>
      <w:lang w:val="en-US"/>
    </w:rPr>
  </w:style>
  <w:style w:type="paragraph" w:styleId="TOC3">
    <w:name w:val="toc 3"/>
    <w:basedOn w:val="Normal"/>
    <w:next w:val="Normal"/>
    <w:autoRedefine/>
    <w:uiPriority w:val="39"/>
    <w:unhideWhenUsed/>
    <w:rsid w:val="00DA4C69"/>
    <w:pPr>
      <w:spacing w:after="100"/>
      <w:ind w:left="440"/>
    </w:pPr>
    <w:rPr>
      <w:rFonts w:eastAsiaTheme="minorEastAsia" w:cs="Times New Roman"/>
      <w:lang w:val="en-US"/>
    </w:rPr>
  </w:style>
  <w:style w:type="paragraph" w:styleId="Header">
    <w:name w:val="header"/>
    <w:basedOn w:val="Normal"/>
    <w:link w:val="HeaderChar"/>
    <w:uiPriority w:val="99"/>
    <w:unhideWhenUsed/>
    <w:rsid w:val="002C6B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6BE1"/>
  </w:style>
  <w:style w:type="character" w:styleId="BookTitle">
    <w:name w:val="Book Title"/>
    <w:aliases w:val="2nd level"/>
    <w:uiPriority w:val="33"/>
    <w:qFormat/>
    <w:rsid w:val="000B3E07"/>
    <w:rPr>
      <w:rFonts w:ascii="Arial" w:hAnsi="Arial" w:cs="Arial"/>
    </w:rPr>
  </w:style>
  <w:style w:type="paragraph" w:styleId="FootnoteText">
    <w:name w:val="footnote text"/>
    <w:basedOn w:val="Normal"/>
    <w:link w:val="FootnoteTextChar"/>
    <w:uiPriority w:val="99"/>
    <w:semiHidden/>
    <w:unhideWhenUsed/>
    <w:rsid w:val="001E52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52F4"/>
    <w:rPr>
      <w:sz w:val="20"/>
      <w:szCs w:val="20"/>
    </w:rPr>
  </w:style>
  <w:style w:type="character" w:styleId="FootnoteReference">
    <w:name w:val="footnote reference"/>
    <w:basedOn w:val="DefaultParagraphFont"/>
    <w:uiPriority w:val="99"/>
    <w:semiHidden/>
    <w:unhideWhenUsed/>
    <w:rsid w:val="001E52F4"/>
    <w:rPr>
      <w:vertAlign w:val="superscript"/>
    </w:rPr>
  </w:style>
  <w:style w:type="table" w:customStyle="1" w:styleId="GridTable1Light1">
    <w:name w:val="Grid Table 1 Light1"/>
    <w:basedOn w:val="TableNormal"/>
    <w:uiPriority w:val="46"/>
    <w:rsid w:val="002644B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sid w:val="005E2D9C"/>
    <w:pPr>
      <w:spacing w:after="0" w:line="240" w:lineRule="auto"/>
    </w:pPr>
  </w:style>
  <w:style w:type="character" w:styleId="Strong">
    <w:name w:val="Strong"/>
    <w:basedOn w:val="DefaultParagraphFont"/>
    <w:uiPriority w:val="22"/>
    <w:qFormat/>
    <w:rsid w:val="00655C80"/>
    <w:rPr>
      <w:b/>
      <w:bCs/>
    </w:rPr>
  </w:style>
  <w:style w:type="character" w:styleId="SubtleEmphasis">
    <w:name w:val="Subtle Emphasis"/>
    <w:basedOn w:val="DefaultParagraphFont"/>
    <w:uiPriority w:val="19"/>
    <w:qFormat/>
    <w:rsid w:val="005A2B63"/>
    <w:rPr>
      <w:rFonts w:ascii="Arial" w:hAnsi="Arial" w:cs="Arial"/>
      <w:i/>
      <w:iCs/>
      <w:color w:val="404040" w:themeColor="text1" w:themeTint="BF"/>
    </w:rPr>
  </w:style>
  <w:style w:type="paragraph" w:styleId="Title">
    <w:name w:val="Title"/>
    <w:basedOn w:val="Normal"/>
    <w:next w:val="Normal"/>
    <w:link w:val="TitleChar"/>
    <w:uiPriority w:val="10"/>
    <w:qFormat/>
    <w:rsid w:val="003860D9"/>
    <w:pPr>
      <w:spacing w:before="240" w:after="240" w:line="240" w:lineRule="auto"/>
      <w:contextualSpacing/>
    </w:pPr>
    <w:rPr>
      <w:rFonts w:eastAsiaTheme="majorEastAsia" w:cs="Arial"/>
      <w:b/>
      <w:spacing w:val="-10"/>
      <w:kern w:val="28"/>
      <w:sz w:val="32"/>
      <w:szCs w:val="56"/>
    </w:rPr>
  </w:style>
  <w:style w:type="character" w:customStyle="1" w:styleId="TitleChar">
    <w:name w:val="Title Char"/>
    <w:basedOn w:val="DefaultParagraphFont"/>
    <w:link w:val="Title"/>
    <w:uiPriority w:val="10"/>
    <w:rsid w:val="003860D9"/>
    <w:rPr>
      <w:rFonts w:ascii="Arial" w:eastAsiaTheme="majorEastAsia" w:hAnsi="Arial" w:cs="Arial"/>
      <w:b/>
      <w:spacing w:val="-10"/>
      <w:kern w:val="28"/>
      <w:sz w:val="32"/>
      <w:szCs w:val="56"/>
    </w:rPr>
  </w:style>
  <w:style w:type="character" w:styleId="FollowedHyperlink">
    <w:name w:val="FollowedHyperlink"/>
    <w:basedOn w:val="DefaultParagraphFont"/>
    <w:uiPriority w:val="99"/>
    <w:semiHidden/>
    <w:unhideWhenUsed/>
    <w:rsid w:val="0049095F"/>
    <w:rPr>
      <w:color w:val="954F72" w:themeColor="followedHyperlink"/>
      <w:u w:val="single"/>
    </w:rPr>
  </w:style>
  <w:style w:type="character" w:customStyle="1" w:styleId="Mention1">
    <w:name w:val="Mention1"/>
    <w:basedOn w:val="DefaultParagraphFont"/>
    <w:uiPriority w:val="99"/>
    <w:semiHidden/>
    <w:unhideWhenUsed/>
    <w:rsid w:val="001D7E7A"/>
    <w:rPr>
      <w:color w:val="2B579A"/>
      <w:shd w:val="clear" w:color="auto" w:fill="E6E6E6"/>
    </w:rPr>
  </w:style>
  <w:style w:type="table" w:customStyle="1" w:styleId="GridTable1Light-Accent31">
    <w:name w:val="Grid Table 1 Light - Accent 31"/>
    <w:basedOn w:val="TableNormal"/>
    <w:uiPriority w:val="46"/>
    <w:rsid w:val="008E0D5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rsid w:val="00AA20F1"/>
  </w:style>
  <w:style w:type="paragraph" w:customStyle="1" w:styleId="Bulletlist">
    <w:name w:val="Bullet list"/>
    <w:basedOn w:val="ListParagraph"/>
    <w:link w:val="BulletlistChar"/>
    <w:qFormat/>
    <w:rsid w:val="00AA20F1"/>
    <w:pPr>
      <w:numPr>
        <w:ilvl w:val="0"/>
        <w:numId w:val="111"/>
      </w:numPr>
      <w:spacing w:after="200" w:line="276" w:lineRule="auto"/>
      <w:ind w:right="-613"/>
      <w:contextualSpacing/>
      <w:jc w:val="both"/>
    </w:pPr>
  </w:style>
  <w:style w:type="character" w:customStyle="1" w:styleId="BulletlistChar">
    <w:name w:val="Bullet list Char"/>
    <w:basedOn w:val="ListParagraphChar"/>
    <w:link w:val="Bulletlist"/>
    <w:rsid w:val="00AA20F1"/>
    <w:rPr>
      <w:rFonts w:ascii="Arial" w:hAnsi="Arial" w:cs="Arial"/>
    </w:rPr>
  </w:style>
  <w:style w:type="character" w:customStyle="1" w:styleId="Heading3Char">
    <w:name w:val="Heading 3 Char"/>
    <w:basedOn w:val="DefaultParagraphFont"/>
    <w:link w:val="Heading3"/>
    <w:uiPriority w:val="9"/>
    <w:semiHidden/>
    <w:rsid w:val="00DB5759"/>
    <w:rPr>
      <w:rFonts w:asciiTheme="majorHAnsi" w:eastAsiaTheme="majorEastAsia" w:hAnsiTheme="majorHAnsi" w:cstheme="majorBidi"/>
      <w:color w:val="1F4D78" w:themeColor="accent1" w:themeShade="7F"/>
      <w:sz w:val="24"/>
      <w:szCs w:val="24"/>
    </w:rPr>
  </w:style>
  <w:style w:type="paragraph" w:customStyle="1" w:styleId="HPHeading1">
    <w:name w:val="HP Heading 1"/>
    <w:basedOn w:val="Heading1"/>
    <w:link w:val="HPHeading1Char"/>
    <w:qFormat/>
    <w:rsid w:val="00623884"/>
    <w:pPr>
      <w:numPr>
        <w:numId w:val="0"/>
      </w:numPr>
      <w:spacing w:before="0" w:after="120" w:line="276" w:lineRule="auto"/>
    </w:pPr>
    <w:rPr>
      <w:rFonts w:asciiTheme="majorHAnsi" w:hAnsiTheme="majorHAnsi" w:cstheme="majorBidi"/>
      <w:b w:val="0"/>
      <w:color w:val="2E74B5" w:themeColor="accent1" w:themeShade="BF"/>
    </w:rPr>
  </w:style>
  <w:style w:type="character" w:customStyle="1" w:styleId="HPHeading1Char">
    <w:name w:val="HP Heading 1 Char"/>
    <w:basedOn w:val="Heading1Char"/>
    <w:link w:val="HPHeading1"/>
    <w:rsid w:val="00623884"/>
    <w:rPr>
      <w:rFonts w:asciiTheme="majorHAnsi" w:eastAsiaTheme="majorEastAsia" w:hAnsiTheme="majorHAnsi" w:cstheme="majorBidi"/>
      <w:b w:val="0"/>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503"/>
    <w:rPr>
      <w:rFonts w:ascii="Arial" w:hAnsi="Arial"/>
    </w:rPr>
  </w:style>
  <w:style w:type="paragraph" w:styleId="Heading1">
    <w:name w:val="heading 1"/>
    <w:basedOn w:val="Normal"/>
    <w:next w:val="Normal"/>
    <w:link w:val="Heading1Char"/>
    <w:uiPriority w:val="9"/>
    <w:qFormat/>
    <w:rsid w:val="00C12ED1"/>
    <w:pPr>
      <w:keepNext/>
      <w:keepLines/>
      <w:numPr>
        <w:numId w:val="134"/>
      </w:numPr>
      <w:spacing w:before="360" w:after="240"/>
      <w:outlineLvl w:val="0"/>
    </w:pPr>
    <w:rPr>
      <w:rFonts w:eastAsiaTheme="majorEastAsia" w:cs="Arial"/>
      <w:b/>
      <w:sz w:val="32"/>
      <w:szCs w:val="32"/>
    </w:rPr>
  </w:style>
  <w:style w:type="paragraph" w:styleId="Heading2">
    <w:name w:val="heading 2"/>
    <w:basedOn w:val="Normal"/>
    <w:next w:val="Normal"/>
    <w:link w:val="Heading2Char"/>
    <w:uiPriority w:val="9"/>
    <w:unhideWhenUsed/>
    <w:qFormat/>
    <w:rsid w:val="001269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B575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ED1"/>
    <w:rPr>
      <w:rFonts w:ascii="Arial" w:eastAsiaTheme="majorEastAsia" w:hAnsi="Arial" w:cs="Arial"/>
      <w:b/>
      <w:sz w:val="32"/>
      <w:szCs w:val="32"/>
    </w:rPr>
  </w:style>
  <w:style w:type="character" w:customStyle="1" w:styleId="Heading2Char">
    <w:name w:val="Heading 2 Char"/>
    <w:basedOn w:val="DefaultParagraphFont"/>
    <w:link w:val="Heading2"/>
    <w:uiPriority w:val="9"/>
    <w:rsid w:val="00126918"/>
    <w:rPr>
      <w:rFonts w:asciiTheme="majorHAnsi" w:eastAsiaTheme="majorEastAsia" w:hAnsiTheme="majorHAnsi" w:cstheme="majorBidi"/>
      <w:color w:val="2E74B5" w:themeColor="accent1" w:themeShade="BF"/>
      <w:sz w:val="26"/>
      <w:szCs w:val="26"/>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0B3E07"/>
    <w:pPr>
      <w:numPr>
        <w:ilvl w:val="1"/>
        <w:numId w:val="10"/>
      </w:numPr>
    </w:pPr>
    <w:rPr>
      <w:rFonts w:cs="Arial"/>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897318"/>
    <w:rPr>
      <w:rFonts w:ascii="Arial" w:hAnsi="Arial" w:cs="Arial"/>
    </w:rPr>
  </w:style>
  <w:style w:type="table" w:styleId="TableGrid">
    <w:name w:val="Table Grid"/>
    <w:basedOn w:val="TableNormal"/>
    <w:uiPriority w:val="39"/>
    <w:rsid w:val="00142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2DE1"/>
    <w:rPr>
      <w:sz w:val="16"/>
      <w:szCs w:val="16"/>
    </w:rPr>
  </w:style>
  <w:style w:type="paragraph" w:styleId="CommentText">
    <w:name w:val="annotation text"/>
    <w:basedOn w:val="Normal"/>
    <w:link w:val="CommentTextChar"/>
    <w:uiPriority w:val="99"/>
    <w:unhideWhenUsed/>
    <w:rsid w:val="00862DE1"/>
    <w:pPr>
      <w:spacing w:line="240" w:lineRule="auto"/>
    </w:pPr>
    <w:rPr>
      <w:sz w:val="20"/>
      <w:szCs w:val="20"/>
    </w:rPr>
  </w:style>
  <w:style w:type="character" w:customStyle="1" w:styleId="CommentTextChar">
    <w:name w:val="Comment Text Char"/>
    <w:basedOn w:val="DefaultParagraphFont"/>
    <w:link w:val="CommentText"/>
    <w:uiPriority w:val="99"/>
    <w:rsid w:val="00862DE1"/>
    <w:rPr>
      <w:sz w:val="20"/>
      <w:szCs w:val="20"/>
    </w:rPr>
  </w:style>
  <w:style w:type="paragraph" w:styleId="CommentSubject">
    <w:name w:val="annotation subject"/>
    <w:basedOn w:val="CommentText"/>
    <w:next w:val="CommentText"/>
    <w:link w:val="CommentSubjectChar"/>
    <w:uiPriority w:val="99"/>
    <w:semiHidden/>
    <w:unhideWhenUsed/>
    <w:rsid w:val="00862DE1"/>
    <w:rPr>
      <w:b/>
      <w:bCs/>
    </w:rPr>
  </w:style>
  <w:style w:type="character" w:customStyle="1" w:styleId="CommentSubjectChar">
    <w:name w:val="Comment Subject Char"/>
    <w:basedOn w:val="CommentTextChar"/>
    <w:link w:val="CommentSubject"/>
    <w:uiPriority w:val="99"/>
    <w:semiHidden/>
    <w:rsid w:val="00862DE1"/>
    <w:rPr>
      <w:b/>
      <w:bCs/>
      <w:sz w:val="20"/>
      <w:szCs w:val="20"/>
    </w:rPr>
  </w:style>
  <w:style w:type="paragraph" w:styleId="BalloonText">
    <w:name w:val="Balloon Text"/>
    <w:basedOn w:val="Normal"/>
    <w:link w:val="BalloonTextChar"/>
    <w:uiPriority w:val="99"/>
    <w:semiHidden/>
    <w:unhideWhenUsed/>
    <w:rsid w:val="00862D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DE1"/>
    <w:rPr>
      <w:rFonts w:ascii="Segoe UI" w:hAnsi="Segoe UI" w:cs="Segoe UI"/>
      <w:sz w:val="18"/>
      <w:szCs w:val="18"/>
    </w:rPr>
  </w:style>
  <w:style w:type="character" w:styleId="Hyperlink">
    <w:name w:val="Hyperlink"/>
    <w:basedOn w:val="DefaultParagraphFont"/>
    <w:uiPriority w:val="99"/>
    <w:unhideWhenUsed/>
    <w:rsid w:val="00884EA5"/>
    <w:rPr>
      <w:color w:val="0563C1" w:themeColor="hyperlink"/>
      <w:u w:val="single"/>
    </w:rPr>
  </w:style>
  <w:style w:type="paragraph" w:styleId="TOCHeading">
    <w:name w:val="TOC Heading"/>
    <w:basedOn w:val="Heading1"/>
    <w:next w:val="Normal"/>
    <w:uiPriority w:val="39"/>
    <w:unhideWhenUsed/>
    <w:qFormat/>
    <w:rsid w:val="0040247E"/>
    <w:pPr>
      <w:outlineLvl w:val="9"/>
    </w:pPr>
    <w:rPr>
      <w:lang w:val="en-US"/>
    </w:rPr>
  </w:style>
  <w:style w:type="paragraph" w:customStyle="1" w:styleId="Default">
    <w:name w:val="Default"/>
    <w:rsid w:val="009A30B4"/>
    <w:pPr>
      <w:autoSpaceDE w:val="0"/>
      <w:autoSpaceDN w:val="0"/>
      <w:adjustRightInd w:val="0"/>
      <w:spacing w:after="0" w:line="240" w:lineRule="auto"/>
    </w:pPr>
    <w:rPr>
      <w:rFonts w:ascii="Arial" w:hAnsi="Arial" w:cs="Arial"/>
      <w:color w:val="000000"/>
      <w:sz w:val="24"/>
      <w:szCs w:val="24"/>
    </w:rPr>
  </w:style>
  <w:style w:type="paragraph" w:styleId="DocumentMap">
    <w:name w:val="Document Map"/>
    <w:basedOn w:val="Normal"/>
    <w:link w:val="DocumentMapChar"/>
    <w:uiPriority w:val="99"/>
    <w:semiHidden/>
    <w:unhideWhenUsed/>
    <w:rsid w:val="008D38A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8D38A4"/>
    <w:rPr>
      <w:rFonts w:ascii="Times New Roman" w:hAnsi="Times New Roman" w:cs="Times New Roman"/>
      <w:sz w:val="24"/>
      <w:szCs w:val="24"/>
    </w:rPr>
  </w:style>
  <w:style w:type="paragraph" w:styleId="Revision">
    <w:name w:val="Revision"/>
    <w:hidden/>
    <w:uiPriority w:val="99"/>
    <w:semiHidden/>
    <w:rsid w:val="008D38A4"/>
    <w:pPr>
      <w:spacing w:after="0" w:line="240" w:lineRule="auto"/>
    </w:pPr>
  </w:style>
  <w:style w:type="paragraph" w:styleId="Footer">
    <w:name w:val="footer"/>
    <w:basedOn w:val="Normal"/>
    <w:link w:val="FooterChar"/>
    <w:uiPriority w:val="99"/>
    <w:unhideWhenUsed/>
    <w:rsid w:val="00E420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2062"/>
  </w:style>
  <w:style w:type="character" w:styleId="PageNumber">
    <w:name w:val="page number"/>
    <w:basedOn w:val="DefaultParagraphFont"/>
    <w:uiPriority w:val="99"/>
    <w:semiHidden/>
    <w:unhideWhenUsed/>
    <w:rsid w:val="00E42062"/>
  </w:style>
  <w:style w:type="paragraph" w:styleId="NormalWeb">
    <w:name w:val="Normal (Web)"/>
    <w:basedOn w:val="Normal"/>
    <w:uiPriority w:val="99"/>
    <w:unhideWhenUsed/>
    <w:rsid w:val="002C026E"/>
    <w:pPr>
      <w:spacing w:before="100" w:beforeAutospacing="1" w:after="100" w:afterAutospacing="1" w:line="240" w:lineRule="auto"/>
    </w:pPr>
    <w:rPr>
      <w:rFonts w:ascii="Times New Roman" w:hAnsi="Times New Roman" w:cs="Times New Roman"/>
      <w:sz w:val="24"/>
      <w:szCs w:val="24"/>
      <w:lang w:val="en-US"/>
    </w:rPr>
  </w:style>
  <w:style w:type="paragraph" w:styleId="Subtitle">
    <w:name w:val="Subtitle"/>
    <w:basedOn w:val="Normal"/>
    <w:next w:val="Normal"/>
    <w:link w:val="SubtitleChar"/>
    <w:uiPriority w:val="11"/>
    <w:qFormat/>
    <w:rsid w:val="00871503"/>
    <w:rPr>
      <w:rFonts w:cs="Arial"/>
      <w:b/>
      <w:sz w:val="32"/>
    </w:rPr>
  </w:style>
  <w:style w:type="character" w:customStyle="1" w:styleId="SubtitleChar">
    <w:name w:val="Subtitle Char"/>
    <w:basedOn w:val="DefaultParagraphFont"/>
    <w:link w:val="Subtitle"/>
    <w:uiPriority w:val="11"/>
    <w:rsid w:val="00871503"/>
    <w:rPr>
      <w:rFonts w:ascii="Arial" w:hAnsi="Arial" w:cs="Arial"/>
      <w:b/>
      <w:sz w:val="32"/>
    </w:rPr>
  </w:style>
  <w:style w:type="paragraph" w:styleId="TOC1">
    <w:name w:val="toc 1"/>
    <w:basedOn w:val="Normal"/>
    <w:next w:val="Normal"/>
    <w:autoRedefine/>
    <w:uiPriority w:val="39"/>
    <w:unhideWhenUsed/>
    <w:rsid w:val="00623884"/>
    <w:pPr>
      <w:tabs>
        <w:tab w:val="left" w:pos="440"/>
        <w:tab w:val="right" w:leader="dot" w:pos="8948"/>
      </w:tabs>
      <w:spacing w:after="100"/>
    </w:pPr>
  </w:style>
  <w:style w:type="table" w:customStyle="1" w:styleId="PlainTable11">
    <w:name w:val="Plain Table 11"/>
    <w:basedOn w:val="TableNormal"/>
    <w:uiPriority w:val="41"/>
    <w:rsid w:val="005875C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2">
    <w:name w:val="toc 2"/>
    <w:basedOn w:val="Normal"/>
    <w:next w:val="Normal"/>
    <w:autoRedefine/>
    <w:uiPriority w:val="39"/>
    <w:unhideWhenUsed/>
    <w:rsid w:val="00BD0AEA"/>
    <w:pPr>
      <w:tabs>
        <w:tab w:val="left" w:pos="426"/>
        <w:tab w:val="right" w:leader="dot" w:pos="8948"/>
      </w:tabs>
      <w:spacing w:after="100"/>
      <w:ind w:left="220" w:hanging="220"/>
    </w:pPr>
    <w:rPr>
      <w:rFonts w:eastAsiaTheme="minorEastAsia" w:cs="Times New Roman"/>
      <w:lang w:val="en-US"/>
    </w:rPr>
  </w:style>
  <w:style w:type="paragraph" w:styleId="TOC3">
    <w:name w:val="toc 3"/>
    <w:basedOn w:val="Normal"/>
    <w:next w:val="Normal"/>
    <w:autoRedefine/>
    <w:uiPriority w:val="39"/>
    <w:unhideWhenUsed/>
    <w:rsid w:val="00DA4C69"/>
    <w:pPr>
      <w:spacing w:after="100"/>
      <w:ind w:left="440"/>
    </w:pPr>
    <w:rPr>
      <w:rFonts w:eastAsiaTheme="minorEastAsia" w:cs="Times New Roman"/>
      <w:lang w:val="en-US"/>
    </w:rPr>
  </w:style>
  <w:style w:type="paragraph" w:styleId="Header">
    <w:name w:val="header"/>
    <w:basedOn w:val="Normal"/>
    <w:link w:val="HeaderChar"/>
    <w:uiPriority w:val="99"/>
    <w:unhideWhenUsed/>
    <w:rsid w:val="002C6B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6BE1"/>
  </w:style>
  <w:style w:type="character" w:styleId="BookTitle">
    <w:name w:val="Book Title"/>
    <w:aliases w:val="2nd level"/>
    <w:uiPriority w:val="33"/>
    <w:qFormat/>
    <w:rsid w:val="000B3E07"/>
    <w:rPr>
      <w:rFonts w:ascii="Arial" w:hAnsi="Arial" w:cs="Arial"/>
    </w:rPr>
  </w:style>
  <w:style w:type="paragraph" w:styleId="FootnoteText">
    <w:name w:val="footnote text"/>
    <w:basedOn w:val="Normal"/>
    <w:link w:val="FootnoteTextChar"/>
    <w:uiPriority w:val="99"/>
    <w:semiHidden/>
    <w:unhideWhenUsed/>
    <w:rsid w:val="001E52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52F4"/>
    <w:rPr>
      <w:sz w:val="20"/>
      <w:szCs w:val="20"/>
    </w:rPr>
  </w:style>
  <w:style w:type="character" w:styleId="FootnoteReference">
    <w:name w:val="footnote reference"/>
    <w:basedOn w:val="DefaultParagraphFont"/>
    <w:uiPriority w:val="99"/>
    <w:semiHidden/>
    <w:unhideWhenUsed/>
    <w:rsid w:val="001E52F4"/>
    <w:rPr>
      <w:vertAlign w:val="superscript"/>
    </w:rPr>
  </w:style>
  <w:style w:type="table" w:customStyle="1" w:styleId="GridTable1Light1">
    <w:name w:val="Grid Table 1 Light1"/>
    <w:basedOn w:val="TableNormal"/>
    <w:uiPriority w:val="46"/>
    <w:rsid w:val="002644B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sid w:val="005E2D9C"/>
    <w:pPr>
      <w:spacing w:after="0" w:line="240" w:lineRule="auto"/>
    </w:pPr>
  </w:style>
  <w:style w:type="character" w:styleId="Strong">
    <w:name w:val="Strong"/>
    <w:basedOn w:val="DefaultParagraphFont"/>
    <w:uiPriority w:val="22"/>
    <w:qFormat/>
    <w:rsid w:val="00655C80"/>
    <w:rPr>
      <w:b/>
      <w:bCs/>
    </w:rPr>
  </w:style>
  <w:style w:type="character" w:styleId="SubtleEmphasis">
    <w:name w:val="Subtle Emphasis"/>
    <w:basedOn w:val="DefaultParagraphFont"/>
    <w:uiPriority w:val="19"/>
    <w:qFormat/>
    <w:rsid w:val="005A2B63"/>
    <w:rPr>
      <w:rFonts w:ascii="Arial" w:hAnsi="Arial" w:cs="Arial"/>
      <w:i/>
      <w:iCs/>
      <w:color w:val="404040" w:themeColor="text1" w:themeTint="BF"/>
    </w:rPr>
  </w:style>
  <w:style w:type="paragraph" w:styleId="Title">
    <w:name w:val="Title"/>
    <w:basedOn w:val="Normal"/>
    <w:next w:val="Normal"/>
    <w:link w:val="TitleChar"/>
    <w:uiPriority w:val="10"/>
    <w:qFormat/>
    <w:rsid w:val="003860D9"/>
    <w:pPr>
      <w:spacing w:before="240" w:after="240" w:line="240" w:lineRule="auto"/>
      <w:contextualSpacing/>
    </w:pPr>
    <w:rPr>
      <w:rFonts w:eastAsiaTheme="majorEastAsia" w:cs="Arial"/>
      <w:b/>
      <w:spacing w:val="-10"/>
      <w:kern w:val="28"/>
      <w:sz w:val="32"/>
      <w:szCs w:val="56"/>
    </w:rPr>
  </w:style>
  <w:style w:type="character" w:customStyle="1" w:styleId="TitleChar">
    <w:name w:val="Title Char"/>
    <w:basedOn w:val="DefaultParagraphFont"/>
    <w:link w:val="Title"/>
    <w:uiPriority w:val="10"/>
    <w:rsid w:val="003860D9"/>
    <w:rPr>
      <w:rFonts w:ascii="Arial" w:eastAsiaTheme="majorEastAsia" w:hAnsi="Arial" w:cs="Arial"/>
      <w:b/>
      <w:spacing w:val="-10"/>
      <w:kern w:val="28"/>
      <w:sz w:val="32"/>
      <w:szCs w:val="56"/>
    </w:rPr>
  </w:style>
  <w:style w:type="character" w:styleId="FollowedHyperlink">
    <w:name w:val="FollowedHyperlink"/>
    <w:basedOn w:val="DefaultParagraphFont"/>
    <w:uiPriority w:val="99"/>
    <w:semiHidden/>
    <w:unhideWhenUsed/>
    <w:rsid w:val="0049095F"/>
    <w:rPr>
      <w:color w:val="954F72" w:themeColor="followedHyperlink"/>
      <w:u w:val="single"/>
    </w:rPr>
  </w:style>
  <w:style w:type="character" w:customStyle="1" w:styleId="Mention1">
    <w:name w:val="Mention1"/>
    <w:basedOn w:val="DefaultParagraphFont"/>
    <w:uiPriority w:val="99"/>
    <w:semiHidden/>
    <w:unhideWhenUsed/>
    <w:rsid w:val="001D7E7A"/>
    <w:rPr>
      <w:color w:val="2B579A"/>
      <w:shd w:val="clear" w:color="auto" w:fill="E6E6E6"/>
    </w:rPr>
  </w:style>
  <w:style w:type="table" w:customStyle="1" w:styleId="GridTable1Light-Accent31">
    <w:name w:val="Grid Table 1 Light - Accent 31"/>
    <w:basedOn w:val="TableNormal"/>
    <w:uiPriority w:val="46"/>
    <w:rsid w:val="008E0D5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rsid w:val="00AA20F1"/>
  </w:style>
  <w:style w:type="paragraph" w:customStyle="1" w:styleId="Bulletlist">
    <w:name w:val="Bullet list"/>
    <w:basedOn w:val="ListParagraph"/>
    <w:link w:val="BulletlistChar"/>
    <w:qFormat/>
    <w:rsid w:val="00AA20F1"/>
    <w:pPr>
      <w:numPr>
        <w:ilvl w:val="0"/>
        <w:numId w:val="111"/>
      </w:numPr>
      <w:spacing w:after="200" w:line="276" w:lineRule="auto"/>
      <w:ind w:right="-613"/>
      <w:contextualSpacing/>
      <w:jc w:val="both"/>
    </w:pPr>
  </w:style>
  <w:style w:type="character" w:customStyle="1" w:styleId="BulletlistChar">
    <w:name w:val="Bullet list Char"/>
    <w:basedOn w:val="ListParagraphChar"/>
    <w:link w:val="Bulletlist"/>
    <w:rsid w:val="00AA20F1"/>
    <w:rPr>
      <w:rFonts w:ascii="Arial" w:hAnsi="Arial" w:cs="Arial"/>
    </w:rPr>
  </w:style>
  <w:style w:type="character" w:customStyle="1" w:styleId="Heading3Char">
    <w:name w:val="Heading 3 Char"/>
    <w:basedOn w:val="DefaultParagraphFont"/>
    <w:link w:val="Heading3"/>
    <w:uiPriority w:val="9"/>
    <w:semiHidden/>
    <w:rsid w:val="00DB5759"/>
    <w:rPr>
      <w:rFonts w:asciiTheme="majorHAnsi" w:eastAsiaTheme="majorEastAsia" w:hAnsiTheme="majorHAnsi" w:cstheme="majorBidi"/>
      <w:color w:val="1F4D78" w:themeColor="accent1" w:themeShade="7F"/>
      <w:sz w:val="24"/>
      <w:szCs w:val="24"/>
    </w:rPr>
  </w:style>
  <w:style w:type="paragraph" w:customStyle="1" w:styleId="HPHeading1">
    <w:name w:val="HP Heading 1"/>
    <w:basedOn w:val="Heading1"/>
    <w:link w:val="HPHeading1Char"/>
    <w:qFormat/>
    <w:rsid w:val="00623884"/>
    <w:pPr>
      <w:numPr>
        <w:numId w:val="0"/>
      </w:numPr>
      <w:spacing w:before="0" w:after="120" w:line="276" w:lineRule="auto"/>
    </w:pPr>
    <w:rPr>
      <w:rFonts w:asciiTheme="majorHAnsi" w:hAnsiTheme="majorHAnsi" w:cstheme="majorBidi"/>
      <w:b w:val="0"/>
      <w:color w:val="2E74B5" w:themeColor="accent1" w:themeShade="BF"/>
    </w:rPr>
  </w:style>
  <w:style w:type="character" w:customStyle="1" w:styleId="HPHeading1Char">
    <w:name w:val="HP Heading 1 Char"/>
    <w:basedOn w:val="Heading1Char"/>
    <w:link w:val="HPHeading1"/>
    <w:rsid w:val="00623884"/>
    <w:rPr>
      <w:rFonts w:asciiTheme="majorHAnsi" w:eastAsiaTheme="majorEastAsia" w:hAnsiTheme="majorHAnsi" w:cstheme="majorBidi"/>
      <w:b w:val="0"/>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8965">
      <w:bodyDiv w:val="1"/>
      <w:marLeft w:val="0"/>
      <w:marRight w:val="0"/>
      <w:marTop w:val="0"/>
      <w:marBottom w:val="0"/>
      <w:divBdr>
        <w:top w:val="none" w:sz="0" w:space="0" w:color="auto"/>
        <w:left w:val="none" w:sz="0" w:space="0" w:color="auto"/>
        <w:bottom w:val="none" w:sz="0" w:space="0" w:color="auto"/>
        <w:right w:val="none" w:sz="0" w:space="0" w:color="auto"/>
      </w:divBdr>
    </w:div>
    <w:div w:id="63799005">
      <w:bodyDiv w:val="1"/>
      <w:marLeft w:val="0"/>
      <w:marRight w:val="0"/>
      <w:marTop w:val="0"/>
      <w:marBottom w:val="0"/>
      <w:divBdr>
        <w:top w:val="none" w:sz="0" w:space="0" w:color="auto"/>
        <w:left w:val="none" w:sz="0" w:space="0" w:color="auto"/>
        <w:bottom w:val="none" w:sz="0" w:space="0" w:color="auto"/>
        <w:right w:val="none" w:sz="0" w:space="0" w:color="auto"/>
      </w:divBdr>
    </w:div>
    <w:div w:id="75782972">
      <w:bodyDiv w:val="1"/>
      <w:marLeft w:val="0"/>
      <w:marRight w:val="0"/>
      <w:marTop w:val="0"/>
      <w:marBottom w:val="0"/>
      <w:divBdr>
        <w:top w:val="none" w:sz="0" w:space="0" w:color="auto"/>
        <w:left w:val="none" w:sz="0" w:space="0" w:color="auto"/>
        <w:bottom w:val="none" w:sz="0" w:space="0" w:color="auto"/>
        <w:right w:val="none" w:sz="0" w:space="0" w:color="auto"/>
      </w:divBdr>
    </w:div>
    <w:div w:id="80765522">
      <w:bodyDiv w:val="1"/>
      <w:marLeft w:val="0"/>
      <w:marRight w:val="0"/>
      <w:marTop w:val="0"/>
      <w:marBottom w:val="0"/>
      <w:divBdr>
        <w:top w:val="none" w:sz="0" w:space="0" w:color="auto"/>
        <w:left w:val="none" w:sz="0" w:space="0" w:color="auto"/>
        <w:bottom w:val="none" w:sz="0" w:space="0" w:color="auto"/>
        <w:right w:val="none" w:sz="0" w:space="0" w:color="auto"/>
      </w:divBdr>
    </w:div>
    <w:div w:id="118569025">
      <w:bodyDiv w:val="1"/>
      <w:marLeft w:val="0"/>
      <w:marRight w:val="0"/>
      <w:marTop w:val="0"/>
      <w:marBottom w:val="0"/>
      <w:divBdr>
        <w:top w:val="none" w:sz="0" w:space="0" w:color="auto"/>
        <w:left w:val="none" w:sz="0" w:space="0" w:color="auto"/>
        <w:bottom w:val="none" w:sz="0" w:space="0" w:color="auto"/>
        <w:right w:val="none" w:sz="0" w:space="0" w:color="auto"/>
      </w:divBdr>
      <w:divsChild>
        <w:div w:id="123623066">
          <w:marLeft w:val="446"/>
          <w:marRight w:val="0"/>
          <w:marTop w:val="0"/>
          <w:marBottom w:val="0"/>
          <w:divBdr>
            <w:top w:val="none" w:sz="0" w:space="0" w:color="auto"/>
            <w:left w:val="none" w:sz="0" w:space="0" w:color="auto"/>
            <w:bottom w:val="none" w:sz="0" w:space="0" w:color="auto"/>
            <w:right w:val="none" w:sz="0" w:space="0" w:color="auto"/>
          </w:divBdr>
        </w:div>
        <w:div w:id="170336998">
          <w:marLeft w:val="446"/>
          <w:marRight w:val="0"/>
          <w:marTop w:val="0"/>
          <w:marBottom w:val="0"/>
          <w:divBdr>
            <w:top w:val="none" w:sz="0" w:space="0" w:color="auto"/>
            <w:left w:val="none" w:sz="0" w:space="0" w:color="auto"/>
            <w:bottom w:val="none" w:sz="0" w:space="0" w:color="auto"/>
            <w:right w:val="none" w:sz="0" w:space="0" w:color="auto"/>
          </w:divBdr>
        </w:div>
        <w:div w:id="261842406">
          <w:marLeft w:val="446"/>
          <w:marRight w:val="0"/>
          <w:marTop w:val="0"/>
          <w:marBottom w:val="0"/>
          <w:divBdr>
            <w:top w:val="none" w:sz="0" w:space="0" w:color="auto"/>
            <w:left w:val="none" w:sz="0" w:space="0" w:color="auto"/>
            <w:bottom w:val="none" w:sz="0" w:space="0" w:color="auto"/>
            <w:right w:val="none" w:sz="0" w:space="0" w:color="auto"/>
          </w:divBdr>
        </w:div>
        <w:div w:id="358121333">
          <w:marLeft w:val="446"/>
          <w:marRight w:val="0"/>
          <w:marTop w:val="0"/>
          <w:marBottom w:val="0"/>
          <w:divBdr>
            <w:top w:val="none" w:sz="0" w:space="0" w:color="auto"/>
            <w:left w:val="none" w:sz="0" w:space="0" w:color="auto"/>
            <w:bottom w:val="none" w:sz="0" w:space="0" w:color="auto"/>
            <w:right w:val="none" w:sz="0" w:space="0" w:color="auto"/>
          </w:divBdr>
        </w:div>
        <w:div w:id="473184866">
          <w:marLeft w:val="446"/>
          <w:marRight w:val="0"/>
          <w:marTop w:val="0"/>
          <w:marBottom w:val="0"/>
          <w:divBdr>
            <w:top w:val="none" w:sz="0" w:space="0" w:color="auto"/>
            <w:left w:val="none" w:sz="0" w:space="0" w:color="auto"/>
            <w:bottom w:val="none" w:sz="0" w:space="0" w:color="auto"/>
            <w:right w:val="none" w:sz="0" w:space="0" w:color="auto"/>
          </w:divBdr>
        </w:div>
        <w:div w:id="613710144">
          <w:marLeft w:val="446"/>
          <w:marRight w:val="0"/>
          <w:marTop w:val="0"/>
          <w:marBottom w:val="0"/>
          <w:divBdr>
            <w:top w:val="none" w:sz="0" w:space="0" w:color="auto"/>
            <w:left w:val="none" w:sz="0" w:space="0" w:color="auto"/>
            <w:bottom w:val="none" w:sz="0" w:space="0" w:color="auto"/>
            <w:right w:val="none" w:sz="0" w:space="0" w:color="auto"/>
          </w:divBdr>
        </w:div>
        <w:div w:id="649404674">
          <w:marLeft w:val="446"/>
          <w:marRight w:val="0"/>
          <w:marTop w:val="0"/>
          <w:marBottom w:val="0"/>
          <w:divBdr>
            <w:top w:val="none" w:sz="0" w:space="0" w:color="auto"/>
            <w:left w:val="none" w:sz="0" w:space="0" w:color="auto"/>
            <w:bottom w:val="none" w:sz="0" w:space="0" w:color="auto"/>
            <w:right w:val="none" w:sz="0" w:space="0" w:color="auto"/>
          </w:divBdr>
        </w:div>
        <w:div w:id="763762293">
          <w:marLeft w:val="446"/>
          <w:marRight w:val="0"/>
          <w:marTop w:val="0"/>
          <w:marBottom w:val="0"/>
          <w:divBdr>
            <w:top w:val="none" w:sz="0" w:space="0" w:color="auto"/>
            <w:left w:val="none" w:sz="0" w:space="0" w:color="auto"/>
            <w:bottom w:val="none" w:sz="0" w:space="0" w:color="auto"/>
            <w:right w:val="none" w:sz="0" w:space="0" w:color="auto"/>
          </w:divBdr>
        </w:div>
        <w:div w:id="1028331634">
          <w:marLeft w:val="446"/>
          <w:marRight w:val="0"/>
          <w:marTop w:val="0"/>
          <w:marBottom w:val="0"/>
          <w:divBdr>
            <w:top w:val="none" w:sz="0" w:space="0" w:color="auto"/>
            <w:left w:val="none" w:sz="0" w:space="0" w:color="auto"/>
            <w:bottom w:val="none" w:sz="0" w:space="0" w:color="auto"/>
            <w:right w:val="none" w:sz="0" w:space="0" w:color="auto"/>
          </w:divBdr>
        </w:div>
        <w:div w:id="1531651541">
          <w:marLeft w:val="446"/>
          <w:marRight w:val="0"/>
          <w:marTop w:val="0"/>
          <w:marBottom w:val="0"/>
          <w:divBdr>
            <w:top w:val="none" w:sz="0" w:space="0" w:color="auto"/>
            <w:left w:val="none" w:sz="0" w:space="0" w:color="auto"/>
            <w:bottom w:val="none" w:sz="0" w:space="0" w:color="auto"/>
            <w:right w:val="none" w:sz="0" w:space="0" w:color="auto"/>
          </w:divBdr>
        </w:div>
        <w:div w:id="1562399691">
          <w:marLeft w:val="446"/>
          <w:marRight w:val="0"/>
          <w:marTop w:val="0"/>
          <w:marBottom w:val="0"/>
          <w:divBdr>
            <w:top w:val="none" w:sz="0" w:space="0" w:color="auto"/>
            <w:left w:val="none" w:sz="0" w:space="0" w:color="auto"/>
            <w:bottom w:val="none" w:sz="0" w:space="0" w:color="auto"/>
            <w:right w:val="none" w:sz="0" w:space="0" w:color="auto"/>
          </w:divBdr>
        </w:div>
        <w:div w:id="1760715369">
          <w:marLeft w:val="446"/>
          <w:marRight w:val="0"/>
          <w:marTop w:val="0"/>
          <w:marBottom w:val="0"/>
          <w:divBdr>
            <w:top w:val="none" w:sz="0" w:space="0" w:color="auto"/>
            <w:left w:val="none" w:sz="0" w:space="0" w:color="auto"/>
            <w:bottom w:val="none" w:sz="0" w:space="0" w:color="auto"/>
            <w:right w:val="none" w:sz="0" w:space="0" w:color="auto"/>
          </w:divBdr>
        </w:div>
        <w:div w:id="1833444120">
          <w:marLeft w:val="446"/>
          <w:marRight w:val="0"/>
          <w:marTop w:val="0"/>
          <w:marBottom w:val="0"/>
          <w:divBdr>
            <w:top w:val="none" w:sz="0" w:space="0" w:color="auto"/>
            <w:left w:val="none" w:sz="0" w:space="0" w:color="auto"/>
            <w:bottom w:val="none" w:sz="0" w:space="0" w:color="auto"/>
            <w:right w:val="none" w:sz="0" w:space="0" w:color="auto"/>
          </w:divBdr>
        </w:div>
        <w:div w:id="1873885351">
          <w:marLeft w:val="446"/>
          <w:marRight w:val="0"/>
          <w:marTop w:val="0"/>
          <w:marBottom w:val="0"/>
          <w:divBdr>
            <w:top w:val="none" w:sz="0" w:space="0" w:color="auto"/>
            <w:left w:val="none" w:sz="0" w:space="0" w:color="auto"/>
            <w:bottom w:val="none" w:sz="0" w:space="0" w:color="auto"/>
            <w:right w:val="none" w:sz="0" w:space="0" w:color="auto"/>
          </w:divBdr>
        </w:div>
      </w:divsChild>
    </w:div>
    <w:div w:id="129176871">
      <w:bodyDiv w:val="1"/>
      <w:marLeft w:val="0"/>
      <w:marRight w:val="0"/>
      <w:marTop w:val="0"/>
      <w:marBottom w:val="0"/>
      <w:divBdr>
        <w:top w:val="none" w:sz="0" w:space="0" w:color="auto"/>
        <w:left w:val="none" w:sz="0" w:space="0" w:color="auto"/>
        <w:bottom w:val="none" w:sz="0" w:space="0" w:color="auto"/>
        <w:right w:val="none" w:sz="0" w:space="0" w:color="auto"/>
      </w:divBdr>
    </w:div>
    <w:div w:id="159397097">
      <w:bodyDiv w:val="1"/>
      <w:marLeft w:val="0"/>
      <w:marRight w:val="0"/>
      <w:marTop w:val="0"/>
      <w:marBottom w:val="0"/>
      <w:divBdr>
        <w:top w:val="none" w:sz="0" w:space="0" w:color="auto"/>
        <w:left w:val="none" w:sz="0" w:space="0" w:color="auto"/>
        <w:bottom w:val="none" w:sz="0" w:space="0" w:color="auto"/>
        <w:right w:val="none" w:sz="0" w:space="0" w:color="auto"/>
      </w:divBdr>
    </w:div>
    <w:div w:id="221673878">
      <w:bodyDiv w:val="1"/>
      <w:marLeft w:val="0"/>
      <w:marRight w:val="0"/>
      <w:marTop w:val="0"/>
      <w:marBottom w:val="0"/>
      <w:divBdr>
        <w:top w:val="none" w:sz="0" w:space="0" w:color="auto"/>
        <w:left w:val="none" w:sz="0" w:space="0" w:color="auto"/>
        <w:bottom w:val="none" w:sz="0" w:space="0" w:color="auto"/>
        <w:right w:val="none" w:sz="0" w:space="0" w:color="auto"/>
      </w:divBdr>
    </w:div>
    <w:div w:id="232280670">
      <w:bodyDiv w:val="1"/>
      <w:marLeft w:val="0"/>
      <w:marRight w:val="0"/>
      <w:marTop w:val="0"/>
      <w:marBottom w:val="0"/>
      <w:divBdr>
        <w:top w:val="none" w:sz="0" w:space="0" w:color="auto"/>
        <w:left w:val="none" w:sz="0" w:space="0" w:color="auto"/>
        <w:bottom w:val="none" w:sz="0" w:space="0" w:color="auto"/>
        <w:right w:val="none" w:sz="0" w:space="0" w:color="auto"/>
      </w:divBdr>
    </w:div>
    <w:div w:id="296419625">
      <w:bodyDiv w:val="1"/>
      <w:marLeft w:val="0"/>
      <w:marRight w:val="0"/>
      <w:marTop w:val="0"/>
      <w:marBottom w:val="0"/>
      <w:divBdr>
        <w:top w:val="none" w:sz="0" w:space="0" w:color="auto"/>
        <w:left w:val="none" w:sz="0" w:space="0" w:color="auto"/>
        <w:bottom w:val="none" w:sz="0" w:space="0" w:color="auto"/>
        <w:right w:val="none" w:sz="0" w:space="0" w:color="auto"/>
      </w:divBdr>
    </w:div>
    <w:div w:id="398941578">
      <w:bodyDiv w:val="1"/>
      <w:marLeft w:val="0"/>
      <w:marRight w:val="0"/>
      <w:marTop w:val="0"/>
      <w:marBottom w:val="0"/>
      <w:divBdr>
        <w:top w:val="none" w:sz="0" w:space="0" w:color="auto"/>
        <w:left w:val="none" w:sz="0" w:space="0" w:color="auto"/>
        <w:bottom w:val="none" w:sz="0" w:space="0" w:color="auto"/>
        <w:right w:val="none" w:sz="0" w:space="0" w:color="auto"/>
      </w:divBdr>
    </w:div>
    <w:div w:id="438598937">
      <w:bodyDiv w:val="1"/>
      <w:marLeft w:val="0"/>
      <w:marRight w:val="0"/>
      <w:marTop w:val="0"/>
      <w:marBottom w:val="0"/>
      <w:divBdr>
        <w:top w:val="none" w:sz="0" w:space="0" w:color="auto"/>
        <w:left w:val="none" w:sz="0" w:space="0" w:color="auto"/>
        <w:bottom w:val="none" w:sz="0" w:space="0" w:color="auto"/>
        <w:right w:val="none" w:sz="0" w:space="0" w:color="auto"/>
      </w:divBdr>
      <w:divsChild>
        <w:div w:id="684357268">
          <w:marLeft w:val="547"/>
          <w:marRight w:val="0"/>
          <w:marTop w:val="0"/>
          <w:marBottom w:val="0"/>
          <w:divBdr>
            <w:top w:val="none" w:sz="0" w:space="0" w:color="auto"/>
            <w:left w:val="none" w:sz="0" w:space="0" w:color="auto"/>
            <w:bottom w:val="none" w:sz="0" w:space="0" w:color="auto"/>
            <w:right w:val="none" w:sz="0" w:space="0" w:color="auto"/>
          </w:divBdr>
        </w:div>
        <w:div w:id="782724621">
          <w:marLeft w:val="547"/>
          <w:marRight w:val="0"/>
          <w:marTop w:val="0"/>
          <w:marBottom w:val="0"/>
          <w:divBdr>
            <w:top w:val="none" w:sz="0" w:space="0" w:color="auto"/>
            <w:left w:val="none" w:sz="0" w:space="0" w:color="auto"/>
            <w:bottom w:val="none" w:sz="0" w:space="0" w:color="auto"/>
            <w:right w:val="none" w:sz="0" w:space="0" w:color="auto"/>
          </w:divBdr>
        </w:div>
        <w:div w:id="1868331226">
          <w:marLeft w:val="547"/>
          <w:marRight w:val="0"/>
          <w:marTop w:val="0"/>
          <w:marBottom w:val="0"/>
          <w:divBdr>
            <w:top w:val="none" w:sz="0" w:space="0" w:color="auto"/>
            <w:left w:val="none" w:sz="0" w:space="0" w:color="auto"/>
            <w:bottom w:val="none" w:sz="0" w:space="0" w:color="auto"/>
            <w:right w:val="none" w:sz="0" w:space="0" w:color="auto"/>
          </w:divBdr>
        </w:div>
        <w:div w:id="2138643633">
          <w:marLeft w:val="547"/>
          <w:marRight w:val="0"/>
          <w:marTop w:val="0"/>
          <w:marBottom w:val="0"/>
          <w:divBdr>
            <w:top w:val="none" w:sz="0" w:space="0" w:color="auto"/>
            <w:left w:val="none" w:sz="0" w:space="0" w:color="auto"/>
            <w:bottom w:val="none" w:sz="0" w:space="0" w:color="auto"/>
            <w:right w:val="none" w:sz="0" w:space="0" w:color="auto"/>
          </w:divBdr>
        </w:div>
      </w:divsChild>
    </w:div>
    <w:div w:id="446200826">
      <w:bodyDiv w:val="1"/>
      <w:marLeft w:val="0"/>
      <w:marRight w:val="0"/>
      <w:marTop w:val="0"/>
      <w:marBottom w:val="0"/>
      <w:divBdr>
        <w:top w:val="none" w:sz="0" w:space="0" w:color="auto"/>
        <w:left w:val="none" w:sz="0" w:space="0" w:color="auto"/>
        <w:bottom w:val="none" w:sz="0" w:space="0" w:color="auto"/>
        <w:right w:val="none" w:sz="0" w:space="0" w:color="auto"/>
      </w:divBdr>
    </w:div>
    <w:div w:id="571506043">
      <w:bodyDiv w:val="1"/>
      <w:marLeft w:val="0"/>
      <w:marRight w:val="0"/>
      <w:marTop w:val="0"/>
      <w:marBottom w:val="0"/>
      <w:divBdr>
        <w:top w:val="none" w:sz="0" w:space="0" w:color="auto"/>
        <w:left w:val="none" w:sz="0" w:space="0" w:color="auto"/>
        <w:bottom w:val="none" w:sz="0" w:space="0" w:color="auto"/>
        <w:right w:val="none" w:sz="0" w:space="0" w:color="auto"/>
      </w:divBdr>
    </w:div>
    <w:div w:id="580526960">
      <w:bodyDiv w:val="1"/>
      <w:marLeft w:val="0"/>
      <w:marRight w:val="0"/>
      <w:marTop w:val="0"/>
      <w:marBottom w:val="0"/>
      <w:divBdr>
        <w:top w:val="none" w:sz="0" w:space="0" w:color="auto"/>
        <w:left w:val="none" w:sz="0" w:space="0" w:color="auto"/>
        <w:bottom w:val="none" w:sz="0" w:space="0" w:color="auto"/>
        <w:right w:val="none" w:sz="0" w:space="0" w:color="auto"/>
      </w:divBdr>
    </w:div>
    <w:div w:id="603727383">
      <w:bodyDiv w:val="1"/>
      <w:marLeft w:val="0"/>
      <w:marRight w:val="0"/>
      <w:marTop w:val="0"/>
      <w:marBottom w:val="0"/>
      <w:divBdr>
        <w:top w:val="none" w:sz="0" w:space="0" w:color="auto"/>
        <w:left w:val="none" w:sz="0" w:space="0" w:color="auto"/>
        <w:bottom w:val="none" w:sz="0" w:space="0" w:color="auto"/>
        <w:right w:val="none" w:sz="0" w:space="0" w:color="auto"/>
      </w:divBdr>
    </w:div>
    <w:div w:id="641160999">
      <w:bodyDiv w:val="1"/>
      <w:marLeft w:val="0"/>
      <w:marRight w:val="0"/>
      <w:marTop w:val="0"/>
      <w:marBottom w:val="0"/>
      <w:divBdr>
        <w:top w:val="none" w:sz="0" w:space="0" w:color="auto"/>
        <w:left w:val="none" w:sz="0" w:space="0" w:color="auto"/>
        <w:bottom w:val="none" w:sz="0" w:space="0" w:color="auto"/>
        <w:right w:val="none" w:sz="0" w:space="0" w:color="auto"/>
      </w:divBdr>
    </w:div>
    <w:div w:id="825780934">
      <w:bodyDiv w:val="1"/>
      <w:marLeft w:val="0"/>
      <w:marRight w:val="0"/>
      <w:marTop w:val="0"/>
      <w:marBottom w:val="0"/>
      <w:divBdr>
        <w:top w:val="none" w:sz="0" w:space="0" w:color="auto"/>
        <w:left w:val="none" w:sz="0" w:space="0" w:color="auto"/>
        <w:bottom w:val="none" w:sz="0" w:space="0" w:color="auto"/>
        <w:right w:val="none" w:sz="0" w:space="0" w:color="auto"/>
      </w:divBdr>
      <w:divsChild>
        <w:div w:id="264188557">
          <w:marLeft w:val="446"/>
          <w:marRight w:val="0"/>
          <w:marTop w:val="0"/>
          <w:marBottom w:val="0"/>
          <w:divBdr>
            <w:top w:val="none" w:sz="0" w:space="0" w:color="auto"/>
            <w:left w:val="none" w:sz="0" w:space="0" w:color="auto"/>
            <w:bottom w:val="none" w:sz="0" w:space="0" w:color="auto"/>
            <w:right w:val="none" w:sz="0" w:space="0" w:color="auto"/>
          </w:divBdr>
        </w:div>
        <w:div w:id="296104120">
          <w:marLeft w:val="446"/>
          <w:marRight w:val="0"/>
          <w:marTop w:val="0"/>
          <w:marBottom w:val="0"/>
          <w:divBdr>
            <w:top w:val="none" w:sz="0" w:space="0" w:color="auto"/>
            <w:left w:val="none" w:sz="0" w:space="0" w:color="auto"/>
            <w:bottom w:val="none" w:sz="0" w:space="0" w:color="auto"/>
            <w:right w:val="none" w:sz="0" w:space="0" w:color="auto"/>
          </w:divBdr>
        </w:div>
        <w:div w:id="491676142">
          <w:marLeft w:val="446"/>
          <w:marRight w:val="0"/>
          <w:marTop w:val="0"/>
          <w:marBottom w:val="0"/>
          <w:divBdr>
            <w:top w:val="none" w:sz="0" w:space="0" w:color="auto"/>
            <w:left w:val="none" w:sz="0" w:space="0" w:color="auto"/>
            <w:bottom w:val="none" w:sz="0" w:space="0" w:color="auto"/>
            <w:right w:val="none" w:sz="0" w:space="0" w:color="auto"/>
          </w:divBdr>
        </w:div>
        <w:div w:id="601843817">
          <w:marLeft w:val="446"/>
          <w:marRight w:val="0"/>
          <w:marTop w:val="0"/>
          <w:marBottom w:val="0"/>
          <w:divBdr>
            <w:top w:val="none" w:sz="0" w:space="0" w:color="auto"/>
            <w:left w:val="none" w:sz="0" w:space="0" w:color="auto"/>
            <w:bottom w:val="none" w:sz="0" w:space="0" w:color="auto"/>
            <w:right w:val="none" w:sz="0" w:space="0" w:color="auto"/>
          </w:divBdr>
        </w:div>
        <w:div w:id="702947209">
          <w:marLeft w:val="446"/>
          <w:marRight w:val="0"/>
          <w:marTop w:val="0"/>
          <w:marBottom w:val="0"/>
          <w:divBdr>
            <w:top w:val="none" w:sz="0" w:space="0" w:color="auto"/>
            <w:left w:val="none" w:sz="0" w:space="0" w:color="auto"/>
            <w:bottom w:val="none" w:sz="0" w:space="0" w:color="auto"/>
            <w:right w:val="none" w:sz="0" w:space="0" w:color="auto"/>
          </w:divBdr>
        </w:div>
        <w:div w:id="773982797">
          <w:marLeft w:val="446"/>
          <w:marRight w:val="0"/>
          <w:marTop w:val="0"/>
          <w:marBottom w:val="0"/>
          <w:divBdr>
            <w:top w:val="none" w:sz="0" w:space="0" w:color="auto"/>
            <w:left w:val="none" w:sz="0" w:space="0" w:color="auto"/>
            <w:bottom w:val="none" w:sz="0" w:space="0" w:color="auto"/>
            <w:right w:val="none" w:sz="0" w:space="0" w:color="auto"/>
          </w:divBdr>
        </w:div>
        <w:div w:id="891498986">
          <w:marLeft w:val="446"/>
          <w:marRight w:val="0"/>
          <w:marTop w:val="0"/>
          <w:marBottom w:val="0"/>
          <w:divBdr>
            <w:top w:val="none" w:sz="0" w:space="0" w:color="auto"/>
            <w:left w:val="none" w:sz="0" w:space="0" w:color="auto"/>
            <w:bottom w:val="none" w:sz="0" w:space="0" w:color="auto"/>
            <w:right w:val="none" w:sz="0" w:space="0" w:color="auto"/>
          </w:divBdr>
        </w:div>
        <w:div w:id="1027365887">
          <w:marLeft w:val="446"/>
          <w:marRight w:val="0"/>
          <w:marTop w:val="0"/>
          <w:marBottom w:val="0"/>
          <w:divBdr>
            <w:top w:val="none" w:sz="0" w:space="0" w:color="auto"/>
            <w:left w:val="none" w:sz="0" w:space="0" w:color="auto"/>
            <w:bottom w:val="none" w:sz="0" w:space="0" w:color="auto"/>
            <w:right w:val="none" w:sz="0" w:space="0" w:color="auto"/>
          </w:divBdr>
        </w:div>
        <w:div w:id="1132408716">
          <w:marLeft w:val="446"/>
          <w:marRight w:val="0"/>
          <w:marTop w:val="0"/>
          <w:marBottom w:val="0"/>
          <w:divBdr>
            <w:top w:val="none" w:sz="0" w:space="0" w:color="auto"/>
            <w:left w:val="none" w:sz="0" w:space="0" w:color="auto"/>
            <w:bottom w:val="none" w:sz="0" w:space="0" w:color="auto"/>
            <w:right w:val="none" w:sz="0" w:space="0" w:color="auto"/>
          </w:divBdr>
        </w:div>
        <w:div w:id="1218662564">
          <w:marLeft w:val="446"/>
          <w:marRight w:val="0"/>
          <w:marTop w:val="0"/>
          <w:marBottom w:val="0"/>
          <w:divBdr>
            <w:top w:val="none" w:sz="0" w:space="0" w:color="auto"/>
            <w:left w:val="none" w:sz="0" w:space="0" w:color="auto"/>
            <w:bottom w:val="none" w:sz="0" w:space="0" w:color="auto"/>
            <w:right w:val="none" w:sz="0" w:space="0" w:color="auto"/>
          </w:divBdr>
        </w:div>
        <w:div w:id="1232733277">
          <w:marLeft w:val="446"/>
          <w:marRight w:val="0"/>
          <w:marTop w:val="0"/>
          <w:marBottom w:val="0"/>
          <w:divBdr>
            <w:top w:val="none" w:sz="0" w:space="0" w:color="auto"/>
            <w:left w:val="none" w:sz="0" w:space="0" w:color="auto"/>
            <w:bottom w:val="none" w:sz="0" w:space="0" w:color="auto"/>
            <w:right w:val="none" w:sz="0" w:space="0" w:color="auto"/>
          </w:divBdr>
        </w:div>
        <w:div w:id="1238131950">
          <w:marLeft w:val="446"/>
          <w:marRight w:val="0"/>
          <w:marTop w:val="0"/>
          <w:marBottom w:val="0"/>
          <w:divBdr>
            <w:top w:val="none" w:sz="0" w:space="0" w:color="auto"/>
            <w:left w:val="none" w:sz="0" w:space="0" w:color="auto"/>
            <w:bottom w:val="none" w:sz="0" w:space="0" w:color="auto"/>
            <w:right w:val="none" w:sz="0" w:space="0" w:color="auto"/>
          </w:divBdr>
        </w:div>
        <w:div w:id="1264607429">
          <w:marLeft w:val="446"/>
          <w:marRight w:val="0"/>
          <w:marTop w:val="0"/>
          <w:marBottom w:val="0"/>
          <w:divBdr>
            <w:top w:val="none" w:sz="0" w:space="0" w:color="auto"/>
            <w:left w:val="none" w:sz="0" w:space="0" w:color="auto"/>
            <w:bottom w:val="none" w:sz="0" w:space="0" w:color="auto"/>
            <w:right w:val="none" w:sz="0" w:space="0" w:color="auto"/>
          </w:divBdr>
        </w:div>
        <w:div w:id="1284381444">
          <w:marLeft w:val="446"/>
          <w:marRight w:val="0"/>
          <w:marTop w:val="0"/>
          <w:marBottom w:val="0"/>
          <w:divBdr>
            <w:top w:val="none" w:sz="0" w:space="0" w:color="auto"/>
            <w:left w:val="none" w:sz="0" w:space="0" w:color="auto"/>
            <w:bottom w:val="none" w:sz="0" w:space="0" w:color="auto"/>
            <w:right w:val="none" w:sz="0" w:space="0" w:color="auto"/>
          </w:divBdr>
        </w:div>
        <w:div w:id="1466585325">
          <w:marLeft w:val="446"/>
          <w:marRight w:val="0"/>
          <w:marTop w:val="0"/>
          <w:marBottom w:val="0"/>
          <w:divBdr>
            <w:top w:val="none" w:sz="0" w:space="0" w:color="auto"/>
            <w:left w:val="none" w:sz="0" w:space="0" w:color="auto"/>
            <w:bottom w:val="none" w:sz="0" w:space="0" w:color="auto"/>
            <w:right w:val="none" w:sz="0" w:space="0" w:color="auto"/>
          </w:divBdr>
        </w:div>
        <w:div w:id="1802191385">
          <w:marLeft w:val="446"/>
          <w:marRight w:val="0"/>
          <w:marTop w:val="0"/>
          <w:marBottom w:val="0"/>
          <w:divBdr>
            <w:top w:val="none" w:sz="0" w:space="0" w:color="auto"/>
            <w:left w:val="none" w:sz="0" w:space="0" w:color="auto"/>
            <w:bottom w:val="none" w:sz="0" w:space="0" w:color="auto"/>
            <w:right w:val="none" w:sz="0" w:space="0" w:color="auto"/>
          </w:divBdr>
        </w:div>
      </w:divsChild>
    </w:div>
    <w:div w:id="880678364">
      <w:bodyDiv w:val="1"/>
      <w:marLeft w:val="0"/>
      <w:marRight w:val="0"/>
      <w:marTop w:val="0"/>
      <w:marBottom w:val="0"/>
      <w:divBdr>
        <w:top w:val="none" w:sz="0" w:space="0" w:color="auto"/>
        <w:left w:val="none" w:sz="0" w:space="0" w:color="auto"/>
        <w:bottom w:val="none" w:sz="0" w:space="0" w:color="auto"/>
        <w:right w:val="none" w:sz="0" w:space="0" w:color="auto"/>
      </w:divBdr>
      <w:divsChild>
        <w:div w:id="1221402108">
          <w:marLeft w:val="446"/>
          <w:marRight w:val="0"/>
          <w:marTop w:val="120"/>
          <w:marBottom w:val="0"/>
          <w:divBdr>
            <w:top w:val="none" w:sz="0" w:space="0" w:color="auto"/>
            <w:left w:val="none" w:sz="0" w:space="0" w:color="auto"/>
            <w:bottom w:val="none" w:sz="0" w:space="0" w:color="auto"/>
            <w:right w:val="none" w:sz="0" w:space="0" w:color="auto"/>
          </w:divBdr>
        </w:div>
        <w:div w:id="1716809020">
          <w:marLeft w:val="446"/>
          <w:marRight w:val="0"/>
          <w:marTop w:val="120"/>
          <w:marBottom w:val="0"/>
          <w:divBdr>
            <w:top w:val="none" w:sz="0" w:space="0" w:color="auto"/>
            <w:left w:val="none" w:sz="0" w:space="0" w:color="auto"/>
            <w:bottom w:val="none" w:sz="0" w:space="0" w:color="auto"/>
            <w:right w:val="none" w:sz="0" w:space="0" w:color="auto"/>
          </w:divBdr>
        </w:div>
        <w:div w:id="1778407904">
          <w:marLeft w:val="446"/>
          <w:marRight w:val="0"/>
          <w:marTop w:val="120"/>
          <w:marBottom w:val="0"/>
          <w:divBdr>
            <w:top w:val="none" w:sz="0" w:space="0" w:color="auto"/>
            <w:left w:val="none" w:sz="0" w:space="0" w:color="auto"/>
            <w:bottom w:val="none" w:sz="0" w:space="0" w:color="auto"/>
            <w:right w:val="none" w:sz="0" w:space="0" w:color="auto"/>
          </w:divBdr>
        </w:div>
      </w:divsChild>
    </w:div>
    <w:div w:id="993754718">
      <w:bodyDiv w:val="1"/>
      <w:marLeft w:val="0"/>
      <w:marRight w:val="0"/>
      <w:marTop w:val="0"/>
      <w:marBottom w:val="0"/>
      <w:divBdr>
        <w:top w:val="none" w:sz="0" w:space="0" w:color="auto"/>
        <w:left w:val="none" w:sz="0" w:space="0" w:color="auto"/>
        <w:bottom w:val="none" w:sz="0" w:space="0" w:color="auto"/>
        <w:right w:val="none" w:sz="0" w:space="0" w:color="auto"/>
      </w:divBdr>
      <w:divsChild>
        <w:div w:id="930049016">
          <w:marLeft w:val="0"/>
          <w:marRight w:val="0"/>
          <w:marTop w:val="0"/>
          <w:marBottom w:val="0"/>
          <w:divBdr>
            <w:top w:val="none" w:sz="0" w:space="0" w:color="auto"/>
            <w:left w:val="none" w:sz="0" w:space="0" w:color="auto"/>
            <w:bottom w:val="none" w:sz="0" w:space="0" w:color="auto"/>
            <w:right w:val="none" w:sz="0" w:space="0" w:color="auto"/>
          </w:divBdr>
        </w:div>
      </w:divsChild>
    </w:div>
    <w:div w:id="1061369909">
      <w:bodyDiv w:val="1"/>
      <w:marLeft w:val="0"/>
      <w:marRight w:val="0"/>
      <w:marTop w:val="0"/>
      <w:marBottom w:val="0"/>
      <w:divBdr>
        <w:top w:val="none" w:sz="0" w:space="0" w:color="auto"/>
        <w:left w:val="none" w:sz="0" w:space="0" w:color="auto"/>
        <w:bottom w:val="none" w:sz="0" w:space="0" w:color="auto"/>
        <w:right w:val="none" w:sz="0" w:space="0" w:color="auto"/>
      </w:divBdr>
      <w:divsChild>
        <w:div w:id="1165165076">
          <w:marLeft w:val="446"/>
          <w:marRight w:val="0"/>
          <w:marTop w:val="240"/>
          <w:marBottom w:val="0"/>
          <w:divBdr>
            <w:top w:val="none" w:sz="0" w:space="0" w:color="auto"/>
            <w:left w:val="none" w:sz="0" w:space="0" w:color="auto"/>
            <w:bottom w:val="none" w:sz="0" w:space="0" w:color="auto"/>
            <w:right w:val="none" w:sz="0" w:space="0" w:color="auto"/>
          </w:divBdr>
        </w:div>
      </w:divsChild>
    </w:div>
    <w:div w:id="1163397870">
      <w:bodyDiv w:val="1"/>
      <w:marLeft w:val="0"/>
      <w:marRight w:val="0"/>
      <w:marTop w:val="0"/>
      <w:marBottom w:val="0"/>
      <w:divBdr>
        <w:top w:val="none" w:sz="0" w:space="0" w:color="auto"/>
        <w:left w:val="none" w:sz="0" w:space="0" w:color="auto"/>
        <w:bottom w:val="none" w:sz="0" w:space="0" w:color="auto"/>
        <w:right w:val="none" w:sz="0" w:space="0" w:color="auto"/>
      </w:divBdr>
    </w:div>
    <w:div w:id="1201438061">
      <w:bodyDiv w:val="1"/>
      <w:marLeft w:val="0"/>
      <w:marRight w:val="0"/>
      <w:marTop w:val="0"/>
      <w:marBottom w:val="0"/>
      <w:divBdr>
        <w:top w:val="none" w:sz="0" w:space="0" w:color="auto"/>
        <w:left w:val="none" w:sz="0" w:space="0" w:color="auto"/>
        <w:bottom w:val="none" w:sz="0" w:space="0" w:color="auto"/>
        <w:right w:val="none" w:sz="0" w:space="0" w:color="auto"/>
      </w:divBdr>
    </w:div>
    <w:div w:id="1201553680">
      <w:bodyDiv w:val="1"/>
      <w:marLeft w:val="0"/>
      <w:marRight w:val="0"/>
      <w:marTop w:val="0"/>
      <w:marBottom w:val="0"/>
      <w:divBdr>
        <w:top w:val="none" w:sz="0" w:space="0" w:color="auto"/>
        <w:left w:val="none" w:sz="0" w:space="0" w:color="auto"/>
        <w:bottom w:val="none" w:sz="0" w:space="0" w:color="auto"/>
        <w:right w:val="none" w:sz="0" w:space="0" w:color="auto"/>
      </w:divBdr>
      <w:divsChild>
        <w:div w:id="63139169">
          <w:marLeft w:val="0"/>
          <w:marRight w:val="0"/>
          <w:marTop w:val="0"/>
          <w:marBottom w:val="0"/>
          <w:divBdr>
            <w:top w:val="none" w:sz="0" w:space="0" w:color="auto"/>
            <w:left w:val="none" w:sz="0" w:space="0" w:color="auto"/>
            <w:bottom w:val="none" w:sz="0" w:space="0" w:color="auto"/>
            <w:right w:val="none" w:sz="0" w:space="0" w:color="auto"/>
          </w:divBdr>
        </w:div>
      </w:divsChild>
    </w:div>
    <w:div w:id="1238125637">
      <w:bodyDiv w:val="1"/>
      <w:marLeft w:val="0"/>
      <w:marRight w:val="0"/>
      <w:marTop w:val="0"/>
      <w:marBottom w:val="0"/>
      <w:divBdr>
        <w:top w:val="none" w:sz="0" w:space="0" w:color="auto"/>
        <w:left w:val="none" w:sz="0" w:space="0" w:color="auto"/>
        <w:bottom w:val="none" w:sz="0" w:space="0" w:color="auto"/>
        <w:right w:val="none" w:sz="0" w:space="0" w:color="auto"/>
      </w:divBdr>
    </w:div>
    <w:div w:id="1257715637">
      <w:bodyDiv w:val="1"/>
      <w:marLeft w:val="0"/>
      <w:marRight w:val="0"/>
      <w:marTop w:val="0"/>
      <w:marBottom w:val="0"/>
      <w:divBdr>
        <w:top w:val="none" w:sz="0" w:space="0" w:color="auto"/>
        <w:left w:val="none" w:sz="0" w:space="0" w:color="auto"/>
        <w:bottom w:val="none" w:sz="0" w:space="0" w:color="auto"/>
        <w:right w:val="none" w:sz="0" w:space="0" w:color="auto"/>
      </w:divBdr>
    </w:div>
    <w:div w:id="1261647945">
      <w:bodyDiv w:val="1"/>
      <w:marLeft w:val="0"/>
      <w:marRight w:val="0"/>
      <w:marTop w:val="0"/>
      <w:marBottom w:val="0"/>
      <w:divBdr>
        <w:top w:val="none" w:sz="0" w:space="0" w:color="auto"/>
        <w:left w:val="none" w:sz="0" w:space="0" w:color="auto"/>
        <w:bottom w:val="none" w:sz="0" w:space="0" w:color="auto"/>
        <w:right w:val="none" w:sz="0" w:space="0" w:color="auto"/>
      </w:divBdr>
    </w:div>
    <w:div w:id="1284002346">
      <w:bodyDiv w:val="1"/>
      <w:marLeft w:val="0"/>
      <w:marRight w:val="0"/>
      <w:marTop w:val="0"/>
      <w:marBottom w:val="0"/>
      <w:divBdr>
        <w:top w:val="none" w:sz="0" w:space="0" w:color="auto"/>
        <w:left w:val="none" w:sz="0" w:space="0" w:color="auto"/>
        <w:bottom w:val="none" w:sz="0" w:space="0" w:color="auto"/>
        <w:right w:val="none" w:sz="0" w:space="0" w:color="auto"/>
      </w:divBdr>
    </w:div>
    <w:div w:id="1301616456">
      <w:bodyDiv w:val="1"/>
      <w:marLeft w:val="0"/>
      <w:marRight w:val="0"/>
      <w:marTop w:val="0"/>
      <w:marBottom w:val="0"/>
      <w:divBdr>
        <w:top w:val="none" w:sz="0" w:space="0" w:color="auto"/>
        <w:left w:val="none" w:sz="0" w:space="0" w:color="auto"/>
        <w:bottom w:val="none" w:sz="0" w:space="0" w:color="auto"/>
        <w:right w:val="none" w:sz="0" w:space="0" w:color="auto"/>
      </w:divBdr>
    </w:div>
    <w:div w:id="1364402852">
      <w:bodyDiv w:val="1"/>
      <w:marLeft w:val="0"/>
      <w:marRight w:val="0"/>
      <w:marTop w:val="0"/>
      <w:marBottom w:val="0"/>
      <w:divBdr>
        <w:top w:val="none" w:sz="0" w:space="0" w:color="auto"/>
        <w:left w:val="none" w:sz="0" w:space="0" w:color="auto"/>
        <w:bottom w:val="none" w:sz="0" w:space="0" w:color="auto"/>
        <w:right w:val="none" w:sz="0" w:space="0" w:color="auto"/>
      </w:divBdr>
    </w:div>
    <w:div w:id="1392733171">
      <w:bodyDiv w:val="1"/>
      <w:marLeft w:val="0"/>
      <w:marRight w:val="0"/>
      <w:marTop w:val="0"/>
      <w:marBottom w:val="0"/>
      <w:divBdr>
        <w:top w:val="none" w:sz="0" w:space="0" w:color="auto"/>
        <w:left w:val="none" w:sz="0" w:space="0" w:color="auto"/>
        <w:bottom w:val="none" w:sz="0" w:space="0" w:color="auto"/>
        <w:right w:val="none" w:sz="0" w:space="0" w:color="auto"/>
      </w:divBdr>
    </w:div>
    <w:div w:id="1496333464">
      <w:bodyDiv w:val="1"/>
      <w:marLeft w:val="0"/>
      <w:marRight w:val="0"/>
      <w:marTop w:val="0"/>
      <w:marBottom w:val="0"/>
      <w:divBdr>
        <w:top w:val="none" w:sz="0" w:space="0" w:color="auto"/>
        <w:left w:val="none" w:sz="0" w:space="0" w:color="auto"/>
        <w:bottom w:val="none" w:sz="0" w:space="0" w:color="auto"/>
        <w:right w:val="none" w:sz="0" w:space="0" w:color="auto"/>
      </w:divBdr>
    </w:div>
    <w:div w:id="1640190684">
      <w:bodyDiv w:val="1"/>
      <w:marLeft w:val="0"/>
      <w:marRight w:val="0"/>
      <w:marTop w:val="0"/>
      <w:marBottom w:val="0"/>
      <w:divBdr>
        <w:top w:val="none" w:sz="0" w:space="0" w:color="auto"/>
        <w:left w:val="none" w:sz="0" w:space="0" w:color="auto"/>
        <w:bottom w:val="none" w:sz="0" w:space="0" w:color="auto"/>
        <w:right w:val="none" w:sz="0" w:space="0" w:color="auto"/>
      </w:divBdr>
    </w:div>
    <w:div w:id="1970816544">
      <w:bodyDiv w:val="1"/>
      <w:marLeft w:val="0"/>
      <w:marRight w:val="0"/>
      <w:marTop w:val="0"/>
      <w:marBottom w:val="0"/>
      <w:divBdr>
        <w:top w:val="none" w:sz="0" w:space="0" w:color="auto"/>
        <w:left w:val="none" w:sz="0" w:space="0" w:color="auto"/>
        <w:bottom w:val="none" w:sz="0" w:space="0" w:color="auto"/>
        <w:right w:val="none" w:sz="0" w:space="0" w:color="auto"/>
      </w:divBdr>
    </w:div>
    <w:div w:id="2007784687">
      <w:bodyDiv w:val="1"/>
      <w:marLeft w:val="0"/>
      <w:marRight w:val="0"/>
      <w:marTop w:val="0"/>
      <w:marBottom w:val="0"/>
      <w:divBdr>
        <w:top w:val="none" w:sz="0" w:space="0" w:color="auto"/>
        <w:left w:val="none" w:sz="0" w:space="0" w:color="auto"/>
        <w:bottom w:val="none" w:sz="0" w:space="0" w:color="auto"/>
        <w:right w:val="none" w:sz="0" w:space="0" w:color="auto"/>
      </w:divBdr>
    </w:div>
    <w:div w:id="2037347463">
      <w:bodyDiv w:val="1"/>
      <w:marLeft w:val="0"/>
      <w:marRight w:val="0"/>
      <w:marTop w:val="0"/>
      <w:marBottom w:val="0"/>
      <w:divBdr>
        <w:top w:val="none" w:sz="0" w:space="0" w:color="auto"/>
        <w:left w:val="none" w:sz="0" w:space="0" w:color="auto"/>
        <w:bottom w:val="none" w:sz="0" w:space="0" w:color="auto"/>
        <w:right w:val="none" w:sz="0" w:space="0" w:color="auto"/>
      </w:divBdr>
    </w:div>
    <w:div w:id="2042052064">
      <w:bodyDiv w:val="1"/>
      <w:marLeft w:val="0"/>
      <w:marRight w:val="0"/>
      <w:marTop w:val="0"/>
      <w:marBottom w:val="0"/>
      <w:divBdr>
        <w:top w:val="none" w:sz="0" w:space="0" w:color="auto"/>
        <w:left w:val="none" w:sz="0" w:space="0" w:color="auto"/>
        <w:bottom w:val="none" w:sz="0" w:space="0" w:color="auto"/>
        <w:right w:val="none" w:sz="0" w:space="0" w:color="auto"/>
      </w:divBdr>
    </w:div>
    <w:div w:id="2054888060">
      <w:bodyDiv w:val="1"/>
      <w:marLeft w:val="0"/>
      <w:marRight w:val="0"/>
      <w:marTop w:val="0"/>
      <w:marBottom w:val="0"/>
      <w:divBdr>
        <w:top w:val="none" w:sz="0" w:space="0" w:color="auto"/>
        <w:left w:val="none" w:sz="0" w:space="0" w:color="auto"/>
        <w:bottom w:val="none" w:sz="0" w:space="0" w:color="auto"/>
        <w:right w:val="none" w:sz="0" w:space="0" w:color="auto"/>
      </w:divBdr>
    </w:div>
    <w:div w:id="2078090581">
      <w:bodyDiv w:val="1"/>
      <w:marLeft w:val="0"/>
      <w:marRight w:val="0"/>
      <w:marTop w:val="0"/>
      <w:marBottom w:val="0"/>
      <w:divBdr>
        <w:top w:val="none" w:sz="0" w:space="0" w:color="auto"/>
        <w:left w:val="none" w:sz="0" w:space="0" w:color="auto"/>
        <w:bottom w:val="none" w:sz="0" w:space="0" w:color="auto"/>
        <w:right w:val="none" w:sz="0" w:space="0" w:color="auto"/>
      </w:divBdr>
    </w:div>
    <w:div w:id="213617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D796A46-0755-4D6C-9C58-81CB5FE0A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13288</Words>
  <Characters>75745</Characters>
  <Application>Microsoft Office Word</Application>
  <DocSecurity>4</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88856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Harriet Ballantine</dc:creator>
  <cp:lastModifiedBy>Tony Squires</cp:lastModifiedBy>
  <cp:revision>2</cp:revision>
  <cp:lastPrinted>2017-08-31T07:29:00Z</cp:lastPrinted>
  <dcterms:created xsi:type="dcterms:W3CDTF">2017-09-01T15:55:00Z</dcterms:created>
  <dcterms:modified xsi:type="dcterms:W3CDTF">2017-09-01T15:55:00Z</dcterms:modified>
</cp:coreProperties>
</file>