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mallCaps w:val="1"/>
          <w:sz w:val="24"/>
          <w:szCs w:val="24"/>
        </w:rPr>
        <w:sectPr>
          <w:headerReference r:id="rId7" w:type="default"/>
          <w:headerReference r:id="rId8" w:type="first"/>
          <w:footerReference r:id="rId9" w:type="default"/>
          <w:footerReference r:id="rId10" w:type="first"/>
          <w:pgSz w:h="16838" w:w="11906" w:orient="portrait"/>
          <w:pgMar w:bottom="1440" w:top="1440" w:left="1440" w:right="1440" w:header="720" w:footer="720"/>
          <w:pgNumType w:start="1"/>
        </w:sectPr>
      </w:pPr>
      <w:r w:rsidDel="00000000" w:rsidR="00000000" w:rsidRPr="00000000">
        <w:rPr>
          <w:rFonts w:ascii="Arial" w:cs="Arial" w:eastAsia="Arial" w:hAnsi="Arial"/>
          <w:b w:val="1"/>
          <w:sz w:val="24"/>
          <w:szCs w:val="24"/>
          <w:u w:val="single"/>
        </w:rPr>
        <mc:AlternateContent>
          <mc:Choice Requires="wpg">
            <w:drawing>
              <wp:anchor allowOverlap="1" behindDoc="0" distB="0" distT="0" distL="114300" distR="114300" hidden="0" layoutInCell="1" locked="0" relativeHeight="0" simplePos="0">
                <wp:simplePos x="0" y="0"/>
                <wp:positionH relativeFrom="page">
                  <wp:posOffset>885825</wp:posOffset>
                </wp:positionH>
                <wp:positionV relativeFrom="margin">
                  <wp:posOffset>333375</wp:posOffset>
                </wp:positionV>
                <wp:extent cx="6286500" cy="7540002"/>
                <wp:effectExtent b="0" l="0" r="0" t="0"/>
                <wp:wrapNone/>
                <wp:docPr id="11" name=""/>
                <a:graphic>
                  <a:graphicData uri="http://schemas.microsoft.com/office/word/2010/wordprocessingGroup">
                    <wpg:wgp>
                      <wpg:cNvGrpSpPr/>
                      <wpg:grpSpPr>
                        <a:xfrm>
                          <a:off x="2202750" y="9975"/>
                          <a:ext cx="6286500" cy="7540002"/>
                          <a:chOff x="2202750" y="9975"/>
                          <a:chExt cx="6286500" cy="7540050"/>
                        </a:xfrm>
                      </wpg:grpSpPr>
                      <wpg:grpSp>
                        <wpg:cNvGrpSpPr/>
                        <wpg:grpSpPr>
                          <a:xfrm>
                            <a:off x="2202750" y="9999"/>
                            <a:ext cx="6286500" cy="7540002"/>
                            <a:chOff x="2202750" y="9975"/>
                            <a:chExt cx="6286500" cy="7540050"/>
                          </a:xfrm>
                        </wpg:grpSpPr>
                        <wps:wsp>
                          <wps:cNvSpPr/>
                          <wps:cNvPr id="3" name="Shape 3"/>
                          <wps:spPr>
                            <a:xfrm>
                              <a:off x="2202750" y="9975"/>
                              <a:ext cx="6286500" cy="754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9982"/>
                              <a:ext cx="6286500" cy="7540019"/>
                              <a:chOff x="2202725" y="-17"/>
                              <a:chExt cx="6286550" cy="7560017"/>
                            </a:xfrm>
                          </wpg:grpSpPr>
                          <wps:wsp>
                            <wps:cNvSpPr/>
                            <wps:cNvPr id="5" name="Shape 5"/>
                            <wps:spPr>
                              <a:xfrm>
                                <a:off x="2202725" y="0"/>
                                <a:ext cx="62865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44" y="-17"/>
                                <a:ext cx="6286506" cy="7560017"/>
                                <a:chOff x="2202744" y="-17"/>
                                <a:chExt cx="6286506" cy="7560017"/>
                              </a:xfrm>
                            </wpg:grpSpPr>
                            <wps:wsp>
                              <wps:cNvSpPr/>
                              <wps:cNvPr id="7" name="Shape 7"/>
                              <wps:spPr>
                                <a:xfrm>
                                  <a:off x="2202750" y="0"/>
                                  <a:ext cx="6286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44" y="-17"/>
                                  <a:ext cx="6286506" cy="7560017"/>
                                  <a:chOff x="-133363" y="-2276531"/>
                                  <a:chExt cx="6286841" cy="8320562"/>
                                </a:xfrm>
                              </wpg:grpSpPr>
                              <wps:wsp>
                                <wps:cNvSpPr/>
                                <wps:cNvPr id="9" name="Shape 9"/>
                                <wps:spPr>
                                  <a:xfrm>
                                    <a:off x="-133357" y="-2276513"/>
                                    <a:ext cx="6286825" cy="832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980383" y="5629376"/>
                                    <a:ext cx="3173095" cy="41465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right"/>
                                        <w:textDirection w:val="btLr"/>
                                      </w:pPr>
                                    </w:p>
                                  </w:txbxContent>
                                </wps:txbx>
                                <wps:bodyPr anchorCtr="0" anchor="t" bIns="45700" lIns="91425" spcFirstLastPara="1" rIns="91425" wrap="square" tIns="45700">
                                  <a:noAutofit/>
                                </wps:bodyPr>
                              </wps:wsp>
                              <wps:wsp>
                                <wps:cNvSpPr/>
                                <wps:cNvPr id="11" name="Shape 11"/>
                                <wps:spPr>
                                  <a:xfrm>
                                    <a:off x="-133363" y="-2276531"/>
                                    <a:ext cx="5485200" cy="62571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3.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1f497d"/>
                                          <w:sz w:val="72"/>
                                          <w:vertAlign w:val="baseline"/>
                                        </w:rPr>
                                        <w:t xml:space="preserve">Framework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1f497d"/>
                                          <w:sz w:val="72"/>
                                          <w:vertAlign w:val="baseline"/>
                                        </w:rPr>
                                      </w:r>
                                      <w:r w:rsidDel="00000000" w:rsidR="00000000" w:rsidRPr="00000000">
                                        <w:rPr>
                                          <w:rFonts w:ascii="Calibri" w:cs="Calibri" w:eastAsia="Calibri" w:hAnsi="Calibri"/>
                                          <w:b w:val="1"/>
                                          <w:i w:val="0"/>
                                          <w:smallCaps w:val="0"/>
                                          <w:strike w:val="0"/>
                                          <w:color w:val="1f497d"/>
                                          <w:sz w:val="72"/>
                                          <w:vertAlign w:val="baseline"/>
                                        </w:rPr>
                                        <w:t xml:space="preserve">Award Form</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1f497d"/>
                                          <w:sz w:val="72"/>
                                          <w:vertAlign w:val="baseline"/>
                                        </w:rPr>
                                      </w:r>
                                    </w:p>
                                  </w:txbxContent>
                                </wps:txbx>
                                <wps:bodyPr anchorCtr="0" anchor="b"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885825</wp:posOffset>
                </wp:positionH>
                <wp:positionV relativeFrom="margin">
                  <wp:posOffset>333375</wp:posOffset>
                </wp:positionV>
                <wp:extent cx="6286500" cy="7540002"/>
                <wp:effectExtent b="0" l="0" r="0" t="0"/>
                <wp:wrapNone/>
                <wp:docPr id="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286500" cy="7540002"/>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96524</wp:posOffset>
            </wp:positionH>
            <wp:positionV relativeFrom="paragraph">
              <wp:posOffset>1698625</wp:posOffset>
            </wp:positionV>
            <wp:extent cx="1647190" cy="1371600"/>
            <wp:effectExtent b="0" l="0" r="0" t="0"/>
            <wp:wrapNone/>
            <wp:docPr descr="Crown Commercial Service" id="12" name="image1.png"/>
            <a:graphic>
              <a:graphicData uri="http://schemas.openxmlformats.org/drawingml/2006/picture">
                <pic:pic>
                  <pic:nvPicPr>
                    <pic:cNvPr descr="Crown Commercial Service" id="0" name="image1.png"/>
                    <pic:cNvPicPr preferRelativeResize="0"/>
                  </pic:nvPicPr>
                  <pic:blipFill>
                    <a:blip r:embed="rId12"/>
                    <a:srcRect b="0" l="0" r="0" t="0"/>
                    <a:stretch>
                      <a:fillRect/>
                    </a:stretch>
                  </pic:blipFill>
                  <pic:spPr>
                    <a:xfrm>
                      <a:off x="0" y="0"/>
                      <a:ext cx="1647190" cy="1371600"/>
                    </a:xfrm>
                    <a:prstGeom prst="rect"/>
                    <a:ln/>
                  </pic:spPr>
                </pic:pic>
              </a:graphicData>
            </a:graphic>
          </wp:anchor>
        </w:drawing>
      </w:r>
    </w:p>
    <w:p w:rsidR="00000000" w:rsidDel="00000000" w:rsidP="00000000" w:rsidRDefault="00000000" w:rsidRPr="00000000" w14:paraId="00000002">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Award Form creates the Framework Contract RM6297 Print and Digital Communications. It summarises the main features of the procurement and includes CCS and the Supplier’s contact details.</w:t>
      </w:r>
    </w:p>
    <w:tbl>
      <w:tblPr>
        <w:tblStyle w:val="Table1"/>
        <w:tblW w:w="10531.0" w:type="dxa"/>
        <w:jc w:val="left"/>
        <w:tblInd w:w="-730.0" w:type="dxa"/>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436"/>
        <w:gridCol w:w="2040"/>
        <w:gridCol w:w="8055"/>
        <w:tblGridChange w:id="0">
          <w:tblGrid>
            <w:gridCol w:w="436"/>
            <w:gridCol w:w="2040"/>
            <w:gridCol w:w="8055"/>
          </w:tblGrid>
        </w:tblGridChange>
      </w:tblGrid>
      <w:tr>
        <w:trPr>
          <w:cantSplit w:val="0"/>
          <w:trHeight w:val="1072" w:hRule="atLeast"/>
          <w:tblHeader w:val="0"/>
        </w:trPr>
        <w:tc>
          <w:tcPr/>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w:t>
            </w:r>
          </w:p>
        </w:tc>
        <w:tc>
          <w:tcPr/>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represented by its executive agency the Crown Commercial Service (CCS). </w:t>
            </w:r>
          </w:p>
          <w:p w:rsidR="00000000" w:rsidDel="00000000" w:rsidP="00000000" w:rsidRDefault="00000000" w:rsidRPr="00000000" w14:paraId="00000007">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offices are on: 9th Floor, The Capital, Old Hall Street, Liverpool L3 9PP.</w:t>
            </w:r>
          </w:p>
          <w:p w:rsidR="00000000" w:rsidDel="00000000" w:rsidP="00000000" w:rsidRDefault="00000000" w:rsidRPr="00000000" w14:paraId="00000009">
            <w:pPr>
              <w:spacing w:after="0" w:lineRule="auto"/>
              <w:rPr>
                <w:rFonts w:ascii="Arial" w:cs="Arial" w:eastAsia="Arial" w:hAnsi="Arial"/>
                <w:b w:val="1"/>
                <w:color w:val="000000"/>
                <w:sz w:val="24"/>
                <w:szCs w:val="24"/>
                <w:highlight w:val="yellow"/>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Rule="auto"/>
              <w:rPr>
                <w:rFonts w:ascii="Arial" w:cs="Arial" w:eastAsia="Arial" w:hAnsi="Arial"/>
                <w:b w:val="1"/>
                <w:color w:val="000000"/>
                <w:sz w:val="24"/>
                <w:szCs w:val="24"/>
              </w:rPr>
            </w:pPr>
            <w:r w:rsidDel="00000000" w:rsidR="00000000" w:rsidRPr="00000000">
              <w:rPr>
                <w:rtl w:val="0"/>
              </w:rPr>
            </w:r>
          </w:p>
          <w:tbl>
            <w:tblPr>
              <w:tblStyle w:val="Table2"/>
              <w:tblW w:w="728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96"/>
              <w:gridCol w:w="4991"/>
              <w:tblGridChange w:id="0">
                <w:tblGrid>
                  <w:gridCol w:w="2296"/>
                  <w:gridCol w:w="4991"/>
                </w:tblGrid>
              </w:tblGridChange>
            </w:tblGrid>
            <w:tr>
              <w:trPr>
                <w:cantSplit w:val="0"/>
                <w:tblHeader w:val="0"/>
              </w:trPr>
              <w:tc>
                <w:tcPr>
                  <w:shd w:fill="auto" w:val="clear"/>
                </w:tcPr>
                <w:p w:rsidR="00000000" w:rsidDel="00000000" w:rsidP="00000000" w:rsidRDefault="00000000" w:rsidRPr="00000000" w14:paraId="0000000D">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w:t>
                  </w:r>
                </w:p>
              </w:tc>
              <w:tc>
                <w:tcPr/>
                <w:p w:rsidR="00000000" w:rsidDel="00000000" w:rsidP="00000000" w:rsidRDefault="00000000" w:rsidRPr="00000000" w14:paraId="0000000E">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b w:val="1"/>
                      <w:color w:val="000000"/>
                      <w:sz w:val="24"/>
                      <w:szCs w:val="24"/>
                      <w:highlight w:val="yellow"/>
                      <w:rtl w:val="0"/>
                    </w:rPr>
                    <w:t xml:space="preserve">[Insert </w:t>
                  </w:r>
                  <w:r w:rsidDel="00000000" w:rsidR="00000000" w:rsidRPr="00000000">
                    <w:rPr>
                      <w:rFonts w:ascii="Arial" w:cs="Arial" w:eastAsia="Arial" w:hAnsi="Arial"/>
                      <w:color w:val="000000"/>
                      <w:sz w:val="24"/>
                      <w:szCs w:val="24"/>
                      <w:rtl w:val="0"/>
                    </w:rPr>
                    <w:t xml:space="preserve">name (registered name if registered)]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w:t>
                  </w:r>
                </w:p>
              </w:tc>
              <w:tc>
                <w:tcPr/>
                <w:p w:rsidR="00000000" w:rsidDel="00000000" w:rsidP="00000000" w:rsidRDefault="00000000" w:rsidRPr="00000000" w14:paraId="0000001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 </w:t>
                  </w:r>
                  <w:r w:rsidDel="00000000" w:rsidR="00000000" w:rsidRPr="00000000">
                    <w:rPr>
                      <w:rFonts w:ascii="Arial" w:cs="Arial" w:eastAsia="Arial" w:hAnsi="Arial"/>
                      <w:color w:val="000000"/>
                      <w:sz w:val="24"/>
                      <w:szCs w:val="24"/>
                      <w:rtl w:val="0"/>
                    </w:rPr>
                    <w:t xml:space="preserve">address registered address if registered]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1">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Registration number:    </w:t>
                  </w:r>
                </w:p>
              </w:tc>
              <w:tc>
                <w:tcPr/>
                <w:p w:rsidR="00000000" w:rsidDel="00000000" w:rsidP="00000000" w:rsidRDefault="00000000" w:rsidRPr="00000000" w14:paraId="00000012">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registration number if registered]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3">
                  <w:pPr>
                    <w:spacing w:after="0" w:lineRule="auto"/>
                    <w:ind w:left="-7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SID4GOV ID:</w:t>
                  </w:r>
                </w:p>
              </w:tc>
              <w:tc>
                <w:tcPr/>
                <w:p w:rsidR="00000000" w:rsidDel="00000000" w:rsidP="00000000" w:rsidRDefault="00000000" w:rsidRPr="00000000" w14:paraId="00000014">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SID4GOV ID if you have on</w:t>
                  </w:r>
                  <w:r w:rsidDel="00000000" w:rsidR="00000000" w:rsidRPr="00000000">
                    <w:rPr>
                      <w:rFonts w:ascii="Arial" w:cs="Arial" w:eastAsia="Arial" w:hAnsi="Arial"/>
                      <w:color w:val="000000"/>
                      <w:sz w:val="20"/>
                      <w:szCs w:val="20"/>
                      <w:rtl w:val="0"/>
                    </w:rPr>
                    <w:t xml:space="preserve">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spacing w:after="0" w:lineRule="auto"/>
                    <w:ind w:left="-75" w:firstLine="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16">
                  <w:pPr>
                    <w:spacing w:after="0" w:lineRule="auto"/>
                    <w:rPr>
                      <w:rFonts w:ascii="Arial" w:cs="Arial" w:eastAsia="Arial" w:hAnsi="Arial"/>
                      <w:color w:val="000000"/>
                      <w:sz w:val="24"/>
                      <w:szCs w:val="24"/>
                      <w:highlight w:val="yellow"/>
                    </w:rPr>
                  </w:pPr>
                  <w:r w:rsidDel="00000000" w:rsidR="00000000" w:rsidRPr="00000000">
                    <w:rPr>
                      <w:rtl w:val="0"/>
                    </w:rPr>
                  </w:r>
                </w:p>
              </w:tc>
            </w:tr>
          </w:tbl>
          <w:p w:rsidR="00000000" w:rsidDel="00000000" w:rsidP="00000000" w:rsidRDefault="00000000" w:rsidRPr="00000000" w14:paraId="00000017">
            <w:pPr>
              <w:spacing w:after="0" w:lineRule="auto"/>
              <w:rPr>
                <w:rFonts w:ascii="Arial" w:cs="Arial" w:eastAsia="Arial" w:hAnsi="Arial"/>
                <w:color w:val="000000"/>
                <w:sz w:val="24"/>
                <w:szCs w:val="24"/>
              </w:rPr>
            </w:pPr>
            <w:r w:rsidDel="00000000" w:rsidR="00000000" w:rsidRPr="00000000">
              <w:rPr>
                <w:rtl w:val="0"/>
              </w:rPr>
            </w:r>
          </w:p>
        </w:tc>
      </w:tr>
      <w:tr>
        <w:trPr>
          <w:cantSplit w:val="0"/>
          <w:trHeight w:val="1446" w:hRule="atLeast"/>
          <w:tblHeader w:val="0"/>
        </w:trPr>
        <w:tc>
          <w:tcPr/>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Framework Contract</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contract between CCS and the Supplier allows the Supplier to be considered for Call-off Contracts to supply the Deliverables [</w:t>
            </w:r>
            <w:r w:rsidDel="00000000" w:rsidR="00000000" w:rsidRPr="00000000">
              <w:rPr>
                <w:rFonts w:ascii="Arial" w:cs="Arial" w:eastAsia="Arial" w:hAnsi="Arial"/>
                <w:color w:val="000000"/>
                <w:sz w:val="24"/>
                <w:szCs w:val="24"/>
                <w:highlight w:val="yellow"/>
                <w:rtl w:val="0"/>
              </w:rPr>
              <w:t xml:space="preserve">in Lot(s) [x, y]</w:t>
            </w:r>
            <w:r w:rsidDel="00000000" w:rsidR="00000000" w:rsidRPr="00000000">
              <w:rPr>
                <w:rFonts w:ascii="Arial" w:cs="Arial" w:eastAsia="Arial" w:hAnsi="Arial"/>
                <w:color w:val="000000"/>
                <w:sz w:val="24"/>
                <w:szCs w:val="24"/>
                <w:rtl w:val="0"/>
              </w:rPr>
              <w:t xml:space="preserve">. You cannot deliver in any other Lot under this contract. Any references made to other Lots in this contract do not apply.]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This opportunity is advertised in the Contract Notice in the Find a Tender Service reference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Fonts w:ascii="Arial" w:cs="Arial" w:eastAsia="Arial" w:hAnsi="Arial"/>
                <w:color w:val="000000"/>
                <w:sz w:val="24"/>
                <w:szCs w:val="24"/>
                <w:rtl w:val="0"/>
              </w:rPr>
              <w:t xml:space="preserve">reference number] (FTS Contract Notice).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highlight w:val="yellow"/>
              </w:rPr>
            </w:pPr>
            <w:r w:rsidDel="00000000" w:rsidR="00000000" w:rsidRPr="00000000">
              <w:rPr>
                <w:rtl w:val="0"/>
              </w:rPr>
            </w:r>
          </w:p>
        </w:tc>
      </w:tr>
      <w:tr>
        <w:trPr>
          <w:cantSplit w:val="0"/>
          <w:trHeight w:val="327" w:hRule="atLeast"/>
          <w:tblHeader w:val="0"/>
        </w:trPr>
        <w:tc>
          <w:tcPr/>
          <w:p w:rsidR="00000000" w:rsidDel="00000000" w:rsidP="00000000" w:rsidRDefault="00000000" w:rsidRPr="00000000" w14:paraId="0000001D">
            <w:pPr>
              <w:keepNext w:val="1"/>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 </w:t>
            </w:r>
          </w:p>
        </w:tc>
        <w:tc>
          <w:tcPr/>
          <w:p w:rsidR="00000000" w:rsidDel="00000000" w:rsidP="00000000" w:rsidRDefault="00000000" w:rsidRPr="00000000" w14:paraId="0000001F">
            <w:pPr>
              <w:shd w:fill="ffffff" w:val="clear"/>
              <w:spacing w:after="300" w:line="315.7896"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Services available under this agreement include:</w:t>
            </w:r>
          </w:p>
          <w:p w:rsidR="00000000" w:rsidDel="00000000" w:rsidP="00000000" w:rsidRDefault="00000000" w:rsidRPr="00000000" w14:paraId="00000020">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command and house paper services (available through lot 1 only)</w:t>
            </w:r>
          </w:p>
          <w:p w:rsidR="00000000" w:rsidDel="00000000" w:rsidP="00000000" w:rsidRDefault="00000000" w:rsidRPr="00000000" w14:paraId="00000021">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bulk printing</w:t>
            </w:r>
          </w:p>
          <w:p w:rsidR="00000000" w:rsidDel="00000000" w:rsidP="00000000" w:rsidRDefault="00000000" w:rsidRPr="00000000" w14:paraId="00000022">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full range of print products (envelopes, labels, folders)</w:t>
            </w:r>
          </w:p>
          <w:p w:rsidR="00000000" w:rsidDel="00000000" w:rsidP="00000000" w:rsidRDefault="00000000" w:rsidRPr="00000000" w14:paraId="00000023">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operational print (including brochures, leaflets, business cards, business stationary)</w:t>
            </w:r>
          </w:p>
          <w:p w:rsidR="00000000" w:rsidDel="00000000" w:rsidP="00000000" w:rsidRDefault="00000000" w:rsidRPr="00000000" w14:paraId="00000024">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finishing services (binding, stamping, embossing or laminating)</w:t>
            </w:r>
          </w:p>
          <w:p w:rsidR="00000000" w:rsidDel="00000000" w:rsidP="00000000" w:rsidRDefault="00000000" w:rsidRPr="00000000" w14:paraId="00000025">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direct mail and transactional print services</w:t>
            </w:r>
          </w:p>
          <w:p w:rsidR="00000000" w:rsidDel="00000000" w:rsidP="00000000" w:rsidRDefault="00000000" w:rsidRPr="00000000" w14:paraId="00000026">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a range of alternative formats (such as easy read, large print, alternative languages, audio and braille)</w:t>
            </w:r>
          </w:p>
          <w:p w:rsidR="00000000" w:rsidDel="00000000" w:rsidP="00000000" w:rsidRDefault="00000000" w:rsidRPr="00000000" w14:paraId="00000027">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secure print services and secure print items</w:t>
            </w:r>
          </w:p>
          <w:p w:rsidR="00000000" w:rsidDel="00000000" w:rsidP="00000000" w:rsidRDefault="00000000" w:rsidRPr="00000000" w14:paraId="00000028">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print stock management and distribution</w:t>
            </w:r>
          </w:p>
          <w:p w:rsidR="00000000" w:rsidDel="00000000" w:rsidP="00000000" w:rsidRDefault="00000000" w:rsidRPr="00000000" w14:paraId="00000029">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pre-production services (content creation, digital asset management, typesetting, proofreading and translation services)</w:t>
            </w:r>
          </w:p>
          <w:p w:rsidR="00000000" w:rsidDel="00000000" w:rsidP="00000000" w:rsidRDefault="00000000" w:rsidRPr="00000000" w14:paraId="0000002A">
            <w:pPr>
              <w:numPr>
                <w:ilvl w:val="0"/>
                <w:numId w:val="2"/>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digital solutions and transformation services including data and content across multiple platforms and devices, including email, SMS, and website</w:t>
            </w:r>
          </w:p>
          <w:p w:rsidR="00000000" w:rsidDel="00000000" w:rsidP="00000000" w:rsidRDefault="00000000" w:rsidRPr="00000000" w14:paraId="0000002B">
            <w:pPr>
              <w:numPr>
                <w:ilvl w:val="0"/>
                <w:numId w:val="2"/>
              </w:numPr>
              <w:shd w:fill="ffffff" w:val="clear"/>
              <w:spacing w:after="46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election print and election mailing services</w:t>
            </w:r>
          </w:p>
          <w:p w:rsidR="00000000" w:rsidDel="00000000" w:rsidP="00000000" w:rsidRDefault="00000000" w:rsidRPr="00000000" w14:paraId="0000002C">
            <w:pPr>
              <w:shd w:fill="ffffff" w:val="clear"/>
              <w:spacing w:after="300" w:line="315.7896"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You can also access associated print services along with your print needs. These services are not designed to be used separately and can only be accessed as part of an overall print management service. These services are:</w:t>
            </w:r>
          </w:p>
          <w:p w:rsidR="00000000" w:rsidDel="00000000" w:rsidP="00000000" w:rsidRDefault="00000000" w:rsidRPr="00000000" w14:paraId="0000002D">
            <w:pPr>
              <w:numPr>
                <w:ilvl w:val="0"/>
                <w:numId w:val="5"/>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scanning and microfiche services</w:t>
            </w:r>
          </w:p>
          <w:p w:rsidR="00000000" w:rsidDel="00000000" w:rsidP="00000000" w:rsidRDefault="00000000" w:rsidRPr="00000000" w14:paraId="0000002E">
            <w:pPr>
              <w:numPr>
                <w:ilvl w:val="0"/>
                <w:numId w:val="5"/>
              </w:numPr>
              <w:shd w:fill="ffffff" w:val="clear"/>
              <w:spacing w:after="0" w:afterAutospacing="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secure shredding of confidential waste</w:t>
            </w:r>
          </w:p>
          <w:p w:rsidR="00000000" w:rsidDel="00000000" w:rsidP="00000000" w:rsidRDefault="00000000" w:rsidRPr="00000000" w14:paraId="0000002F">
            <w:pPr>
              <w:numPr>
                <w:ilvl w:val="0"/>
                <w:numId w:val="5"/>
              </w:numPr>
              <w:shd w:fill="ffffff" w:val="clear"/>
              <w:spacing w:after="460" w:line="315.7896" w:lineRule="auto"/>
              <w:ind w:left="720" w:hanging="360"/>
              <w:rPr>
                <w:sz w:val="24"/>
                <w:szCs w:val="24"/>
              </w:rPr>
            </w:pPr>
            <w:r w:rsidDel="00000000" w:rsidR="00000000" w:rsidRPr="00000000">
              <w:rPr>
                <w:rFonts w:ascii="Arial" w:cs="Arial" w:eastAsia="Arial" w:hAnsi="Arial"/>
                <w:color w:val="0b0c0c"/>
                <w:sz w:val="24"/>
                <w:szCs w:val="24"/>
                <w:rtl w:val="0"/>
              </w:rPr>
              <w:t xml:space="preserve">media duplication services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b w:val="1"/>
                <w:color w:val="000000"/>
                <w:sz w:val="24"/>
                <w:szCs w:val="24"/>
                <w:highlight w:val="yellow"/>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Framework Schedule 1 (Specification) for further details.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r>
      <w:tr>
        <w:trPr>
          <w:cantSplit w:val="0"/>
          <w:trHeight w:val="463" w:hRule="atLeast"/>
          <w:tblHeader w:val="0"/>
        </w:trPr>
        <w:tc>
          <w:tcPr/>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8">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24th September 2024</w:t>
            </w:r>
          </w:p>
        </w:tc>
      </w:tr>
      <w:tr>
        <w:trPr>
          <w:cantSplit w:val="0"/>
          <w:trHeight w:val="60" w:hRule="atLeast"/>
          <w:tblHeader w:val="0"/>
        </w:trPr>
        <w:tc>
          <w:tcPr/>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C">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27th December 2028</w:t>
            </w:r>
          </w:p>
        </w:tc>
      </w:tr>
      <w:tr>
        <w:trPr>
          <w:cantSplit w:val="0"/>
          <w:trHeight w:val="471" w:hRule="atLeast"/>
          <w:tblHeader w:val="0"/>
        </w:trPr>
        <w:tc>
          <w:tcPr/>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Optional</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Period</w:t>
            </w:r>
          </w:p>
        </w:tc>
        <w:tc>
          <w:tcPr/>
          <w:p w:rsidR="00000000" w:rsidDel="00000000" w:rsidP="00000000" w:rsidRDefault="00000000" w:rsidRPr="00000000" w14:paraId="00000042">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w:t>
            </w:r>
          </w:p>
        </w:tc>
      </w:tr>
      <w:tr>
        <w:trPr>
          <w:cantSplit w:val="0"/>
          <w:trHeight w:val="837" w:hRule="atLeast"/>
          <w:tblHeader w:val="0"/>
        </w:trPr>
        <w:tc>
          <w:tcPr/>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Procedure</w:t>
            </w:r>
          </w:p>
        </w:tc>
        <w:tc>
          <w:tcPr/>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720" w:right="93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Lot 1 - Direct Award </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720" w:right="93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Lot 2 - Further Competition</w:t>
            </w:r>
          </w:p>
          <w:p w:rsidR="00000000" w:rsidDel="00000000" w:rsidP="00000000" w:rsidRDefault="00000000" w:rsidRPr="00000000" w14:paraId="00000048">
            <w:pPr>
              <w:spacing w:after="0" w:lineRule="auto"/>
              <w:ind w:right="936"/>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49">
            <w:pPr>
              <w:spacing w:after="0" w:lineRule="auto"/>
              <w:ind w:right="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Framework Schedule 7 (Call-off Award Procedure)</w:t>
            </w:r>
          </w:p>
          <w:p w:rsidR="00000000" w:rsidDel="00000000" w:rsidP="00000000" w:rsidRDefault="00000000" w:rsidRPr="00000000" w14:paraId="0000004A">
            <w:pPr>
              <w:spacing w:after="0" w:lineRule="auto"/>
              <w:ind w:right="936"/>
              <w:rPr>
                <w:rFonts w:ascii="Arial" w:cs="Arial" w:eastAsia="Arial" w:hAnsi="Arial"/>
                <w:color w:val="000000"/>
                <w:sz w:val="24"/>
                <w:szCs w:val="24"/>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 </w:t>
            </w:r>
          </w:p>
          <w:p w:rsidR="00000000" w:rsidDel="00000000" w:rsidP="00000000" w:rsidRDefault="00000000" w:rsidRPr="00000000" w14:paraId="0000004D">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after="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(together these documents form ‘the Framework Contract’)</w:t>
            </w:r>
          </w:p>
          <w:p w:rsidR="00000000" w:rsidDel="00000000" w:rsidP="00000000" w:rsidRDefault="00000000" w:rsidRPr="00000000" w14:paraId="0000004F">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4">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spacing w:after="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spacing w:after="0" w:line="259"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5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documents are incorporated into the Framework Contract. Where numbers are missing we are not using these schedules. If the documents conflict, the following order of precedence applies:</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Award Form</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Framework Special Terms (see Section 10 ‘Framework Special Terms’ in this Framework Award Form)</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 (Definitions) RM6297 </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 RM6297</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for RM6297 (in equal order of precedence):</w:t>
            </w:r>
          </w:p>
          <w:p w:rsidR="00000000" w:rsidDel="00000000" w:rsidP="00000000" w:rsidRDefault="00000000" w:rsidRPr="00000000" w14:paraId="00000065">
            <w:pPr>
              <w:numPr>
                <w:ilvl w:val="1"/>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1 (Specification) </w:t>
            </w:r>
          </w:p>
          <w:p w:rsidR="00000000" w:rsidDel="00000000" w:rsidP="00000000" w:rsidRDefault="00000000" w:rsidRPr="00000000" w14:paraId="00000066">
            <w:pPr>
              <w:numPr>
                <w:ilvl w:val="1"/>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3 (Framework Prices)</w:t>
            </w:r>
          </w:p>
          <w:p w:rsidR="00000000" w:rsidDel="00000000" w:rsidP="00000000" w:rsidRDefault="00000000" w:rsidRPr="00000000" w14:paraId="00000067">
            <w:pPr>
              <w:numPr>
                <w:ilvl w:val="1"/>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4 (Framework Management)</w:t>
            </w:r>
          </w:p>
          <w:p w:rsidR="00000000" w:rsidDel="00000000" w:rsidP="00000000" w:rsidRDefault="00000000" w:rsidRPr="00000000" w14:paraId="00000068">
            <w:pPr>
              <w:numPr>
                <w:ilvl w:val="1"/>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5 (Management Charges and Information)</w:t>
            </w:r>
          </w:p>
          <w:p w:rsidR="00000000" w:rsidDel="00000000" w:rsidP="00000000" w:rsidRDefault="00000000" w:rsidRPr="00000000" w14:paraId="00000069">
            <w:pPr>
              <w:numPr>
                <w:ilvl w:val="1"/>
                <w:numId w:val="6"/>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6 (Order Form Template and Call-Off Schedules) and Framework Schedule 6a – CHP Services Order Form (Lot 1 Only) including the following template Call-Off Schedules: </w:t>
            </w:r>
          </w:p>
          <w:p w:rsidR="00000000" w:rsidDel="00000000" w:rsidP="00000000" w:rsidRDefault="00000000" w:rsidRPr="00000000" w14:paraId="0000006A">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6B">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6C">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6D">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4 (Call-Off Tender)</w:t>
              <w:tab/>
              <w:tab/>
            </w:r>
          </w:p>
          <w:p w:rsidR="00000000" w:rsidDel="00000000" w:rsidP="00000000" w:rsidRDefault="00000000" w:rsidRPr="00000000" w14:paraId="0000006E">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5 </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Pricing Details)</w:t>
              <w:tab/>
              <w:t xml:space="preserve">           </w:t>
            </w:r>
          </w:p>
          <w:p w:rsidR="00000000" w:rsidDel="00000000" w:rsidP="00000000" w:rsidRDefault="00000000" w:rsidRPr="00000000" w14:paraId="0000006F">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6 (ICT Services) </w:t>
              <w:tab/>
              <w:tab/>
            </w:r>
          </w:p>
          <w:p w:rsidR="00000000" w:rsidDel="00000000" w:rsidP="00000000" w:rsidRDefault="00000000" w:rsidRPr="00000000" w14:paraId="00000070">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7 (Key Supplier Staff)</w:t>
              <w:tab/>
              <w:tab/>
            </w:r>
          </w:p>
          <w:p w:rsidR="00000000" w:rsidDel="00000000" w:rsidP="00000000" w:rsidRDefault="00000000" w:rsidRPr="00000000" w14:paraId="00000071">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8 (Business Continuity and Disaster Recovery) </w:t>
            </w:r>
          </w:p>
          <w:p w:rsidR="00000000" w:rsidDel="00000000" w:rsidP="00000000" w:rsidRDefault="00000000" w:rsidRPr="00000000" w14:paraId="00000072">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9 (Security)</w:t>
              <w:tab/>
              <w:tab/>
              <w:t xml:space="preserve"> </w:t>
              <w:tab/>
            </w:r>
          </w:p>
          <w:p w:rsidR="00000000" w:rsidDel="00000000" w:rsidP="00000000" w:rsidRDefault="00000000" w:rsidRPr="00000000" w14:paraId="00000073">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10 (Exit Management) </w:t>
              <w:tab/>
            </w:r>
          </w:p>
          <w:p w:rsidR="00000000" w:rsidDel="00000000" w:rsidP="00000000" w:rsidRDefault="00000000" w:rsidRPr="00000000" w14:paraId="00000074">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11 (Installation Works) </w:t>
              <w:tab/>
            </w:r>
          </w:p>
          <w:p w:rsidR="00000000" w:rsidDel="00000000" w:rsidP="00000000" w:rsidRDefault="00000000" w:rsidRPr="00000000" w14:paraId="00000075">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12 (Clustering) </w:t>
              <w:tab/>
              <w:tab/>
            </w:r>
          </w:p>
          <w:p w:rsidR="00000000" w:rsidDel="00000000" w:rsidP="00000000" w:rsidRDefault="00000000" w:rsidRPr="00000000" w14:paraId="00000076">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14 (Service Levels) </w:t>
              <w:tab/>
              <w:tab/>
            </w:r>
          </w:p>
          <w:p w:rsidR="00000000" w:rsidDel="00000000" w:rsidP="00000000" w:rsidRDefault="00000000" w:rsidRPr="00000000" w14:paraId="00000077">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15 (Call-Off Contract Management)]</w:t>
            </w:r>
          </w:p>
          <w:p w:rsidR="00000000" w:rsidDel="00000000" w:rsidP="00000000" w:rsidRDefault="00000000" w:rsidRPr="00000000" w14:paraId="00000078">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Call-Off Schedule 16 (Benchmarking) </w:t>
              <w:tab/>
              <w:tab/>
            </w:r>
          </w:p>
          <w:p w:rsidR="00000000" w:rsidDel="00000000" w:rsidP="00000000" w:rsidRDefault="00000000" w:rsidRPr="00000000" w14:paraId="00000079">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17 (MOD Terms) </w:t>
              <w:tab/>
              <w:tab/>
              <w:t xml:space="preserve">            </w:t>
            </w:r>
          </w:p>
          <w:p w:rsidR="00000000" w:rsidDel="00000000" w:rsidP="00000000" w:rsidRDefault="00000000" w:rsidRPr="00000000" w14:paraId="0000007A">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18 (Background Checks) </w:t>
              <w:tab/>
            </w:r>
          </w:p>
          <w:p w:rsidR="00000000" w:rsidDel="00000000" w:rsidP="00000000" w:rsidRDefault="00000000" w:rsidRPr="00000000" w14:paraId="0000007B">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19 (Scottish Law)</w:t>
              <w:tab/>
              <w:tab/>
              <w:t xml:space="preserve">    </w:t>
            </w:r>
          </w:p>
          <w:p w:rsidR="00000000" w:rsidDel="00000000" w:rsidP="00000000" w:rsidRDefault="00000000" w:rsidRPr="00000000" w14:paraId="0000007C">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20 (Call-Off Specification)    </w:t>
            </w:r>
          </w:p>
          <w:p w:rsidR="00000000" w:rsidDel="00000000" w:rsidP="00000000" w:rsidRDefault="00000000" w:rsidRPr="00000000" w14:paraId="0000007D">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21 (Northern Ireland Law)    </w:t>
            </w:r>
          </w:p>
          <w:p w:rsidR="00000000" w:rsidDel="00000000" w:rsidP="00000000" w:rsidRDefault="00000000" w:rsidRPr="00000000" w14:paraId="0000007E">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22 (Lease Terms)                </w:t>
            </w:r>
          </w:p>
          <w:p w:rsidR="00000000" w:rsidDel="00000000" w:rsidP="00000000" w:rsidRDefault="00000000" w:rsidRPr="00000000" w14:paraId="0000007F">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23 (HMRC Terms)            </w:t>
            </w:r>
          </w:p>
          <w:p w:rsidR="00000000" w:rsidDel="00000000" w:rsidP="00000000" w:rsidRDefault="00000000" w:rsidRPr="00000000" w14:paraId="00000080">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24 (Corporate Resolution Planning)                    </w:t>
              <w:tab/>
              <w:tab/>
              <w:tab/>
              <w:tab/>
            </w:r>
          </w:p>
          <w:p w:rsidR="00000000" w:rsidDel="00000000" w:rsidP="00000000" w:rsidRDefault="00000000" w:rsidRPr="00000000" w14:paraId="00000081">
            <w:pPr>
              <w:numPr>
                <w:ilvl w:val="2"/>
                <w:numId w:val="6"/>
              </w:numPr>
              <w:pBdr>
                <w:top w:space="0" w:sz="0" w:val="nil"/>
                <w:left w:space="0" w:sz="0" w:val="nil"/>
                <w:bottom w:space="0" w:sz="0" w:val="nil"/>
                <w:right w:space="0" w:sz="0" w:val="nil"/>
                <w:between w:space="0" w:sz="0" w:val="nil"/>
              </w:pBdr>
              <w:spacing w:after="0" w:line="259"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25 (Consignment Stock)            </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7 (Call-Off Award Procedure)</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8 (Self Audit Certificate)</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9 (Cyber Essentials Scheme)</w:t>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10 (Staff Transfer) (Lot 1 Only) </w:t>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w:t>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88">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6 (Key Subcontractors)</w:t>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w:t>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8 (Guarantee)</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9 (Minimum Standards of Reliability)</w:t>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12 (Supply Chain Visibility)</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13 (Implementation Plan and Testing) </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3.0.11)</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RM6297</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after="0" w:lineRule="auto"/>
              <w:ind w:left="45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Schedule 2 (Framework Tender) RM6297 as long as any part of the Framework Tender that offers a better commercial position for CCS or Buyers (as decided by CCS) take precedence over the documents above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094">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Special Term 1 - N/A</w:t>
            </w:r>
          </w:p>
          <w:p w:rsidR="00000000" w:rsidDel="00000000" w:rsidP="00000000" w:rsidRDefault="00000000" w:rsidRPr="00000000" w14:paraId="00000099">
            <w:pPr>
              <w:rPr>
                <w:rFonts w:ascii="Arial" w:cs="Arial" w:eastAsia="Arial" w:hAnsi="Arial"/>
                <w:color w:val="000000"/>
                <w:sz w:val="24"/>
                <w:szCs w:val="24"/>
                <w:highlight w:val="yellow"/>
              </w:rPr>
            </w:pPr>
            <w:r w:rsidDel="00000000" w:rsidR="00000000" w:rsidRPr="00000000">
              <w:rPr>
                <w:rtl w:val="0"/>
              </w:rPr>
            </w:r>
          </w:p>
        </w:tc>
      </w:tr>
      <w:tr>
        <w:trPr>
          <w:cantSplit w:val="0"/>
          <w:trHeight w:val="55" w:hRule="atLeast"/>
          <w:tblHeader w:val="0"/>
        </w:trPr>
        <w:tc>
          <w:tcPr/>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 </w:t>
            </w:r>
          </w:p>
        </w:tc>
        <w:tc>
          <w:tcPr/>
          <w:p w:rsidR="00000000" w:rsidDel="00000000" w:rsidP="00000000" w:rsidRDefault="00000000" w:rsidRPr="00000000" w14:paraId="0000009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in Framework Schedule 3 (Framework Prices)</w:t>
            </w:r>
          </w:p>
        </w:tc>
      </w:tr>
      <w:tr>
        <w:trPr>
          <w:cantSplit w:val="0"/>
          <w:trHeight w:val="569" w:hRule="atLeast"/>
          <w:tblHeader w:val="0"/>
        </w:trPr>
        <w:tc>
          <w:tcPr/>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Insurance</w:t>
            </w:r>
          </w:p>
        </w:tc>
        <w:tc>
          <w:tcPr>
            <w:shd w:fill="auto"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Details in Annex of Joint Schedule 3 (Insurance Requirements).</w:t>
            </w:r>
            <w:r w:rsidDel="00000000" w:rsidR="00000000" w:rsidRPr="00000000">
              <w:rPr>
                <w:rtl w:val="0"/>
              </w:rPr>
            </w:r>
          </w:p>
        </w:tc>
      </w:tr>
      <w:tr>
        <w:trPr>
          <w:cantSplit w:val="0"/>
          <w:trHeight w:val="939" w:hRule="atLeast"/>
          <w:tblHeader w:val="0"/>
        </w:trPr>
        <w:tc>
          <w:tcPr/>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Essentials Certification</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Cyber Essentials Scheme Plus Certificate (or equivalent). Details in Framework Schedule 9 (Cyber Essentials Scheme)</w:t>
            </w:r>
          </w:p>
        </w:tc>
      </w:tr>
      <w:tr>
        <w:trPr>
          <w:cantSplit w:val="0"/>
          <w:trHeight w:val="731" w:hRule="atLeast"/>
          <w:tblHeader w:val="0"/>
        </w:trPr>
        <w:tc>
          <w:tcPr/>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0A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will pay, excluding VAT, 1% of all the Charges for the Deliverables invoiced to the Buyer under all Call-Off Contracts. Postage is a pass through cost that is exempt from the 1% levy. </w:t>
            </w:r>
          </w:p>
        </w:tc>
      </w:tr>
      <w:tr>
        <w:trPr>
          <w:cantSplit w:val="0"/>
          <w:trHeight w:val="1333" w:hRule="atLeast"/>
          <w:tblHeader w:val="0"/>
        </w:trPr>
        <w:tc>
          <w:tcPr/>
          <w:p w:rsidR="00000000" w:rsidDel="00000000" w:rsidP="00000000" w:rsidRDefault="00000000" w:rsidRPr="00000000" w14:paraId="000000A7">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Manager</w:t>
            </w:r>
          </w:p>
        </w:tc>
        <w:tc>
          <w:tcPr/>
          <w:p w:rsidR="00000000" w:rsidDel="00000000" w:rsidP="00000000" w:rsidRDefault="00000000" w:rsidRPr="00000000" w14:paraId="000000A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name]</w:t>
            </w:r>
          </w:p>
          <w:p w:rsidR="00000000" w:rsidDel="00000000" w:rsidP="00000000" w:rsidRDefault="00000000" w:rsidRPr="00000000" w14:paraId="000000A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job title]</w:t>
            </w:r>
          </w:p>
          <w:p w:rsidR="00000000" w:rsidDel="00000000" w:rsidP="00000000" w:rsidRDefault="00000000" w:rsidRPr="00000000" w14:paraId="000000A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email address]</w:t>
            </w:r>
          </w:p>
          <w:p w:rsidR="00000000" w:rsidDel="00000000" w:rsidP="00000000" w:rsidRDefault="00000000" w:rsidRPr="00000000" w14:paraId="000000AE">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phone number]</w:t>
            </w:r>
          </w:p>
        </w:tc>
      </w:tr>
      <w:tr>
        <w:trPr>
          <w:cantSplit w:val="0"/>
          <w:trHeight w:val="1333" w:hRule="atLeast"/>
          <w:tblHeader w:val="0"/>
        </w:trPr>
        <w:tc>
          <w:tcPr/>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 Representative</w:t>
            </w:r>
          </w:p>
        </w:tc>
        <w:tc>
          <w:tcPr/>
          <w:p w:rsidR="00000000" w:rsidDel="00000000" w:rsidP="00000000" w:rsidRDefault="00000000" w:rsidRPr="00000000" w14:paraId="000000B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name]</w:t>
            </w:r>
          </w:p>
          <w:p w:rsidR="00000000" w:rsidDel="00000000" w:rsidP="00000000" w:rsidRDefault="00000000" w:rsidRPr="00000000" w14:paraId="000000B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job title]</w:t>
            </w:r>
          </w:p>
          <w:p w:rsidR="00000000" w:rsidDel="00000000" w:rsidP="00000000" w:rsidRDefault="00000000" w:rsidRPr="00000000" w14:paraId="000000B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email address]</w:t>
            </w:r>
          </w:p>
          <w:p w:rsidR="00000000" w:rsidDel="00000000" w:rsidP="00000000" w:rsidRDefault="00000000" w:rsidRPr="00000000" w14:paraId="000000B5">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phone number]</w:t>
            </w:r>
          </w:p>
        </w:tc>
      </w:tr>
      <w:tr>
        <w:trPr>
          <w:cantSplit w:val="0"/>
          <w:trHeight w:val="1333" w:hRule="atLeast"/>
          <w:tblHeader w:val="0"/>
        </w:trPr>
        <w:tc>
          <w:tcPr/>
          <w:p w:rsidR="00000000" w:rsidDel="00000000" w:rsidP="00000000" w:rsidRDefault="00000000" w:rsidRPr="00000000" w14:paraId="000000B6">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B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name]</w:t>
            </w:r>
          </w:p>
          <w:p w:rsidR="00000000" w:rsidDel="00000000" w:rsidP="00000000" w:rsidRDefault="00000000" w:rsidRPr="00000000" w14:paraId="000000B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job title]</w:t>
            </w:r>
          </w:p>
          <w:p w:rsidR="00000000" w:rsidDel="00000000" w:rsidP="00000000" w:rsidRDefault="00000000" w:rsidRPr="00000000" w14:paraId="000000B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email address]</w:t>
            </w:r>
          </w:p>
          <w:p w:rsidR="00000000" w:rsidDel="00000000" w:rsidP="00000000" w:rsidRDefault="00000000" w:rsidRPr="00000000" w14:paraId="000000B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phone number]</w:t>
            </w:r>
          </w:p>
        </w:tc>
      </w:tr>
      <w:tr>
        <w:trPr>
          <w:cantSplit w:val="0"/>
          <w:trHeight w:val="1333" w:hRule="atLeast"/>
          <w:tblHeader w:val="0"/>
        </w:trPr>
        <w:tc>
          <w:tcPr/>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Data</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Protection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Officer</w:t>
            </w:r>
          </w:p>
        </w:tc>
        <w:tc>
          <w:tcPr/>
          <w:p w:rsidR="00000000" w:rsidDel="00000000" w:rsidP="00000000" w:rsidRDefault="00000000" w:rsidRPr="00000000" w14:paraId="000000C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name]</w:t>
            </w:r>
          </w:p>
          <w:p w:rsidR="00000000" w:rsidDel="00000000" w:rsidP="00000000" w:rsidRDefault="00000000" w:rsidRPr="00000000" w14:paraId="000000C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job title]</w:t>
            </w:r>
          </w:p>
          <w:p w:rsidR="00000000" w:rsidDel="00000000" w:rsidP="00000000" w:rsidRDefault="00000000" w:rsidRPr="00000000" w14:paraId="000000C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email address]</w:t>
            </w:r>
          </w:p>
          <w:p w:rsidR="00000000" w:rsidDel="00000000" w:rsidP="00000000" w:rsidRDefault="00000000" w:rsidRPr="00000000" w14:paraId="000000C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phone number]</w:t>
            </w:r>
          </w:p>
        </w:tc>
      </w:tr>
      <w:tr>
        <w:trPr>
          <w:cantSplit w:val="0"/>
          <w:trHeight w:val="1333" w:hRule="atLeast"/>
          <w:tblHeader w:val="0"/>
        </w:trPr>
        <w:tc>
          <w:tcPr/>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0C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£10,000,000</w:t>
            </w:r>
          </w:p>
        </w:tc>
      </w:tr>
      <w:tr>
        <w:trPr>
          <w:cantSplit w:val="0"/>
          <w:trHeight w:val="1333" w:hRule="atLeast"/>
          <w:tblHeader w:val="0"/>
        </w:trPr>
        <w:tc>
          <w:tcPr/>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Marketing Contact</w:t>
            </w:r>
          </w:p>
        </w:tc>
        <w:tc>
          <w:tcPr/>
          <w:p w:rsidR="00000000" w:rsidDel="00000000" w:rsidP="00000000" w:rsidRDefault="00000000" w:rsidRPr="00000000" w14:paraId="000000C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name]</w:t>
            </w:r>
          </w:p>
          <w:p w:rsidR="00000000" w:rsidDel="00000000" w:rsidP="00000000" w:rsidRDefault="00000000" w:rsidRPr="00000000" w14:paraId="000000C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job title]</w:t>
            </w:r>
          </w:p>
          <w:p w:rsidR="00000000" w:rsidDel="00000000" w:rsidP="00000000" w:rsidRDefault="00000000" w:rsidRPr="00000000" w14:paraId="000000C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email address]</w:t>
            </w:r>
          </w:p>
          <w:p w:rsidR="00000000" w:rsidDel="00000000" w:rsidP="00000000" w:rsidRDefault="00000000" w:rsidRPr="00000000" w14:paraId="000000C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phone number]</w:t>
            </w:r>
          </w:p>
        </w:tc>
      </w:tr>
      <w:tr>
        <w:trPr>
          <w:cantSplit w:val="0"/>
          <w:trHeight w:val="1333" w:hRule="atLeast"/>
          <w:tblHeader w:val="0"/>
        </w:trPr>
        <w:tc>
          <w:tcPr/>
          <w:p w:rsidR="00000000" w:rsidDel="00000000" w:rsidP="00000000" w:rsidRDefault="00000000" w:rsidRPr="00000000" w14:paraId="000000CF">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Subcontractors</w:t>
            </w:r>
          </w:p>
        </w:tc>
        <w:tc>
          <w:tcPr>
            <w:shd w:fill="auto" w:val="clear"/>
          </w:tcPr>
          <w:p w:rsidR="00000000" w:rsidDel="00000000" w:rsidP="00000000" w:rsidRDefault="00000000" w:rsidRPr="00000000" w14:paraId="000000D2">
            <w:pPr>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 1</w:t>
            </w:r>
          </w:p>
          <w:p w:rsidR="00000000" w:rsidDel="00000000" w:rsidP="00000000" w:rsidRDefault="00000000" w:rsidRPr="00000000" w14:paraId="000000D3">
            <w:pP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(Registered name if registered)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name]</w:t>
            </w:r>
          </w:p>
          <w:p w:rsidR="00000000" w:rsidDel="00000000" w:rsidP="00000000" w:rsidRDefault="00000000" w:rsidRPr="00000000" w14:paraId="000000D4">
            <w:pP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Registration number (if registered)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number]</w:t>
            </w:r>
          </w:p>
          <w:p w:rsidR="00000000" w:rsidDel="00000000" w:rsidP="00000000" w:rsidRDefault="00000000" w:rsidRPr="00000000" w14:paraId="000000D5">
            <w:pPr>
              <w:spacing w:after="120" w:before="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 of Subcontractor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color w:val="000000"/>
                <w:sz w:val="24"/>
                <w:szCs w:val="24"/>
                <w:rtl w:val="0"/>
              </w:rPr>
              <w:t xml:space="preserve"> role]</w:t>
            </w:r>
          </w:p>
          <w:p w:rsidR="00000000" w:rsidDel="00000000" w:rsidP="00000000" w:rsidRDefault="00000000" w:rsidRPr="00000000" w14:paraId="000000D6">
            <w:pPr>
              <w:spacing w:after="120" w:before="120" w:lineRule="auto"/>
              <w:rPr>
                <w:rFonts w:ascii="Arial" w:cs="Arial" w:eastAsia="Arial" w:hAnsi="Arial"/>
                <w:color w:val="000000"/>
                <w:sz w:val="24"/>
                <w:szCs w:val="24"/>
                <w:highlight w:val="yellow"/>
              </w:rPr>
            </w:pPr>
            <w:r w:rsidDel="00000000" w:rsidR="00000000" w:rsidRPr="00000000">
              <w:rPr>
                <w:rFonts w:ascii="Arial" w:cs="Arial" w:eastAsia="Arial" w:hAnsi="Arial"/>
                <w:b w:val="1"/>
                <w:color w:val="000000"/>
                <w:sz w:val="24"/>
                <w:szCs w:val="24"/>
                <w:highlight w:val="yellow"/>
                <w:rtl w:val="0"/>
              </w:rPr>
              <w:t xml:space="preserve">[Guidance: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copy above lines as needed]</w:t>
            </w:r>
            <w:r w:rsidDel="00000000" w:rsidR="00000000" w:rsidRPr="00000000">
              <w:rPr>
                <w:rtl w:val="0"/>
              </w:rPr>
            </w:r>
          </w:p>
        </w:tc>
      </w:tr>
      <w:tr>
        <w:trPr>
          <w:cantSplit w:val="0"/>
          <w:trHeight w:val="1333" w:hRule="atLeast"/>
          <w:tblHeader w:val="0"/>
        </w:trPr>
        <w:tc>
          <w:tcPr/>
          <w:p w:rsidR="00000000" w:rsidDel="00000000" w:rsidP="00000000" w:rsidRDefault="00000000" w:rsidRPr="00000000" w14:paraId="000000D7">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Representative</w:t>
            </w:r>
          </w:p>
        </w:tc>
        <w:tc>
          <w:tcPr/>
          <w:p w:rsidR="00000000" w:rsidDel="00000000" w:rsidP="00000000" w:rsidRDefault="00000000" w:rsidRPr="00000000" w14:paraId="000000D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be confirmed on Framework Award</w:t>
            </w:r>
          </w:p>
        </w:tc>
      </w:tr>
    </w:tbl>
    <w:p w:rsidR="00000000" w:rsidDel="00000000" w:rsidP="00000000" w:rsidRDefault="00000000" w:rsidRPr="00000000" w14:paraId="000000D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rPr>
          <w:rFonts w:ascii="Arial" w:cs="Arial" w:eastAsia="Arial" w:hAnsi="Arial"/>
          <w:sz w:val="24"/>
          <w:szCs w:val="24"/>
        </w:rPr>
      </w:pPr>
      <w:r w:rsidDel="00000000" w:rsidR="00000000" w:rsidRPr="00000000">
        <w:rPr>
          <w:rtl w:val="0"/>
        </w:rPr>
      </w:r>
    </w:p>
    <w:tbl>
      <w:tblPr>
        <w:tblStyle w:val="Table3"/>
        <w:tblW w:w="9170.000000000002" w:type="dxa"/>
        <w:jc w:val="left"/>
        <w:tblBorders>
          <w:top w:color="000000" w:space="0" w:sz="8" w:val="single"/>
          <w:left w:color="000000" w:space="0" w:sz="8" w:val="single"/>
          <w:bottom w:color="000000" w:space="0" w:sz="8" w:val="single"/>
          <w:right w:color="000000" w:space="0" w:sz="8" w:val="single"/>
          <w:insideH w:color="95b3d7" w:space="0" w:sz="4" w:val="single"/>
          <w:insideV w:color="95b3d7" w:space="0" w:sz="4" w:val="single"/>
        </w:tblBorders>
        <w:tblLayout w:type="fixed"/>
        <w:tblLook w:val="0000"/>
      </w:tblPr>
      <w:tblGrid>
        <w:gridCol w:w="1526"/>
        <w:gridCol w:w="2980"/>
        <w:gridCol w:w="1698"/>
        <w:gridCol w:w="2966"/>
        <w:tblGridChange w:id="0">
          <w:tblGrid>
            <w:gridCol w:w="1526"/>
            <w:gridCol w:w="2980"/>
            <w:gridCol w:w="1698"/>
            <w:gridCol w:w="2966"/>
          </w:tblGrid>
        </w:tblGridChange>
      </w:tblGrid>
      <w:tr>
        <w:trPr>
          <w:cantSplit w:val="0"/>
          <w:trHeight w:val="635" w:hRule="atLeast"/>
          <w:tblHeader w:val="0"/>
        </w:trPr>
        <w:tc>
          <w:tcPr>
            <w:gridSpan w:val="2"/>
          </w:tcPr>
          <w:p w:rsidR="00000000" w:rsidDel="00000000" w:rsidP="00000000" w:rsidRDefault="00000000" w:rsidRPr="00000000" w14:paraId="000000DE">
            <w:pPr>
              <w:keepNext w:val="1"/>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spacing w:after="120" w:before="24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CCS:</w:t>
            </w:r>
          </w:p>
        </w:tc>
      </w:tr>
      <w:tr>
        <w:trPr>
          <w:cantSplit w:val="0"/>
          <w:trHeight w:val="635" w:hRule="atLeast"/>
          <w:tblHeader w:val="0"/>
        </w:trPr>
        <w:tc>
          <w:tcPr/>
          <w:p w:rsidR="00000000" w:rsidDel="00000000" w:rsidP="00000000" w:rsidRDefault="00000000" w:rsidRPr="00000000" w14:paraId="000000E2">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E3">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4">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E5">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E6">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E7">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8">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E9">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EA">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EB">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EC">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EE">
            <w:pPr>
              <w:keepNext w:val="1"/>
              <w:pBdr>
                <w:top w:space="0" w:sz="0" w:val="nil"/>
                <w:left w:space="0" w:sz="0" w:val="nil"/>
                <w:bottom w:space="0" w:sz="0" w:val="nil"/>
                <w:right w:space="0" w:sz="0" w:val="nil"/>
                <w:between w:space="0" w:sz="0" w:val="nil"/>
              </w:pBdr>
              <w:spacing w:after="12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EF">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0">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F1">
            <w:pPr>
              <w:keepNext w:val="1"/>
              <w:pBdr>
                <w:top w:space="0" w:sz="0" w:val="nil"/>
                <w:left w:space="0" w:sz="0" w:val="nil"/>
                <w:bottom w:space="0" w:sz="0" w:val="nil"/>
                <w:right w:space="0" w:sz="0" w:val="nil"/>
                <w:between w:space="0" w:sz="0" w:val="nil"/>
              </w:pBdr>
              <w:spacing w:after="120" w:before="240" w:line="240" w:lineRule="auto"/>
              <w:ind w:left="142" w:firstLine="0"/>
              <w:jc w:val="both"/>
              <w:rPr>
                <w:rFonts w:ascii="Arial" w:cs="Arial" w:eastAsia="Arial" w:hAnsi="Arial"/>
                <w:color w:val="000000"/>
                <w:sz w:val="24"/>
                <w:szCs w:val="24"/>
              </w:rPr>
            </w:pPr>
            <w:r w:rsidDel="00000000" w:rsidR="00000000" w:rsidRPr="00000000">
              <w:rPr>
                <w:rtl w:val="0"/>
              </w:rPr>
            </w:r>
          </w:p>
        </w:tc>
      </w:tr>
    </w:tbl>
    <w:bookmarkStart w:colFirst="0" w:colLast="0" w:name="bookmark=id.30j0zll" w:id="2"/>
    <w:bookmarkEnd w:id="2"/>
    <w:p w:rsidR="00000000" w:rsidDel="00000000" w:rsidP="00000000" w:rsidRDefault="00000000" w:rsidRPr="00000000" w14:paraId="000000F2">
      <w:pPr>
        <w:pBdr>
          <w:top w:space="0" w:sz="0" w:val="nil"/>
          <w:left w:space="0" w:sz="0" w:val="nil"/>
          <w:bottom w:space="0" w:sz="0" w:val="nil"/>
          <w:right w:space="0" w:sz="0" w:val="nil"/>
          <w:between w:space="0" w:sz="0" w:val="nil"/>
        </w:pBdr>
        <w:ind w:left="792" w:firstLine="0"/>
        <w:rPr>
          <w:rFonts w:ascii="Arial" w:cs="Arial" w:eastAsia="Arial" w:hAnsi="Arial"/>
          <w:i w:val="1"/>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F9">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spacing w:after="0" w:line="240" w:lineRule="auto"/>
      <w:jc w:val="both"/>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v2.9</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leader="none" w:pos="4513"/>
        <w:tab w:val="right" w:leader="none" w:pos="9026"/>
      </w:tabs>
      <w:spacing w:after="0" w:lineRule="auto"/>
      <w:rPr>
        <w:color w:val="a6a6a6"/>
      </w:rPr>
    </w:pPr>
    <w:r w:rsidDel="00000000" w:rsidR="00000000" w:rsidRPr="00000000">
      <w:rPr>
        <w:rtl w:val="0"/>
      </w:rPr>
    </w:r>
  </w:p>
  <w:p w:rsidR="00000000" w:rsidDel="00000000" w:rsidP="00000000" w:rsidRDefault="00000000" w:rsidRPr="00000000" w14:paraId="000000FD">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RM6297 Print and Digital Communications</w:t>
      <w:tab/>
      <w:t xml:space="preserve">                                           </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v3.11</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a6a6a6"/>
        <w:sz w:val="20"/>
        <w:szCs w:val="20"/>
      </w:rPr>
    </w:pPr>
    <w:r w:rsidDel="00000000" w:rsidR="00000000" w:rsidRPr="00000000">
      <w:rPr>
        <w:rFonts w:ascii="Arial" w:cs="Arial" w:eastAsia="Arial" w:hAnsi="Arial"/>
        <w:b w:val="1"/>
        <w:color w:val="a6a6a6"/>
        <w:sz w:val="20"/>
        <w:szCs w:val="20"/>
        <w:rtl w:val="0"/>
      </w:rPr>
      <w:t xml:space="preserve">Framework Award Form</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Crown Copyright 2018</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Framework Award Form</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Crown Copyright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0b0c0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644" w:hanging="357"/>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430" w:hanging="360"/>
      </w:pPr>
      <w:rPr>
        <w:rFonts w:ascii="Courier New" w:cs="Courier New" w:eastAsia="Courier New" w:hAnsi="Courier New"/>
      </w:rPr>
    </w:lvl>
    <w:lvl w:ilvl="2">
      <w:start w:val="1"/>
      <w:numFmt w:val="bullet"/>
      <w:lvlText w:val="▪"/>
      <w:lvlJc w:val="left"/>
      <w:pPr>
        <w:ind w:left="3150" w:hanging="360"/>
      </w:pPr>
      <w:rPr>
        <w:rFonts w:ascii="Noto Sans Symbols" w:cs="Noto Sans Symbols" w:eastAsia="Noto Sans Symbols" w:hAnsi="Noto Sans Symbols"/>
      </w:rPr>
    </w:lvl>
    <w:lvl w:ilvl="3">
      <w:start w:val="1"/>
      <w:numFmt w:val="bullet"/>
      <w:lvlText w:val="●"/>
      <w:lvlJc w:val="left"/>
      <w:pPr>
        <w:ind w:left="3870" w:hanging="360"/>
      </w:pPr>
      <w:rPr>
        <w:rFonts w:ascii="Noto Sans Symbols" w:cs="Noto Sans Symbols" w:eastAsia="Noto Sans Symbols" w:hAnsi="Noto Sans Symbols"/>
      </w:rPr>
    </w:lvl>
    <w:lvl w:ilvl="4">
      <w:start w:val="1"/>
      <w:numFmt w:val="bullet"/>
      <w:lvlText w:val="o"/>
      <w:lvlJc w:val="left"/>
      <w:pPr>
        <w:ind w:left="4590" w:hanging="360"/>
      </w:pPr>
      <w:rPr>
        <w:rFonts w:ascii="Courier New" w:cs="Courier New" w:eastAsia="Courier New" w:hAnsi="Courier New"/>
      </w:rPr>
    </w:lvl>
    <w:lvl w:ilvl="5">
      <w:start w:val="1"/>
      <w:numFmt w:val="bullet"/>
      <w:lvlText w:val="▪"/>
      <w:lvlJc w:val="left"/>
      <w:pPr>
        <w:ind w:left="5310" w:hanging="360"/>
      </w:pPr>
      <w:rPr>
        <w:rFonts w:ascii="Noto Sans Symbols" w:cs="Noto Sans Symbols" w:eastAsia="Noto Sans Symbols" w:hAnsi="Noto Sans Symbols"/>
      </w:rPr>
    </w:lvl>
    <w:lvl w:ilvl="6">
      <w:start w:val="1"/>
      <w:numFmt w:val="bullet"/>
      <w:lvlText w:val="●"/>
      <w:lvlJc w:val="left"/>
      <w:pPr>
        <w:ind w:left="6030" w:hanging="360"/>
      </w:pPr>
      <w:rPr>
        <w:rFonts w:ascii="Noto Sans Symbols" w:cs="Noto Sans Symbols" w:eastAsia="Noto Sans Symbols" w:hAnsi="Noto Sans Symbols"/>
      </w:rPr>
    </w:lvl>
    <w:lvl w:ilvl="7">
      <w:start w:val="1"/>
      <w:numFmt w:val="bullet"/>
      <w:lvlText w:val="o"/>
      <w:lvlJc w:val="left"/>
      <w:pPr>
        <w:ind w:left="6750" w:hanging="360"/>
      </w:pPr>
      <w:rPr>
        <w:rFonts w:ascii="Courier New" w:cs="Courier New" w:eastAsia="Courier New" w:hAnsi="Courier New"/>
      </w:rPr>
    </w:lvl>
    <w:lvl w:ilvl="8">
      <w:start w:val="1"/>
      <w:numFmt w:val="bullet"/>
      <w:lvlText w:val="▪"/>
      <w:lvlJc w:val="left"/>
      <w:pPr>
        <w:ind w:left="747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color w:val="0b0c0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45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leader="none" w:pos="-5585"/>
      </w:tabs>
      <w:spacing w:after="120" w:line="240" w:lineRule="auto"/>
      <w:ind w:left="3600" w:hanging="360"/>
      <w:jc w:val="both"/>
    </w:pPr>
    <w:rPr>
      <w:rFonts w:ascii="Arial" w:cs="Arial" w:eastAsia="Arial" w:hAnsi="Arial"/>
    </w:rPr>
  </w:style>
  <w:style w:type="paragraph" w:styleId="Heading6">
    <w:name w:val="heading 6"/>
    <w:basedOn w:val="Normal"/>
    <w:next w:val="Normal"/>
    <w:pPr>
      <w:tabs>
        <w:tab w:val="left" w:leader="none" w:pos="-8987"/>
        <w:tab w:val="left" w:leader="none" w:pos="-8420"/>
      </w:tabs>
      <w:spacing w:after="120" w:line="240" w:lineRule="auto"/>
      <w:ind w:left="3600" w:hanging="36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tabs>
        <w:tab w:val="left" w:pos="-5585"/>
      </w:tabs>
      <w:spacing w:after="120" w:line="240" w:lineRule="auto"/>
      <w:ind w:left="3600" w:hanging="360"/>
      <w:jc w:val="both"/>
      <w:outlineLvl w:val="4"/>
    </w:pPr>
    <w:rPr>
      <w:rFonts w:ascii="Arial" w:cs="Arial" w:eastAsia="Arial" w:hAnsi="Arial"/>
    </w:rPr>
  </w:style>
  <w:style w:type="paragraph" w:styleId="Heading6">
    <w:name w:val="heading 6"/>
    <w:basedOn w:val="Normal"/>
    <w:next w:val="Normal"/>
    <w:uiPriority w:val="9"/>
    <w:semiHidden w:val="1"/>
    <w:unhideWhenUsed w:val="1"/>
    <w:qFormat w:val="1"/>
    <w:pPr>
      <w:tabs>
        <w:tab w:val="left" w:pos="-8987"/>
        <w:tab w:val="left" w:pos="-8420"/>
      </w:tabs>
      <w:spacing w:after="120" w:line="240" w:lineRule="auto"/>
      <w:ind w:left="3600" w:hanging="360"/>
      <w:jc w:val="both"/>
      <w:outlineLvl w:val="5"/>
    </w:pPr>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0" w:customStyle="1">
    <w:basedOn w:val="TableNormal"/>
    <w:rPr>
      <w:color w:val="366091"/>
    </w:rPr>
    <w:tblPr>
      <w:tblStyleRowBandSize w:val="1"/>
      <w:tblStyleColBandSize w:val="1"/>
    </w:tblPr>
  </w:style>
  <w:style w:type="table" w:styleId="a1"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863EF4"/>
    <w:pPr>
      <w:spacing w:after="0" w:line="240" w:lineRule="auto"/>
    </w:pPr>
  </w:style>
  <w:style w:type="paragraph" w:styleId="CommentSubject">
    <w:name w:val="annotation subject"/>
    <w:basedOn w:val="CommentText"/>
    <w:next w:val="CommentText"/>
    <w:link w:val="CommentSubjectChar"/>
    <w:uiPriority w:val="99"/>
    <w:semiHidden w:val="1"/>
    <w:unhideWhenUsed w:val="1"/>
    <w:rsid w:val="00863EF4"/>
    <w:rPr>
      <w:b w:val="1"/>
      <w:bCs w:val="1"/>
    </w:rPr>
  </w:style>
  <w:style w:type="character" w:styleId="CommentSubjectChar" w:customStyle="1">
    <w:name w:val="Comment Subject Char"/>
    <w:basedOn w:val="CommentTextChar"/>
    <w:link w:val="CommentSubject"/>
    <w:uiPriority w:val="99"/>
    <w:semiHidden w:val="1"/>
    <w:rsid w:val="00863EF4"/>
    <w:rPr>
      <w:b w:val="1"/>
      <w:bCs w:val="1"/>
      <w:sz w:val="20"/>
      <w:szCs w:val="20"/>
    </w:rPr>
  </w:style>
  <w:style w:type="table" w:styleId="a2" w:customStyle="1">
    <w:basedOn w:val="TableNormal"/>
    <w:rPr>
      <w:color w:val="366091"/>
    </w:rPr>
    <w:tblPr>
      <w:tblStyleRowBandSize w:val="1"/>
      <w:tblStyleColBandSize w:val="1"/>
    </w:tblPr>
    <w:tblStylePr w:type="firstRow">
      <w:pPr>
        <w:spacing w:after="0" w:before="0" w:line="240" w:lineRule="auto"/>
      </w:pPr>
      <w:rPr>
        <w:b w:val="1"/>
        <w:color w:val="ffffff"/>
      </w:rPr>
      <w:tblPr/>
      <w:tcPr>
        <w:shd w:color="auto" w:fill="000000" w:val="clear"/>
      </w:tcPr>
    </w:tblStylePr>
    <w:tblStylePr w:type="lastRow">
      <w:pPr>
        <w:spacing w:after="0" w:before="0" w:line="240" w:lineRule="auto"/>
      </w:pPr>
      <w:rPr>
        <w:b w:val="1"/>
      </w:rPr>
      <w:tblPr/>
      <w:tcPr>
        <w:tcBorders>
          <w:top w:color="000000" w:space="0" w:sz="6" w:val="single"/>
          <w:left w:color="000000" w:space="0" w:sz="8" w:val="single"/>
          <w:bottom w:color="000000" w:space="0" w:sz="8" w:val="single"/>
          <w:right w:color="000000" w:space="0" w:sz="8" w:val="single"/>
        </w:tcBorders>
      </w:tcPr>
    </w:tblStylePr>
    <w:tblStylePr w:type="firstCol">
      <w:rPr>
        <w:b w:val="1"/>
      </w:rPr>
    </w:tblStylePr>
    <w:tblStylePr w:type="lastCol">
      <w:rPr>
        <w:b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a3" w:customStyle="1">
    <w:basedOn w:val="TableNormal"/>
    <w:rPr>
      <w:color w:val="366091"/>
    </w:rPr>
    <w:tblPr>
      <w:tblStyleRowBandSize w:val="1"/>
      <w:tblStyleColBandSize w:val="1"/>
    </w:tblPr>
  </w:style>
  <w:style w:type="table" w:styleId="a4" w:customStyle="1">
    <w:basedOn w:val="TableNormal"/>
    <w:rPr>
      <w:color w:val="366091"/>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BalloonText">
    <w:name w:val="Balloon Text"/>
    <w:basedOn w:val="Normal"/>
    <w:link w:val="BalloonTextChar"/>
    <w:uiPriority w:val="99"/>
    <w:semiHidden w:val="1"/>
    <w:unhideWhenUsed w:val="1"/>
    <w:rsid w:val="00786CF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C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366091"/>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2">
    <w:basedOn w:val="TableNormal"/>
    <w:rPr>
      <w:color w:val="366091"/>
    </w:rPr>
    <w:tblPr>
      <w:tblStyleRowBandSize w:val="1"/>
      <w:tblStyleColBandSize w:val="1"/>
      <w:tblCellMar>
        <w:top w:w="0.0" w:type="dxa"/>
        <w:left w:w="108.0" w:type="dxa"/>
        <w:bottom w:w="0.0" w:type="dxa"/>
        <w:right w:w="108.0" w:type="dxa"/>
      </w:tblCellMar>
    </w:tblPr>
  </w:style>
  <w:style w:type="table" w:styleId="Table3">
    <w:basedOn w:val="TableNormal"/>
    <w:rPr>
      <w:color w:val="366091"/>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12" Type="http://schemas.openxmlformats.org/officeDocument/2006/relationships/image" Target="media/image1.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Oc66PrpQxkNYIJ1vYfvc/reZVg==">CgMxLjAyCGguZ2pkZ3hzMgloLjMwajB6bGwyCmlkLjMwajB6bGw4AHIhMWJIMmxXTXNkb19JSnhpeXVXcWZHNDU5NDNQU3kzOUkt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2024-03-12T11:23:00Z</dcterms:created>
  <dc:creator>Rebecca Dobbs</dc:creator>
</cp:coreProperties>
</file>