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65D91750" w:rsidR="00FC6860" w:rsidRPr="00574B16" w:rsidRDefault="008F5A46" w:rsidP="00C71C4F">
          <w:pPr>
            <w:pStyle w:val="Heading1"/>
            <w:rPr>
              <w:rStyle w:val="chrSubTitle"/>
              <w:color w:val="B1173B"/>
            </w:rPr>
          </w:pPr>
          <w:r>
            <w:rPr>
              <w:rStyle w:val="chrSubTitle"/>
              <w:color w:val="B1173B"/>
            </w:rPr>
            <w:t>Access price setting</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1-29T00:00:00Z">
          <w:dateFormat w:val="dd MMMM yyyy"/>
          <w:lid w:val="en-GB"/>
          <w:storeMappedDataAs w:val="dateTime"/>
          <w:calendar w:val="gregorian"/>
        </w:date>
      </w:sdtPr>
      <w:sdtEndPr/>
      <w:sdtContent>
        <w:p w14:paraId="38D7D855" w14:textId="5A8BDEBD" w:rsidR="00FC6860" w:rsidRDefault="00F609D1" w:rsidP="00C71C4F">
          <w:pPr>
            <w:pStyle w:val="Date"/>
          </w:pPr>
          <w:r>
            <w:rPr>
              <w:bCs/>
            </w:rPr>
            <w:t>29 November 2023</w:t>
          </w:r>
        </w:p>
      </w:sdtContent>
    </w:sdt>
    <w:p w14:paraId="512B2E87" w14:textId="77777777" w:rsidR="003E5612" w:rsidRDefault="003E5612" w:rsidP="003E5612"/>
    <w:p w14:paraId="0B23CADF" w14:textId="69C290E7" w:rsidR="003E5612" w:rsidRPr="00574B16" w:rsidRDefault="003E5612" w:rsidP="003E5612">
      <w:pPr>
        <w:pStyle w:val="NormalBulletround"/>
        <w:rPr>
          <w:b/>
          <w:bCs/>
          <w:color w:val="B1173B"/>
        </w:rPr>
      </w:pPr>
      <w:r w:rsidRPr="003E5612">
        <w:rPr>
          <w:b/>
          <w:bCs/>
        </w:rPr>
        <w:t xml:space="preserve">CPV Code: </w:t>
      </w:r>
      <w:r w:rsidR="00D52D61" w:rsidRPr="00D52D61">
        <w:rPr>
          <w:b/>
          <w:bCs/>
          <w:color w:val="B1173B"/>
        </w:rPr>
        <w:t>79400000</w:t>
      </w:r>
    </w:p>
    <w:p w14:paraId="4B92FCBC" w14:textId="4D1EE6E7"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D52D61">
        <w:rPr>
          <w:b/>
          <w:bCs/>
          <w:color w:val="B1173B"/>
        </w:rPr>
        <w:t>ORR/CT/23-53</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7FF25040" w14:textId="0C8ED809" w:rsidR="00D52D61" w:rsidRDefault="00FC6860">
      <w:pPr>
        <w:pStyle w:val="TOC1"/>
        <w:rPr>
          <w:rFonts w:asciiTheme="minorHAnsi" w:eastAsiaTheme="minorEastAsia" w:hAnsiTheme="minorHAnsi"/>
          <w:b w:val="0"/>
          <w:bCs w:val="0"/>
          <w:color w:val="auto"/>
          <w:kern w:val="2"/>
          <w:sz w:val="22"/>
          <w:lang w:val="en-US"/>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52064804" w:history="1">
        <w:r w:rsidR="00D52D61" w:rsidRPr="00CF0398">
          <w:rPr>
            <w:rStyle w:val="Hyperlink"/>
          </w:rPr>
          <w:t>Purpose of the document</w:t>
        </w:r>
        <w:r w:rsidR="00D52D61">
          <w:rPr>
            <w:webHidden/>
          </w:rPr>
          <w:tab/>
        </w:r>
        <w:r w:rsidR="00D52D61">
          <w:rPr>
            <w:webHidden/>
          </w:rPr>
          <w:fldChar w:fldCharType="begin"/>
        </w:r>
        <w:r w:rsidR="00D52D61">
          <w:rPr>
            <w:webHidden/>
          </w:rPr>
          <w:instrText xml:space="preserve"> PAGEREF _Toc152064804 \h </w:instrText>
        </w:r>
        <w:r w:rsidR="00D52D61">
          <w:rPr>
            <w:webHidden/>
          </w:rPr>
        </w:r>
        <w:r w:rsidR="00D52D61">
          <w:rPr>
            <w:webHidden/>
          </w:rPr>
          <w:fldChar w:fldCharType="separate"/>
        </w:r>
        <w:r w:rsidR="00D52D61">
          <w:rPr>
            <w:webHidden/>
          </w:rPr>
          <w:t>3</w:t>
        </w:r>
        <w:r w:rsidR="00D52D61">
          <w:rPr>
            <w:webHidden/>
          </w:rPr>
          <w:fldChar w:fldCharType="end"/>
        </w:r>
      </w:hyperlink>
    </w:p>
    <w:p w14:paraId="0DFDA7FB" w14:textId="7AAA4E7E" w:rsidR="00D52D61" w:rsidRDefault="00F609D1">
      <w:pPr>
        <w:pStyle w:val="TOC1"/>
        <w:rPr>
          <w:rFonts w:asciiTheme="minorHAnsi" w:eastAsiaTheme="minorEastAsia" w:hAnsiTheme="minorHAnsi"/>
          <w:b w:val="0"/>
          <w:bCs w:val="0"/>
          <w:color w:val="auto"/>
          <w:kern w:val="2"/>
          <w:sz w:val="22"/>
          <w:lang w:val="en-US"/>
          <w14:ligatures w14:val="standardContextual"/>
        </w:rPr>
      </w:pPr>
      <w:hyperlink w:anchor="_Toc152064805" w:history="1">
        <w:r w:rsidR="00D52D61" w:rsidRPr="00CF0398">
          <w:rPr>
            <w:rStyle w:val="Hyperlink"/>
          </w:rPr>
          <w:t>1.</w:t>
        </w:r>
        <w:r w:rsidR="00D52D61">
          <w:rPr>
            <w:rFonts w:asciiTheme="minorHAnsi" w:eastAsiaTheme="minorEastAsia" w:hAnsiTheme="minorHAnsi"/>
            <w:b w:val="0"/>
            <w:bCs w:val="0"/>
            <w:color w:val="auto"/>
            <w:kern w:val="2"/>
            <w:sz w:val="22"/>
            <w:lang w:val="en-US"/>
            <w14:ligatures w14:val="standardContextual"/>
          </w:rPr>
          <w:tab/>
        </w:r>
        <w:r w:rsidR="00D52D61" w:rsidRPr="00CF0398">
          <w:rPr>
            <w:rStyle w:val="Hyperlink"/>
          </w:rPr>
          <w:t>Introduction to the Office of Rail and Road</w:t>
        </w:r>
        <w:r w:rsidR="00D52D61">
          <w:rPr>
            <w:webHidden/>
          </w:rPr>
          <w:tab/>
        </w:r>
        <w:r w:rsidR="00D52D61">
          <w:rPr>
            <w:webHidden/>
          </w:rPr>
          <w:fldChar w:fldCharType="begin"/>
        </w:r>
        <w:r w:rsidR="00D52D61">
          <w:rPr>
            <w:webHidden/>
          </w:rPr>
          <w:instrText xml:space="preserve"> PAGEREF _Toc152064805 \h </w:instrText>
        </w:r>
        <w:r w:rsidR="00D52D61">
          <w:rPr>
            <w:webHidden/>
          </w:rPr>
        </w:r>
        <w:r w:rsidR="00D52D61">
          <w:rPr>
            <w:webHidden/>
          </w:rPr>
          <w:fldChar w:fldCharType="separate"/>
        </w:r>
        <w:r w:rsidR="00D52D61">
          <w:rPr>
            <w:webHidden/>
          </w:rPr>
          <w:t>4</w:t>
        </w:r>
        <w:r w:rsidR="00D52D61">
          <w:rPr>
            <w:webHidden/>
          </w:rPr>
          <w:fldChar w:fldCharType="end"/>
        </w:r>
      </w:hyperlink>
    </w:p>
    <w:p w14:paraId="5721FE0E" w14:textId="20E2D63B"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06" w:history="1">
        <w:r w:rsidR="00D52D61" w:rsidRPr="00CF0398">
          <w:rPr>
            <w:rStyle w:val="Hyperlink"/>
            <w:noProof/>
          </w:rPr>
          <w:t>Our strategic objectives</w:t>
        </w:r>
        <w:r w:rsidR="00D52D61">
          <w:rPr>
            <w:noProof/>
            <w:webHidden/>
          </w:rPr>
          <w:tab/>
        </w:r>
        <w:r w:rsidR="00D52D61">
          <w:rPr>
            <w:noProof/>
            <w:webHidden/>
          </w:rPr>
          <w:fldChar w:fldCharType="begin"/>
        </w:r>
        <w:r w:rsidR="00D52D61">
          <w:rPr>
            <w:noProof/>
            <w:webHidden/>
          </w:rPr>
          <w:instrText xml:space="preserve"> PAGEREF _Toc152064806 \h </w:instrText>
        </w:r>
        <w:r w:rsidR="00D52D61">
          <w:rPr>
            <w:noProof/>
            <w:webHidden/>
          </w:rPr>
        </w:r>
        <w:r w:rsidR="00D52D61">
          <w:rPr>
            <w:noProof/>
            <w:webHidden/>
          </w:rPr>
          <w:fldChar w:fldCharType="separate"/>
        </w:r>
        <w:r w:rsidR="00D52D61">
          <w:rPr>
            <w:noProof/>
            <w:webHidden/>
          </w:rPr>
          <w:t>4</w:t>
        </w:r>
        <w:r w:rsidR="00D52D61">
          <w:rPr>
            <w:noProof/>
            <w:webHidden/>
          </w:rPr>
          <w:fldChar w:fldCharType="end"/>
        </w:r>
      </w:hyperlink>
    </w:p>
    <w:p w14:paraId="4E1C4FED" w14:textId="4474DA21"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07" w:history="1">
        <w:r w:rsidR="00D52D61" w:rsidRPr="00CF0398">
          <w:rPr>
            <w:rStyle w:val="Hyperlink"/>
            <w:noProof/>
          </w:rPr>
          <w:t>Supplying ORR</w:t>
        </w:r>
        <w:r w:rsidR="00D52D61">
          <w:rPr>
            <w:noProof/>
            <w:webHidden/>
          </w:rPr>
          <w:tab/>
        </w:r>
        <w:r w:rsidR="00D52D61">
          <w:rPr>
            <w:noProof/>
            <w:webHidden/>
          </w:rPr>
          <w:fldChar w:fldCharType="begin"/>
        </w:r>
        <w:r w:rsidR="00D52D61">
          <w:rPr>
            <w:noProof/>
            <w:webHidden/>
          </w:rPr>
          <w:instrText xml:space="preserve"> PAGEREF _Toc152064807 \h </w:instrText>
        </w:r>
        <w:r w:rsidR="00D52D61">
          <w:rPr>
            <w:noProof/>
            <w:webHidden/>
          </w:rPr>
        </w:r>
        <w:r w:rsidR="00D52D61">
          <w:rPr>
            <w:noProof/>
            <w:webHidden/>
          </w:rPr>
          <w:fldChar w:fldCharType="separate"/>
        </w:r>
        <w:r w:rsidR="00D52D61">
          <w:rPr>
            <w:noProof/>
            <w:webHidden/>
          </w:rPr>
          <w:t>4</w:t>
        </w:r>
        <w:r w:rsidR="00D52D61">
          <w:rPr>
            <w:noProof/>
            <w:webHidden/>
          </w:rPr>
          <w:fldChar w:fldCharType="end"/>
        </w:r>
      </w:hyperlink>
    </w:p>
    <w:p w14:paraId="2F332611" w14:textId="22EA6DD6" w:rsidR="00D52D61" w:rsidRDefault="00F609D1">
      <w:pPr>
        <w:pStyle w:val="TOC1"/>
        <w:rPr>
          <w:rFonts w:asciiTheme="minorHAnsi" w:eastAsiaTheme="minorEastAsia" w:hAnsiTheme="minorHAnsi"/>
          <w:b w:val="0"/>
          <w:bCs w:val="0"/>
          <w:color w:val="auto"/>
          <w:kern w:val="2"/>
          <w:sz w:val="22"/>
          <w:lang w:val="en-US"/>
          <w14:ligatures w14:val="standardContextual"/>
        </w:rPr>
      </w:pPr>
      <w:hyperlink w:anchor="_Toc152064808" w:history="1">
        <w:r w:rsidR="00D52D61" w:rsidRPr="00CF0398">
          <w:rPr>
            <w:rStyle w:val="Hyperlink"/>
          </w:rPr>
          <w:t>Small and Medium Enterprises</w:t>
        </w:r>
        <w:r w:rsidR="00D52D61">
          <w:rPr>
            <w:webHidden/>
          </w:rPr>
          <w:tab/>
        </w:r>
        <w:r w:rsidR="00D52D61">
          <w:rPr>
            <w:webHidden/>
          </w:rPr>
          <w:fldChar w:fldCharType="begin"/>
        </w:r>
        <w:r w:rsidR="00D52D61">
          <w:rPr>
            <w:webHidden/>
          </w:rPr>
          <w:instrText xml:space="preserve"> PAGEREF _Toc152064808 \h </w:instrText>
        </w:r>
        <w:r w:rsidR="00D52D61">
          <w:rPr>
            <w:webHidden/>
          </w:rPr>
        </w:r>
        <w:r w:rsidR="00D52D61">
          <w:rPr>
            <w:webHidden/>
          </w:rPr>
          <w:fldChar w:fldCharType="separate"/>
        </w:r>
        <w:r w:rsidR="00D52D61">
          <w:rPr>
            <w:webHidden/>
          </w:rPr>
          <w:t>6</w:t>
        </w:r>
        <w:r w:rsidR="00D52D61">
          <w:rPr>
            <w:webHidden/>
          </w:rPr>
          <w:fldChar w:fldCharType="end"/>
        </w:r>
      </w:hyperlink>
    </w:p>
    <w:p w14:paraId="58483463" w14:textId="71447162" w:rsidR="00D52D61" w:rsidRDefault="00F609D1">
      <w:pPr>
        <w:pStyle w:val="TOC1"/>
        <w:rPr>
          <w:rFonts w:asciiTheme="minorHAnsi" w:eastAsiaTheme="minorEastAsia" w:hAnsiTheme="minorHAnsi"/>
          <w:b w:val="0"/>
          <w:bCs w:val="0"/>
          <w:color w:val="auto"/>
          <w:kern w:val="2"/>
          <w:sz w:val="22"/>
          <w:lang w:val="en-US"/>
          <w14:ligatures w14:val="standardContextual"/>
        </w:rPr>
      </w:pPr>
      <w:hyperlink w:anchor="_Toc152064809" w:history="1">
        <w:r w:rsidR="00D52D61" w:rsidRPr="00CF0398">
          <w:rPr>
            <w:rStyle w:val="Hyperlink"/>
          </w:rPr>
          <w:t>2.</w:t>
        </w:r>
        <w:r w:rsidR="00D52D61">
          <w:rPr>
            <w:rFonts w:asciiTheme="minorHAnsi" w:eastAsiaTheme="minorEastAsia" w:hAnsiTheme="minorHAnsi"/>
            <w:b w:val="0"/>
            <w:bCs w:val="0"/>
            <w:color w:val="auto"/>
            <w:kern w:val="2"/>
            <w:sz w:val="22"/>
            <w:lang w:val="en-US"/>
            <w14:ligatures w14:val="standardContextual"/>
          </w:rPr>
          <w:tab/>
        </w:r>
        <w:r w:rsidR="00D52D61" w:rsidRPr="00CF0398">
          <w:rPr>
            <w:rStyle w:val="Hyperlink"/>
          </w:rPr>
          <w:t>Statement of Requirement</w:t>
        </w:r>
        <w:r w:rsidR="00D52D61">
          <w:rPr>
            <w:webHidden/>
          </w:rPr>
          <w:tab/>
        </w:r>
        <w:r w:rsidR="00D52D61">
          <w:rPr>
            <w:webHidden/>
          </w:rPr>
          <w:fldChar w:fldCharType="begin"/>
        </w:r>
        <w:r w:rsidR="00D52D61">
          <w:rPr>
            <w:webHidden/>
          </w:rPr>
          <w:instrText xml:space="preserve"> PAGEREF _Toc152064809 \h </w:instrText>
        </w:r>
        <w:r w:rsidR="00D52D61">
          <w:rPr>
            <w:webHidden/>
          </w:rPr>
        </w:r>
        <w:r w:rsidR="00D52D61">
          <w:rPr>
            <w:webHidden/>
          </w:rPr>
          <w:fldChar w:fldCharType="separate"/>
        </w:r>
        <w:r w:rsidR="00D52D61">
          <w:rPr>
            <w:webHidden/>
          </w:rPr>
          <w:t>7</w:t>
        </w:r>
        <w:r w:rsidR="00D52D61">
          <w:rPr>
            <w:webHidden/>
          </w:rPr>
          <w:fldChar w:fldCharType="end"/>
        </w:r>
      </w:hyperlink>
    </w:p>
    <w:p w14:paraId="650EAE7A" w14:textId="25AD91FC"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0" w:history="1">
        <w:r w:rsidR="00D52D61" w:rsidRPr="00CF0398">
          <w:rPr>
            <w:rStyle w:val="Hyperlink"/>
            <w:noProof/>
          </w:rPr>
          <w:t>2.1 Background of the project</w:t>
        </w:r>
        <w:r w:rsidR="00D52D61">
          <w:rPr>
            <w:noProof/>
            <w:webHidden/>
          </w:rPr>
          <w:tab/>
        </w:r>
        <w:r w:rsidR="00D52D61">
          <w:rPr>
            <w:noProof/>
            <w:webHidden/>
          </w:rPr>
          <w:fldChar w:fldCharType="begin"/>
        </w:r>
        <w:r w:rsidR="00D52D61">
          <w:rPr>
            <w:noProof/>
            <w:webHidden/>
          </w:rPr>
          <w:instrText xml:space="preserve"> PAGEREF _Toc152064810 \h </w:instrText>
        </w:r>
        <w:r w:rsidR="00D52D61">
          <w:rPr>
            <w:noProof/>
            <w:webHidden/>
          </w:rPr>
        </w:r>
        <w:r w:rsidR="00D52D61">
          <w:rPr>
            <w:noProof/>
            <w:webHidden/>
          </w:rPr>
          <w:fldChar w:fldCharType="separate"/>
        </w:r>
        <w:r w:rsidR="00D52D61">
          <w:rPr>
            <w:noProof/>
            <w:webHidden/>
          </w:rPr>
          <w:t>7</w:t>
        </w:r>
        <w:r w:rsidR="00D52D61">
          <w:rPr>
            <w:noProof/>
            <w:webHidden/>
          </w:rPr>
          <w:fldChar w:fldCharType="end"/>
        </w:r>
      </w:hyperlink>
    </w:p>
    <w:p w14:paraId="7F486977" w14:textId="3E530E0E"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1" w:history="1">
        <w:r w:rsidR="00D52D61" w:rsidRPr="00CF0398">
          <w:rPr>
            <w:rStyle w:val="Hyperlink"/>
            <w:noProof/>
          </w:rPr>
          <w:t>2.2 Project Objectives and Scope</w:t>
        </w:r>
        <w:r w:rsidR="00D52D61">
          <w:rPr>
            <w:noProof/>
            <w:webHidden/>
          </w:rPr>
          <w:tab/>
        </w:r>
        <w:r w:rsidR="00D52D61">
          <w:rPr>
            <w:noProof/>
            <w:webHidden/>
          </w:rPr>
          <w:fldChar w:fldCharType="begin"/>
        </w:r>
        <w:r w:rsidR="00D52D61">
          <w:rPr>
            <w:noProof/>
            <w:webHidden/>
          </w:rPr>
          <w:instrText xml:space="preserve"> PAGEREF _Toc152064811 \h </w:instrText>
        </w:r>
        <w:r w:rsidR="00D52D61">
          <w:rPr>
            <w:noProof/>
            <w:webHidden/>
          </w:rPr>
        </w:r>
        <w:r w:rsidR="00D52D61">
          <w:rPr>
            <w:noProof/>
            <w:webHidden/>
          </w:rPr>
          <w:fldChar w:fldCharType="separate"/>
        </w:r>
        <w:r w:rsidR="00D52D61">
          <w:rPr>
            <w:noProof/>
            <w:webHidden/>
          </w:rPr>
          <w:t>7</w:t>
        </w:r>
        <w:r w:rsidR="00D52D61">
          <w:rPr>
            <w:noProof/>
            <w:webHidden/>
          </w:rPr>
          <w:fldChar w:fldCharType="end"/>
        </w:r>
      </w:hyperlink>
    </w:p>
    <w:p w14:paraId="1802F0B2" w14:textId="04EB5F41"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2" w:history="1">
        <w:r w:rsidR="00D52D61" w:rsidRPr="00CF0398">
          <w:rPr>
            <w:rStyle w:val="Hyperlink"/>
            <w:noProof/>
          </w:rPr>
          <w:t>2.3 Project Outputs, Deliverables and Contract Management</w:t>
        </w:r>
        <w:r w:rsidR="00D52D61">
          <w:rPr>
            <w:noProof/>
            <w:webHidden/>
          </w:rPr>
          <w:tab/>
        </w:r>
        <w:r w:rsidR="00D52D61">
          <w:rPr>
            <w:noProof/>
            <w:webHidden/>
          </w:rPr>
          <w:fldChar w:fldCharType="begin"/>
        </w:r>
        <w:r w:rsidR="00D52D61">
          <w:rPr>
            <w:noProof/>
            <w:webHidden/>
          </w:rPr>
          <w:instrText xml:space="preserve"> PAGEREF _Toc152064812 \h </w:instrText>
        </w:r>
        <w:r w:rsidR="00D52D61">
          <w:rPr>
            <w:noProof/>
            <w:webHidden/>
          </w:rPr>
        </w:r>
        <w:r w:rsidR="00D52D61">
          <w:rPr>
            <w:noProof/>
            <w:webHidden/>
          </w:rPr>
          <w:fldChar w:fldCharType="separate"/>
        </w:r>
        <w:r w:rsidR="00D52D61">
          <w:rPr>
            <w:noProof/>
            <w:webHidden/>
          </w:rPr>
          <w:t>8</w:t>
        </w:r>
        <w:r w:rsidR="00D52D61">
          <w:rPr>
            <w:noProof/>
            <w:webHidden/>
          </w:rPr>
          <w:fldChar w:fldCharType="end"/>
        </w:r>
      </w:hyperlink>
    </w:p>
    <w:p w14:paraId="43D896E2" w14:textId="7C370D5D"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3" w:history="1">
        <w:r w:rsidR="00D52D61" w:rsidRPr="00CF0398">
          <w:rPr>
            <w:rStyle w:val="Hyperlink"/>
            <w:noProof/>
          </w:rPr>
          <w:t>2.4 Project Timescales</w:t>
        </w:r>
        <w:r w:rsidR="00D52D61">
          <w:rPr>
            <w:noProof/>
            <w:webHidden/>
          </w:rPr>
          <w:tab/>
        </w:r>
        <w:r w:rsidR="00D52D61">
          <w:rPr>
            <w:noProof/>
            <w:webHidden/>
          </w:rPr>
          <w:fldChar w:fldCharType="begin"/>
        </w:r>
        <w:r w:rsidR="00D52D61">
          <w:rPr>
            <w:noProof/>
            <w:webHidden/>
          </w:rPr>
          <w:instrText xml:space="preserve"> PAGEREF _Toc152064813 \h </w:instrText>
        </w:r>
        <w:r w:rsidR="00D52D61">
          <w:rPr>
            <w:noProof/>
            <w:webHidden/>
          </w:rPr>
        </w:r>
        <w:r w:rsidR="00D52D61">
          <w:rPr>
            <w:noProof/>
            <w:webHidden/>
          </w:rPr>
          <w:fldChar w:fldCharType="separate"/>
        </w:r>
        <w:r w:rsidR="00D52D61">
          <w:rPr>
            <w:noProof/>
            <w:webHidden/>
          </w:rPr>
          <w:t>9</w:t>
        </w:r>
        <w:r w:rsidR="00D52D61">
          <w:rPr>
            <w:noProof/>
            <w:webHidden/>
          </w:rPr>
          <w:fldChar w:fldCharType="end"/>
        </w:r>
      </w:hyperlink>
    </w:p>
    <w:p w14:paraId="67213B1C" w14:textId="78D40CA8"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4" w:history="1">
        <w:r w:rsidR="00D52D61" w:rsidRPr="00CF0398">
          <w:rPr>
            <w:rStyle w:val="Hyperlink"/>
            <w:noProof/>
          </w:rPr>
          <w:t>2.5 Budget and Payment Schedule</w:t>
        </w:r>
        <w:r w:rsidR="00D52D61">
          <w:rPr>
            <w:noProof/>
            <w:webHidden/>
          </w:rPr>
          <w:tab/>
        </w:r>
        <w:r w:rsidR="00D52D61">
          <w:rPr>
            <w:noProof/>
            <w:webHidden/>
          </w:rPr>
          <w:fldChar w:fldCharType="begin"/>
        </w:r>
        <w:r w:rsidR="00D52D61">
          <w:rPr>
            <w:noProof/>
            <w:webHidden/>
          </w:rPr>
          <w:instrText xml:space="preserve"> PAGEREF _Toc152064814 \h </w:instrText>
        </w:r>
        <w:r w:rsidR="00D52D61">
          <w:rPr>
            <w:noProof/>
            <w:webHidden/>
          </w:rPr>
        </w:r>
        <w:r w:rsidR="00D52D61">
          <w:rPr>
            <w:noProof/>
            <w:webHidden/>
          </w:rPr>
          <w:fldChar w:fldCharType="separate"/>
        </w:r>
        <w:r w:rsidR="00D52D61">
          <w:rPr>
            <w:noProof/>
            <w:webHidden/>
          </w:rPr>
          <w:t>10</w:t>
        </w:r>
        <w:r w:rsidR="00D52D61">
          <w:rPr>
            <w:noProof/>
            <w:webHidden/>
          </w:rPr>
          <w:fldChar w:fldCharType="end"/>
        </w:r>
      </w:hyperlink>
    </w:p>
    <w:p w14:paraId="00E5874E" w14:textId="043D8496"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5" w:history="1">
        <w:r w:rsidR="00D52D61" w:rsidRPr="00CF0398">
          <w:rPr>
            <w:rStyle w:val="Hyperlink"/>
            <w:noProof/>
          </w:rPr>
          <w:t>2.6 Further project related information for bidders</w:t>
        </w:r>
        <w:r w:rsidR="00D52D61">
          <w:rPr>
            <w:noProof/>
            <w:webHidden/>
          </w:rPr>
          <w:tab/>
        </w:r>
        <w:r w:rsidR="00D52D61">
          <w:rPr>
            <w:noProof/>
            <w:webHidden/>
          </w:rPr>
          <w:fldChar w:fldCharType="begin"/>
        </w:r>
        <w:r w:rsidR="00D52D61">
          <w:rPr>
            <w:noProof/>
            <w:webHidden/>
          </w:rPr>
          <w:instrText xml:space="preserve"> PAGEREF _Toc152064815 \h </w:instrText>
        </w:r>
        <w:r w:rsidR="00D52D61">
          <w:rPr>
            <w:noProof/>
            <w:webHidden/>
          </w:rPr>
        </w:r>
        <w:r w:rsidR="00D52D61">
          <w:rPr>
            <w:noProof/>
            <w:webHidden/>
          </w:rPr>
          <w:fldChar w:fldCharType="separate"/>
        </w:r>
        <w:r w:rsidR="00D52D61">
          <w:rPr>
            <w:noProof/>
            <w:webHidden/>
          </w:rPr>
          <w:t>10</w:t>
        </w:r>
        <w:r w:rsidR="00D52D61">
          <w:rPr>
            <w:noProof/>
            <w:webHidden/>
          </w:rPr>
          <w:fldChar w:fldCharType="end"/>
        </w:r>
      </w:hyperlink>
    </w:p>
    <w:p w14:paraId="00845E8E" w14:textId="15D8FBDB" w:rsidR="00D52D61" w:rsidRDefault="00F609D1">
      <w:pPr>
        <w:pStyle w:val="TOC1"/>
        <w:rPr>
          <w:rFonts w:asciiTheme="minorHAnsi" w:eastAsiaTheme="minorEastAsia" w:hAnsiTheme="minorHAnsi"/>
          <w:b w:val="0"/>
          <w:bCs w:val="0"/>
          <w:color w:val="auto"/>
          <w:kern w:val="2"/>
          <w:sz w:val="22"/>
          <w:lang w:val="en-US"/>
          <w14:ligatures w14:val="standardContextual"/>
        </w:rPr>
      </w:pPr>
      <w:hyperlink w:anchor="_Toc152064816" w:history="1">
        <w:r w:rsidR="00D52D61" w:rsidRPr="00CF0398">
          <w:rPr>
            <w:rStyle w:val="Hyperlink"/>
          </w:rPr>
          <w:t>3.</w:t>
        </w:r>
        <w:r w:rsidR="00D52D61">
          <w:rPr>
            <w:rFonts w:asciiTheme="minorHAnsi" w:eastAsiaTheme="minorEastAsia" w:hAnsiTheme="minorHAnsi"/>
            <w:b w:val="0"/>
            <w:bCs w:val="0"/>
            <w:color w:val="auto"/>
            <w:kern w:val="2"/>
            <w:sz w:val="22"/>
            <w:lang w:val="en-US"/>
            <w14:ligatures w14:val="standardContextual"/>
          </w:rPr>
          <w:tab/>
        </w:r>
        <w:r w:rsidR="00D52D61" w:rsidRPr="00CF0398">
          <w:rPr>
            <w:rStyle w:val="Hyperlink"/>
          </w:rPr>
          <w:t>Tender Response and Evaluation Criteria</w:t>
        </w:r>
        <w:r w:rsidR="00D52D61">
          <w:rPr>
            <w:webHidden/>
          </w:rPr>
          <w:tab/>
        </w:r>
        <w:r w:rsidR="00D52D61">
          <w:rPr>
            <w:webHidden/>
          </w:rPr>
          <w:fldChar w:fldCharType="begin"/>
        </w:r>
        <w:r w:rsidR="00D52D61">
          <w:rPr>
            <w:webHidden/>
          </w:rPr>
          <w:instrText xml:space="preserve"> PAGEREF _Toc152064816 \h </w:instrText>
        </w:r>
        <w:r w:rsidR="00D52D61">
          <w:rPr>
            <w:webHidden/>
          </w:rPr>
        </w:r>
        <w:r w:rsidR="00D52D61">
          <w:rPr>
            <w:webHidden/>
          </w:rPr>
          <w:fldChar w:fldCharType="separate"/>
        </w:r>
        <w:r w:rsidR="00D52D61">
          <w:rPr>
            <w:webHidden/>
          </w:rPr>
          <w:t>12</w:t>
        </w:r>
        <w:r w:rsidR="00D52D61">
          <w:rPr>
            <w:webHidden/>
          </w:rPr>
          <w:fldChar w:fldCharType="end"/>
        </w:r>
      </w:hyperlink>
    </w:p>
    <w:p w14:paraId="712C2F4C" w14:textId="0E8A3923"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7" w:history="1">
        <w:r w:rsidR="00D52D61" w:rsidRPr="00CF0398">
          <w:rPr>
            <w:rStyle w:val="Hyperlink"/>
            <w:noProof/>
          </w:rPr>
          <w:t>3.1 The Tender Response</w:t>
        </w:r>
        <w:r w:rsidR="00D52D61">
          <w:rPr>
            <w:noProof/>
            <w:webHidden/>
          </w:rPr>
          <w:tab/>
        </w:r>
        <w:r w:rsidR="00D52D61">
          <w:rPr>
            <w:noProof/>
            <w:webHidden/>
          </w:rPr>
          <w:fldChar w:fldCharType="begin"/>
        </w:r>
        <w:r w:rsidR="00D52D61">
          <w:rPr>
            <w:noProof/>
            <w:webHidden/>
          </w:rPr>
          <w:instrText xml:space="preserve"> PAGEREF _Toc152064817 \h </w:instrText>
        </w:r>
        <w:r w:rsidR="00D52D61">
          <w:rPr>
            <w:noProof/>
            <w:webHidden/>
          </w:rPr>
        </w:r>
        <w:r w:rsidR="00D52D61">
          <w:rPr>
            <w:noProof/>
            <w:webHidden/>
          </w:rPr>
          <w:fldChar w:fldCharType="separate"/>
        </w:r>
        <w:r w:rsidR="00D52D61">
          <w:rPr>
            <w:noProof/>
            <w:webHidden/>
          </w:rPr>
          <w:t>12</w:t>
        </w:r>
        <w:r w:rsidR="00D52D61">
          <w:rPr>
            <w:noProof/>
            <w:webHidden/>
          </w:rPr>
          <w:fldChar w:fldCharType="end"/>
        </w:r>
      </w:hyperlink>
    </w:p>
    <w:p w14:paraId="471F6769" w14:textId="0995773C"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18" w:history="1">
        <w:r w:rsidR="00D52D61" w:rsidRPr="00CF0398">
          <w:rPr>
            <w:rStyle w:val="Hyperlink"/>
            <w:noProof/>
          </w:rPr>
          <w:t>3.2 Evaluation Criteria</w:t>
        </w:r>
        <w:r w:rsidR="00D52D61">
          <w:rPr>
            <w:noProof/>
            <w:webHidden/>
          </w:rPr>
          <w:tab/>
        </w:r>
        <w:r w:rsidR="00D52D61">
          <w:rPr>
            <w:noProof/>
            <w:webHidden/>
          </w:rPr>
          <w:fldChar w:fldCharType="begin"/>
        </w:r>
        <w:r w:rsidR="00D52D61">
          <w:rPr>
            <w:noProof/>
            <w:webHidden/>
          </w:rPr>
          <w:instrText xml:space="preserve"> PAGEREF _Toc152064818 \h </w:instrText>
        </w:r>
        <w:r w:rsidR="00D52D61">
          <w:rPr>
            <w:noProof/>
            <w:webHidden/>
          </w:rPr>
        </w:r>
        <w:r w:rsidR="00D52D61">
          <w:rPr>
            <w:noProof/>
            <w:webHidden/>
          </w:rPr>
          <w:fldChar w:fldCharType="separate"/>
        </w:r>
        <w:r w:rsidR="00D52D61">
          <w:rPr>
            <w:noProof/>
            <w:webHidden/>
          </w:rPr>
          <w:t>13</w:t>
        </w:r>
        <w:r w:rsidR="00D52D61">
          <w:rPr>
            <w:noProof/>
            <w:webHidden/>
          </w:rPr>
          <w:fldChar w:fldCharType="end"/>
        </w:r>
      </w:hyperlink>
    </w:p>
    <w:p w14:paraId="1ACF0EEC" w14:textId="15378841" w:rsidR="00D52D61" w:rsidRDefault="00F609D1">
      <w:pPr>
        <w:pStyle w:val="TOC1"/>
        <w:rPr>
          <w:rFonts w:asciiTheme="minorHAnsi" w:eastAsiaTheme="minorEastAsia" w:hAnsiTheme="minorHAnsi"/>
          <w:b w:val="0"/>
          <w:bCs w:val="0"/>
          <w:color w:val="auto"/>
          <w:kern w:val="2"/>
          <w:sz w:val="22"/>
          <w:lang w:val="en-US"/>
          <w14:ligatures w14:val="standardContextual"/>
        </w:rPr>
      </w:pPr>
      <w:hyperlink w:anchor="_Toc152064819" w:history="1">
        <w:r w:rsidR="00D52D61" w:rsidRPr="00CF0398">
          <w:rPr>
            <w:rStyle w:val="Hyperlink"/>
          </w:rPr>
          <w:t>4.</w:t>
        </w:r>
        <w:r w:rsidR="00D52D61">
          <w:rPr>
            <w:rFonts w:asciiTheme="minorHAnsi" w:eastAsiaTheme="minorEastAsia" w:hAnsiTheme="minorHAnsi"/>
            <w:b w:val="0"/>
            <w:bCs w:val="0"/>
            <w:color w:val="auto"/>
            <w:kern w:val="2"/>
            <w:sz w:val="22"/>
            <w:lang w:val="en-US"/>
            <w14:ligatures w14:val="standardContextual"/>
          </w:rPr>
          <w:tab/>
        </w:r>
        <w:r w:rsidR="00D52D61" w:rsidRPr="00CF0398">
          <w:rPr>
            <w:rStyle w:val="Hyperlink"/>
          </w:rPr>
          <w:t>Procurement Procedures</w:t>
        </w:r>
        <w:r w:rsidR="00D52D61">
          <w:rPr>
            <w:webHidden/>
          </w:rPr>
          <w:tab/>
        </w:r>
        <w:r w:rsidR="00D52D61">
          <w:rPr>
            <w:webHidden/>
          </w:rPr>
          <w:fldChar w:fldCharType="begin"/>
        </w:r>
        <w:r w:rsidR="00D52D61">
          <w:rPr>
            <w:webHidden/>
          </w:rPr>
          <w:instrText xml:space="preserve"> PAGEREF _Toc152064819 \h </w:instrText>
        </w:r>
        <w:r w:rsidR="00D52D61">
          <w:rPr>
            <w:webHidden/>
          </w:rPr>
        </w:r>
        <w:r w:rsidR="00D52D61">
          <w:rPr>
            <w:webHidden/>
          </w:rPr>
          <w:fldChar w:fldCharType="separate"/>
        </w:r>
        <w:r w:rsidR="00D52D61">
          <w:rPr>
            <w:webHidden/>
          </w:rPr>
          <w:t>18</w:t>
        </w:r>
        <w:r w:rsidR="00D52D61">
          <w:rPr>
            <w:webHidden/>
          </w:rPr>
          <w:fldChar w:fldCharType="end"/>
        </w:r>
      </w:hyperlink>
    </w:p>
    <w:p w14:paraId="147C3D2B" w14:textId="02F641EC"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20" w:history="1">
        <w:r w:rsidR="00D52D61" w:rsidRPr="00CF0398">
          <w:rPr>
            <w:rStyle w:val="Hyperlink"/>
            <w:noProof/>
          </w:rPr>
          <w:t>Tendering Timetable</w:t>
        </w:r>
        <w:r w:rsidR="00D52D61">
          <w:rPr>
            <w:noProof/>
            <w:webHidden/>
          </w:rPr>
          <w:tab/>
        </w:r>
        <w:r w:rsidR="00D52D61">
          <w:rPr>
            <w:noProof/>
            <w:webHidden/>
          </w:rPr>
          <w:fldChar w:fldCharType="begin"/>
        </w:r>
        <w:r w:rsidR="00D52D61">
          <w:rPr>
            <w:noProof/>
            <w:webHidden/>
          </w:rPr>
          <w:instrText xml:space="preserve"> PAGEREF _Toc152064820 \h </w:instrText>
        </w:r>
        <w:r w:rsidR="00D52D61">
          <w:rPr>
            <w:noProof/>
            <w:webHidden/>
          </w:rPr>
        </w:r>
        <w:r w:rsidR="00D52D61">
          <w:rPr>
            <w:noProof/>
            <w:webHidden/>
          </w:rPr>
          <w:fldChar w:fldCharType="separate"/>
        </w:r>
        <w:r w:rsidR="00D52D61">
          <w:rPr>
            <w:noProof/>
            <w:webHidden/>
          </w:rPr>
          <w:t>18</w:t>
        </w:r>
        <w:r w:rsidR="00D52D61">
          <w:rPr>
            <w:noProof/>
            <w:webHidden/>
          </w:rPr>
          <w:fldChar w:fldCharType="end"/>
        </w:r>
      </w:hyperlink>
    </w:p>
    <w:p w14:paraId="7D434E65" w14:textId="6E259024" w:rsidR="00D52D61" w:rsidRDefault="00F609D1">
      <w:pPr>
        <w:pStyle w:val="TOC2"/>
        <w:tabs>
          <w:tab w:val="right" w:pos="9628"/>
        </w:tabs>
        <w:rPr>
          <w:rFonts w:asciiTheme="minorHAnsi" w:eastAsiaTheme="minorEastAsia" w:hAnsiTheme="minorHAnsi"/>
          <w:noProof/>
          <w:kern w:val="2"/>
          <w:sz w:val="22"/>
          <w:lang w:val="en-US"/>
          <w14:ligatures w14:val="standardContextual"/>
        </w:rPr>
      </w:pPr>
      <w:hyperlink w:anchor="_Toc152064821" w:history="1">
        <w:r w:rsidR="00D52D61" w:rsidRPr="00CF0398">
          <w:rPr>
            <w:rStyle w:val="Hyperlink"/>
            <w:noProof/>
          </w:rPr>
          <w:t>Tendering Instructions and Guidance</w:t>
        </w:r>
        <w:r w:rsidR="00D52D61">
          <w:rPr>
            <w:noProof/>
            <w:webHidden/>
          </w:rPr>
          <w:tab/>
        </w:r>
        <w:r w:rsidR="00D52D61">
          <w:rPr>
            <w:noProof/>
            <w:webHidden/>
          </w:rPr>
          <w:fldChar w:fldCharType="begin"/>
        </w:r>
        <w:r w:rsidR="00D52D61">
          <w:rPr>
            <w:noProof/>
            <w:webHidden/>
          </w:rPr>
          <w:instrText xml:space="preserve"> PAGEREF _Toc152064821 \h </w:instrText>
        </w:r>
        <w:r w:rsidR="00D52D61">
          <w:rPr>
            <w:noProof/>
            <w:webHidden/>
          </w:rPr>
        </w:r>
        <w:r w:rsidR="00D52D61">
          <w:rPr>
            <w:noProof/>
            <w:webHidden/>
          </w:rPr>
          <w:fldChar w:fldCharType="separate"/>
        </w:r>
        <w:r w:rsidR="00D52D61">
          <w:rPr>
            <w:noProof/>
            <w:webHidden/>
          </w:rPr>
          <w:t>18</w:t>
        </w:r>
        <w:r w:rsidR="00D52D61">
          <w:rPr>
            <w:noProof/>
            <w:webHidden/>
          </w:rPr>
          <w:fldChar w:fldCharType="end"/>
        </w:r>
      </w:hyperlink>
    </w:p>
    <w:p w14:paraId="6B48D324" w14:textId="1A23663D"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52064804"/>
      <w:r>
        <w:lastRenderedPageBreak/>
        <w:t>Purpose of the document</w:t>
      </w:r>
      <w:bookmarkEnd w:id="4"/>
    </w:p>
    <w:p w14:paraId="5CB061E3" w14:textId="68A9020A" w:rsidR="00A02455" w:rsidRDefault="00A02455" w:rsidP="00A02455">
      <w:r>
        <w:t xml:space="preserve">The purpose of this document is to invite proposals for </w:t>
      </w:r>
      <w:r w:rsidR="008F5A46">
        <w:rPr>
          <w:b/>
          <w:bCs/>
          <w:color w:val="B1173B"/>
        </w:rPr>
        <w:t>Access price setting</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52064805"/>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52064806"/>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52064807"/>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52064808"/>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24F263C3" w14:textId="77777777" w:rsidR="00136FA0" w:rsidRDefault="00136FA0" w:rsidP="00D776B6"/>
    <w:p w14:paraId="16E292C2" w14:textId="671B7F60"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52064809"/>
      <w:r>
        <w:lastRenderedPageBreak/>
        <w:t>Statement of Requirement</w:t>
      </w:r>
      <w:bookmarkEnd w:id="9"/>
    </w:p>
    <w:p w14:paraId="0C918979" w14:textId="4CE3B4F2" w:rsidR="00F20E70" w:rsidRDefault="00F20E70" w:rsidP="00F20E70">
      <w:pPr>
        <w:pStyle w:val="Heading3"/>
      </w:pPr>
      <w:bookmarkStart w:id="10" w:name="_Toc152064810"/>
      <w:r>
        <w:t>2.1 Background of the project</w:t>
      </w:r>
      <w:bookmarkEnd w:id="10"/>
    </w:p>
    <w:p w14:paraId="22765B86" w14:textId="2C2EAE52" w:rsidR="00EE0391" w:rsidRDefault="00EE0391" w:rsidP="00AA796A">
      <w:r>
        <w:t>The</w:t>
      </w:r>
      <w:r w:rsidRPr="00EE0391">
        <w:t xml:space="preserve"> Directorate of Economics, Finance and Markets (EFM) </w:t>
      </w:r>
      <w:r>
        <w:t xml:space="preserve">within ORR </w:t>
      </w:r>
      <w:r w:rsidRPr="00EE0391">
        <w:t>leads on all aspects of financial and economic analysis at ORR, the periodic review of Network Rail’s outputs and funding and ORR’s competition work</w:t>
      </w:r>
      <w:r w:rsidR="000D2E61">
        <w:t>,</w:t>
      </w:r>
      <w:r w:rsidRPr="00EE0391">
        <w:t xml:space="preserve"> including market studies and casework. The directorate is comprised of three teams: Regulatory Economics &amp; Finance, Periodic Reviews &amp; Monitoring and Competition.</w:t>
      </w:r>
    </w:p>
    <w:p w14:paraId="4D84C0A3" w14:textId="05814E3E" w:rsidR="00AA796A" w:rsidRDefault="00AA796A" w:rsidP="00AA796A">
      <w:r>
        <w:t xml:space="preserve">On 31 October we published our </w:t>
      </w:r>
      <w:r w:rsidRPr="00AA796A">
        <w:t xml:space="preserve">periodic review (PR23) </w:t>
      </w:r>
      <w:r>
        <w:t xml:space="preserve">that </w:t>
      </w:r>
      <w:r w:rsidRPr="00AA796A">
        <w:t>looks at Network Rail’s expenditure and business plans across the next five years (2024-2029), known as Control Period 7 (CP7), and sets out our expectations for the company’s performance.</w:t>
      </w:r>
      <w:r>
        <w:t xml:space="preserve"> </w:t>
      </w:r>
      <w:r w:rsidRPr="00AA796A">
        <w:t xml:space="preserve">Setting charges is central to the periodic review and has been highly contentious during PR23. </w:t>
      </w:r>
    </w:p>
    <w:p w14:paraId="06DE5D77" w14:textId="16810FF7" w:rsidR="00EE0391" w:rsidRDefault="00AA796A" w:rsidP="00AA796A">
      <w:r w:rsidRPr="00AA796A">
        <w:t>ORR sets charges in accordance with our legislative requirements and in particular those set out in Schedule 3 of the 2016 Railways (Access, Management and Licensing of Railway Undertakings) Regulations and Section 4 of the 1993 Railway Act</w:t>
      </w:r>
      <w:r w:rsidR="008A51BE">
        <w:t xml:space="preserve"> and the </w:t>
      </w:r>
      <w:r w:rsidR="008A51BE" w:rsidRPr="008A51BE">
        <w:t>Implementing Regulation (EU 2015/909)</w:t>
      </w:r>
      <w:r w:rsidRPr="00AA796A">
        <w:t xml:space="preserve">. Within these legislative requirements there are a wide range of </w:t>
      </w:r>
      <w:r w:rsidR="005778AD">
        <w:t>interpretations of</w:t>
      </w:r>
      <w:r w:rsidRPr="00AA796A">
        <w:t xml:space="preserve"> how charges can be set. ORR applies economic </w:t>
      </w:r>
      <w:r w:rsidR="00034DF1">
        <w:t xml:space="preserve">and regulatory </w:t>
      </w:r>
      <w:r w:rsidRPr="00AA796A">
        <w:t xml:space="preserve">principles </w:t>
      </w:r>
      <w:r w:rsidR="00034DF1">
        <w:t>to</w:t>
      </w:r>
      <w:r w:rsidRPr="00AA796A">
        <w:t xml:space="preserve"> </w:t>
      </w:r>
      <w:r w:rsidR="005778AD">
        <w:t>interpret</w:t>
      </w:r>
      <w:r w:rsidR="00034DF1">
        <w:t xml:space="preserve"> </w:t>
      </w:r>
      <w:r w:rsidR="005778AD">
        <w:t>the legislation</w:t>
      </w:r>
      <w:r w:rsidR="00034DF1">
        <w:t xml:space="preserve"> in accordance with our duties and the objectives of an access charges review</w:t>
      </w:r>
      <w:r w:rsidR="005778AD">
        <w:t>.</w:t>
      </w:r>
      <w:r w:rsidRPr="00AA796A">
        <w:t xml:space="preserve"> </w:t>
      </w:r>
    </w:p>
    <w:p w14:paraId="67CF8EFE" w14:textId="2D9B005B" w:rsidR="00AA796A" w:rsidRDefault="00AA796A" w:rsidP="00AA796A">
      <w:r w:rsidRPr="00AA796A">
        <w:t>Some stakeholders</w:t>
      </w:r>
      <w:r w:rsidR="00EE0391">
        <w:t xml:space="preserve">, </w:t>
      </w:r>
      <w:r w:rsidRPr="00AA796A">
        <w:t>esp</w:t>
      </w:r>
      <w:r w:rsidR="00CA1A9E">
        <w:t>ecially</w:t>
      </w:r>
      <w:r w:rsidRPr="00AA796A">
        <w:t xml:space="preserve"> </w:t>
      </w:r>
      <w:r w:rsidR="00CA1A9E" w:rsidRPr="00AA796A">
        <w:t>F</w:t>
      </w:r>
      <w:r w:rsidR="00CA1A9E">
        <w:t xml:space="preserve">reight </w:t>
      </w:r>
      <w:r w:rsidR="00CA1A9E" w:rsidRPr="00AA796A">
        <w:t>O</w:t>
      </w:r>
      <w:r w:rsidR="00CA1A9E">
        <w:t xml:space="preserve">perating </w:t>
      </w:r>
      <w:r w:rsidR="00CA1A9E" w:rsidRPr="00AA796A">
        <w:t>C</w:t>
      </w:r>
      <w:r w:rsidR="00CA1A9E">
        <w:t>ompanies</w:t>
      </w:r>
      <w:r w:rsidR="1CBD5C85">
        <w:t xml:space="preserve"> </w:t>
      </w:r>
      <w:r w:rsidR="00CA1A9E">
        <w:t>(FOCs)</w:t>
      </w:r>
      <w:r w:rsidR="00EE0391">
        <w:t>,</w:t>
      </w:r>
      <w:r w:rsidRPr="00AA796A">
        <w:t xml:space="preserve"> have questioned our approach</w:t>
      </w:r>
      <w:r w:rsidR="00A76F4C">
        <w:t xml:space="preserve"> to charges</w:t>
      </w:r>
      <w:r w:rsidRPr="00AA796A">
        <w:t xml:space="preserve">, particularly due to the size of </w:t>
      </w:r>
      <w:r w:rsidR="00034DF1">
        <w:t xml:space="preserve">the </w:t>
      </w:r>
      <w:r w:rsidRPr="00AA796A">
        <w:t xml:space="preserve">increases in </w:t>
      </w:r>
      <w:r w:rsidR="00034DF1">
        <w:t xml:space="preserve">charges </w:t>
      </w:r>
      <w:r w:rsidRPr="00AA796A">
        <w:t>in CP7</w:t>
      </w:r>
      <w:r w:rsidR="00034DF1">
        <w:t xml:space="preserve"> and likely increases in CP8</w:t>
      </w:r>
      <w:r w:rsidR="00EF1BA0">
        <w:t xml:space="preserve"> (202</w:t>
      </w:r>
      <w:r w:rsidR="008A535B">
        <w:t>9</w:t>
      </w:r>
      <w:r w:rsidR="00EF1BA0">
        <w:t>-2034)</w:t>
      </w:r>
      <w:r w:rsidRPr="00AA796A">
        <w:t xml:space="preserve">. </w:t>
      </w:r>
      <w:r w:rsidR="00034DF1">
        <w:t xml:space="preserve">Network Rail has also questioned why we have not set </w:t>
      </w:r>
      <w:r w:rsidR="00A76F4C">
        <w:t xml:space="preserve">CP7 </w:t>
      </w:r>
      <w:r w:rsidR="00034DF1">
        <w:t>freight charges based on fully cost-reflective rates.</w:t>
      </w:r>
    </w:p>
    <w:p w14:paraId="48B96B59" w14:textId="1FF98879" w:rsidR="00BD1F08" w:rsidRPr="00AA796A" w:rsidRDefault="00EC3D91" w:rsidP="00AA796A">
      <w:r>
        <w:t>This is a strategic review to facilitate determining</w:t>
      </w:r>
      <w:r w:rsidR="00690AE6">
        <w:t>, given legislative requirements</w:t>
      </w:r>
      <w:r w:rsidR="00034DF1">
        <w:t xml:space="preserve"> and our duties</w:t>
      </w:r>
      <w:r w:rsidR="00F4659D">
        <w:t>,</w:t>
      </w:r>
      <w:r w:rsidR="00690AE6">
        <w:t xml:space="preserve"> </w:t>
      </w:r>
      <w:r w:rsidR="00034DF1">
        <w:t>how</w:t>
      </w:r>
      <w:r w:rsidR="00690AE6">
        <w:t xml:space="preserve"> best to </w:t>
      </w:r>
      <w:r>
        <w:t>set charges</w:t>
      </w:r>
      <w:r w:rsidR="00690AE6">
        <w:t xml:space="preserve"> </w:t>
      </w:r>
      <w:r w:rsidR="00034DF1">
        <w:t>for CP8</w:t>
      </w:r>
      <w:r w:rsidR="00F4659D">
        <w:t>, in a way</w:t>
      </w:r>
      <w:r w:rsidR="00034DF1">
        <w:t xml:space="preserve"> that </w:t>
      </w:r>
      <w:r w:rsidR="00F4659D">
        <w:t>provides the most appropriate incentives on operators and Network Rail, whilst recognising that parts of the industry are facing financial pressures</w:t>
      </w:r>
      <w:r w:rsidR="00034DF1">
        <w:t xml:space="preserve">. </w:t>
      </w:r>
      <w:r w:rsidR="00F4659D">
        <w:t xml:space="preserve">This should take account of </w:t>
      </w:r>
      <w:r w:rsidR="00034DF1">
        <w:t>the views of funders, operators, Network Rail and other stakeholders</w:t>
      </w:r>
      <w:r w:rsidR="00F4659D">
        <w:t xml:space="preserve"> and the context of a </w:t>
      </w:r>
      <w:r>
        <w:t xml:space="preserve">fiscally constrained </w:t>
      </w:r>
      <w:r w:rsidR="00F4659D">
        <w:t>environment, the recovery from the Covid-19 pandemic and economic uncertainty</w:t>
      </w:r>
      <w:r w:rsidR="00BD1F08">
        <w:t xml:space="preserve">. </w:t>
      </w:r>
    </w:p>
    <w:p w14:paraId="74919ACA" w14:textId="178F61FF" w:rsidR="00F20E70" w:rsidRDefault="00F20E70" w:rsidP="00F20E70">
      <w:pPr>
        <w:pStyle w:val="Heading3"/>
      </w:pPr>
      <w:bookmarkStart w:id="11" w:name="_Toc152064811"/>
      <w:r>
        <w:t>2.2 Project Objectives and Scope</w:t>
      </w:r>
      <w:bookmarkEnd w:id="11"/>
    </w:p>
    <w:p w14:paraId="13F0839A" w14:textId="58157658" w:rsidR="007C43C1" w:rsidRDefault="00373019" w:rsidP="009C1486">
      <w:r>
        <w:t xml:space="preserve">The project will </w:t>
      </w:r>
      <w:r w:rsidRPr="00373019">
        <w:t xml:space="preserve">clarify the legislative bounds of regulatory access price setting for Network Rail and the methodologies that conform to this. This research will identify and outline the </w:t>
      </w:r>
      <w:r w:rsidRPr="00373019">
        <w:lastRenderedPageBreak/>
        <w:t>range of economically efficient methodologies for setting rail access charges that also fulfil our statutory obligations.</w:t>
      </w:r>
      <w:r w:rsidR="009C1486">
        <w:t xml:space="preserve"> </w:t>
      </w:r>
      <w:r>
        <w:t xml:space="preserve">Key outputs will include a report </w:t>
      </w:r>
      <w:r w:rsidR="0AA9039A">
        <w:t>with</w:t>
      </w:r>
      <w:r w:rsidR="22E5E0B2">
        <w:t>:</w:t>
      </w:r>
    </w:p>
    <w:p w14:paraId="566A66EA" w14:textId="4F2CA8E1" w:rsidR="00373019" w:rsidRDefault="00373019" w:rsidP="00373019">
      <w:pPr>
        <w:pStyle w:val="NormalBulletround"/>
      </w:pPr>
      <w:r>
        <w:t>A detailed analysis specifying duties and constraints on access pricing for Network Rail, including those under Schedule 3 of the 2016 Railways (Access, Management and Licensing of Railway Undertakings) Regulations and Section 4 of the 1993 Railway Act</w:t>
      </w:r>
      <w:r w:rsidR="008A51BE">
        <w:t xml:space="preserve"> </w:t>
      </w:r>
      <w:r w:rsidR="22E5E0B2">
        <w:t xml:space="preserve"> </w:t>
      </w:r>
      <w:r w:rsidR="008A51BE">
        <w:t xml:space="preserve">and the </w:t>
      </w:r>
      <w:r w:rsidR="008A51BE" w:rsidRPr="008A51BE">
        <w:t>Implementing Regulation (EU 2015/909)</w:t>
      </w:r>
      <w:r w:rsidR="008A51BE">
        <w:t>.</w:t>
      </w:r>
    </w:p>
    <w:p w14:paraId="4AFB0B6E" w14:textId="56D84641" w:rsidR="00373019" w:rsidRDefault="00373019" w:rsidP="00373019">
      <w:pPr>
        <w:pStyle w:val="NormalBulletround"/>
      </w:pPr>
      <w:r>
        <w:t xml:space="preserve">An extensive review of </w:t>
      </w:r>
      <w:r w:rsidR="00CA2C61">
        <w:t xml:space="preserve">the regulatory and </w:t>
      </w:r>
      <w:r>
        <w:t>economic pricing principles</w:t>
      </w:r>
      <w:r w:rsidR="00CA2C61">
        <w:t xml:space="preserve">, </w:t>
      </w:r>
      <w:r>
        <w:t>which could potentially operate within these bounds</w:t>
      </w:r>
      <w:r w:rsidR="00CA2C61">
        <w:t xml:space="preserve">. </w:t>
      </w:r>
      <w:r>
        <w:t>In doing this</w:t>
      </w:r>
      <w:r w:rsidR="00867C45">
        <w:t>,</w:t>
      </w:r>
      <w:r>
        <w:t xml:space="preserve"> the research will outline the spectrum of </w:t>
      </w:r>
      <w:r w:rsidR="008A535B">
        <w:t xml:space="preserve">robust </w:t>
      </w:r>
      <w:r>
        <w:t>access charging approaches</w:t>
      </w:r>
      <w:r w:rsidR="009B30EB">
        <w:t xml:space="preserve"> and review how</w:t>
      </w:r>
      <w:r w:rsidR="00025AE4">
        <w:t xml:space="preserve"> charges are currently</w:t>
      </w:r>
      <w:r w:rsidR="009B30EB">
        <w:t xml:space="preserve"> </w:t>
      </w:r>
      <w:r w:rsidR="00025AE4">
        <w:t>calculated</w:t>
      </w:r>
      <w:r>
        <w:t>.</w:t>
      </w:r>
      <w:r w:rsidR="00CA2C61">
        <w:t xml:space="preserve"> It will also consider the practical realities of these approaches, including how charges are calculated</w:t>
      </w:r>
      <w:r w:rsidR="00074C77">
        <w:t>, data availability,</w:t>
      </w:r>
      <w:r w:rsidR="0009111B">
        <w:t xml:space="preserve"> and</w:t>
      </w:r>
      <w:r w:rsidR="00CA2C61">
        <w:t xml:space="preserve"> the issues with the models used to implement the principles (their construction, data, ease of use and audit). </w:t>
      </w:r>
      <w:r w:rsidR="008A535B">
        <w:t>However</w:t>
      </w:r>
      <w:r w:rsidR="0009111B">
        <w:t xml:space="preserve">, </w:t>
      </w:r>
      <w:r w:rsidR="008A535B">
        <w:t xml:space="preserve">it should be stressed that </w:t>
      </w:r>
      <w:r w:rsidR="0009111B">
        <w:t>this is not a detailed review of these models.</w:t>
      </w:r>
      <w:r w:rsidR="00CA2C61">
        <w:t xml:space="preserve"> </w:t>
      </w:r>
    </w:p>
    <w:p w14:paraId="1BF24E6F" w14:textId="7D106D44" w:rsidR="00373019" w:rsidRDefault="00373019" w:rsidP="00373019">
      <w:pPr>
        <w:pStyle w:val="NormalBulletround"/>
      </w:pPr>
      <w:r>
        <w:t xml:space="preserve">An outline of the guiding principles for segmenting the rail market so as to enable the implementation of </w:t>
      </w:r>
      <w:r w:rsidRPr="008A535B">
        <w:t>optimal</w:t>
      </w:r>
      <w:r w:rsidR="007A356B">
        <w:t xml:space="preserve"> </w:t>
      </w:r>
      <w:r w:rsidRPr="008A535B">
        <w:t>legally compliant pricing</w:t>
      </w:r>
      <w:r>
        <w:t xml:space="preserve"> frameworks</w:t>
      </w:r>
      <w:r w:rsidR="009B30EB">
        <w:t xml:space="preserve"> and propose likely segmentations</w:t>
      </w:r>
      <w:r>
        <w:t>. In doing this, the report is to consider</w:t>
      </w:r>
      <w:r w:rsidR="008A535B">
        <w:t xml:space="preserve"> the </w:t>
      </w:r>
      <w:r w:rsidR="007A356B" w:rsidRPr="0034126E">
        <w:t>cost-return trade-offs associated with overly refined structures</w:t>
      </w:r>
      <w:r w:rsidR="002E5447">
        <w:t>.</w:t>
      </w:r>
    </w:p>
    <w:p w14:paraId="1932861D" w14:textId="19E1DCD1" w:rsidR="00230B03" w:rsidRDefault="00373019" w:rsidP="00403C9A">
      <w:pPr>
        <w:pStyle w:val="NormalBulletround"/>
      </w:pPr>
      <w:r>
        <w:t xml:space="preserve">A recommendation for which </w:t>
      </w:r>
      <w:r w:rsidR="009B30EB">
        <w:t>economic principles and model</w:t>
      </w:r>
      <w:r>
        <w:t xml:space="preserve">s could be </w:t>
      </w:r>
      <w:r w:rsidR="009B30EB">
        <w:t xml:space="preserve">most </w:t>
      </w:r>
      <w:r>
        <w:t xml:space="preserve">appropriate for which market segments along with their relative strengths and </w:t>
      </w:r>
      <w:r w:rsidR="007222B4">
        <w:t>weakness</w:t>
      </w:r>
      <w:r w:rsidR="007222B4" w:rsidRPr="000D2E61">
        <w:t>e</w:t>
      </w:r>
      <w:r w:rsidR="00230B03" w:rsidRPr="000D2E61">
        <w:t>s.</w:t>
      </w:r>
    </w:p>
    <w:p w14:paraId="69A75C90" w14:textId="4E7D31A8" w:rsidR="003F3CB0" w:rsidRDefault="003F3CB0" w:rsidP="003F3CB0">
      <w:pPr>
        <w:pStyle w:val="Heading3"/>
      </w:pPr>
      <w:bookmarkStart w:id="12" w:name="_Toc152064812"/>
      <w:r w:rsidRPr="003F3CB0">
        <w:t>2.3 Project Outputs, Deliverables and Contract Management</w:t>
      </w:r>
      <w:bookmarkEnd w:id="12"/>
    </w:p>
    <w:p w14:paraId="480D8983" w14:textId="77777777" w:rsidR="00DB02EF" w:rsidRDefault="00DB02EF" w:rsidP="00DB02EF">
      <w:pPr>
        <w:pStyle w:val="Heading4"/>
      </w:pPr>
      <w:r>
        <w:t>Outputs and Deliverables</w:t>
      </w:r>
    </w:p>
    <w:p w14:paraId="4EF877A1" w14:textId="2344644D" w:rsidR="00BD1F08" w:rsidRDefault="00BD1F08" w:rsidP="00DB02EF">
      <w:pPr>
        <w:pStyle w:val="NormalBulletround"/>
      </w:pPr>
      <w:r>
        <w:t xml:space="preserve">Regular updates to keep the ORR project team informed on progress and developments. </w:t>
      </w:r>
    </w:p>
    <w:p w14:paraId="34D2CCD8" w14:textId="4BC9BD37" w:rsidR="4C2659C6" w:rsidRDefault="3EBE2D90" w:rsidP="5DE39F13">
      <w:pPr>
        <w:pStyle w:val="NormalBulletround"/>
      </w:pPr>
      <w:r>
        <w:t>The supplier should prepare a project plan and present it with the proposal. If a contract is awarded to the supplier, the plan should be kept up-to-date.</w:t>
      </w:r>
    </w:p>
    <w:p w14:paraId="7EB4928B" w14:textId="7BB70999" w:rsidR="4C2659C6" w:rsidRDefault="3EBE2D90" w:rsidP="77F414A5">
      <w:pPr>
        <w:pStyle w:val="NormalBulletround"/>
      </w:pPr>
      <w:r>
        <w:t>Carry out a literature review</w:t>
      </w:r>
      <w:r w:rsidR="4A0D9F72">
        <w:t xml:space="preserve"> of methodologies for setting regulatory access charges. </w:t>
      </w:r>
    </w:p>
    <w:p w14:paraId="63262D93" w14:textId="31E5FACC" w:rsidR="47469B25" w:rsidRDefault="3FAAC2B8" w:rsidP="0236CE7D">
      <w:pPr>
        <w:pStyle w:val="NormalBulletround"/>
      </w:pPr>
      <w:r>
        <w:t>Draw up a longlist of possible options for changing the methodologies</w:t>
      </w:r>
      <w:r w:rsidR="5B5ECCB7">
        <w:t xml:space="preserve"> </w:t>
      </w:r>
      <w:r w:rsidR="65A7BA08">
        <w:t>along</w:t>
      </w:r>
      <w:r w:rsidR="5B5ECCB7">
        <w:t xml:space="preserve"> with their key strengths and weaknesses for rail</w:t>
      </w:r>
      <w:r>
        <w:t xml:space="preserve">. </w:t>
      </w:r>
    </w:p>
    <w:p w14:paraId="5E2DB0B7" w14:textId="4C4862F0" w:rsidR="77C7A140" w:rsidRDefault="3C6A4CAA" w:rsidP="77F414A5">
      <w:pPr>
        <w:pStyle w:val="NormalBulletround"/>
        <w:rPr>
          <w:szCs w:val="24"/>
        </w:rPr>
      </w:pPr>
      <w:r>
        <w:lastRenderedPageBreak/>
        <w:t xml:space="preserve">Convene a workshop with key stakeholders such as the operators and Network Rail to get from a longlist to a shortlist. </w:t>
      </w:r>
      <w:r w:rsidR="7AAFF707">
        <w:t xml:space="preserve">Appraise the strengths and weaknesses of the options. </w:t>
      </w:r>
    </w:p>
    <w:p w14:paraId="202B59ED" w14:textId="75BCDC11" w:rsidR="4C2659C6" w:rsidRDefault="3EBE2D90" w:rsidP="77F414A5">
      <w:pPr>
        <w:pStyle w:val="NormalBulletround"/>
      </w:pPr>
      <w:r>
        <w:t xml:space="preserve">Produce an interim report to discuss findings with ORR. </w:t>
      </w:r>
    </w:p>
    <w:p w14:paraId="7AE01048" w14:textId="5D2B6182" w:rsidR="2DD4F11C" w:rsidRDefault="14E65C4F" w:rsidP="77F414A5">
      <w:pPr>
        <w:pStyle w:val="NormalBulletround"/>
      </w:pPr>
      <w:r>
        <w:t>Produce a final report</w:t>
      </w:r>
      <w:r w:rsidR="6082D8B2">
        <w:t xml:space="preserve"> and present it to ORR. </w:t>
      </w:r>
    </w:p>
    <w:p w14:paraId="49DF4FA3" w14:textId="1BE58B5A" w:rsidR="00DB02EF" w:rsidRPr="00574B16" w:rsidRDefault="00387500" w:rsidP="00DB02EF">
      <w:pPr>
        <w:rPr>
          <w:b/>
          <w:bCs/>
          <w:color w:val="B1173B"/>
        </w:rPr>
      </w:pPr>
      <w:r>
        <w:t xml:space="preserve">As this report may be published externally it should adhere to the </w:t>
      </w:r>
      <w:hyperlink r:id="rId20" w:history="1">
        <w:r w:rsidR="008F0B87">
          <w:rPr>
            <w:rStyle w:val="Hyperlink"/>
          </w:rPr>
          <w:t>Guidelines for writing accessible reports for ORR - Guidance for external suppliers | Office of Rail and Road</w:t>
        </w:r>
      </w:hyperlink>
      <w:r>
        <w:rPr>
          <w:rStyle w:val="Hyperlink"/>
        </w:rPr>
        <w:t>.</w:t>
      </w:r>
    </w:p>
    <w:p w14:paraId="359C8D39" w14:textId="7A37B5E6" w:rsidR="00230B03" w:rsidRPr="00230B03" w:rsidRDefault="00230B03" w:rsidP="007A356B">
      <w:pPr>
        <w:pStyle w:val="Heading4"/>
        <w:spacing w:after="240"/>
        <w:rPr>
          <w:b w:val="0"/>
          <w:bCs/>
          <w:color w:val="auto"/>
          <w:sz w:val="24"/>
          <w:szCs w:val="24"/>
        </w:rPr>
      </w:pPr>
      <w:r w:rsidRPr="00F113B1">
        <w:rPr>
          <w:b w:val="0"/>
          <w:bCs/>
          <w:color w:val="auto"/>
          <w:sz w:val="24"/>
          <w:szCs w:val="24"/>
        </w:rPr>
        <w:t>It is anticipated that the project will consist of a mix of desk and qualitative research.</w:t>
      </w:r>
      <w:r w:rsidR="00F113B1" w:rsidRPr="00F113B1">
        <w:rPr>
          <w:b w:val="0"/>
          <w:bCs/>
          <w:color w:val="auto"/>
          <w:sz w:val="24"/>
          <w:szCs w:val="24"/>
        </w:rPr>
        <w:t xml:space="preserve"> </w:t>
      </w:r>
      <w:r w:rsidR="0034126E" w:rsidRPr="00F113B1">
        <w:rPr>
          <w:b w:val="0"/>
          <w:bCs/>
          <w:color w:val="auto"/>
          <w:sz w:val="24"/>
          <w:szCs w:val="24"/>
        </w:rPr>
        <w:t xml:space="preserve">The consultant will </w:t>
      </w:r>
      <w:r w:rsidRPr="00F113B1">
        <w:rPr>
          <w:b w:val="0"/>
          <w:bCs/>
          <w:color w:val="auto"/>
          <w:sz w:val="24"/>
          <w:szCs w:val="24"/>
        </w:rPr>
        <w:t>produce draft and final reports containing:</w:t>
      </w:r>
    </w:p>
    <w:p w14:paraId="7F07A6EA" w14:textId="63DBFE64" w:rsidR="00230B03" w:rsidRPr="0034126E" w:rsidRDefault="00230B03" w:rsidP="0034126E">
      <w:pPr>
        <w:pStyle w:val="NormalBulletround"/>
      </w:pPr>
      <w:r w:rsidRPr="0034126E">
        <w:t>A detailed analysis specifying duties and constraints on access pricing for Network Rail, including those under Schedule 3 of the 2016 Railways (Access, Management and Licensing of Railway Undertakings) Regulations and Section 4 of the 1993 Railway Act</w:t>
      </w:r>
      <w:r w:rsidR="00F5285F">
        <w:t xml:space="preserve"> and the </w:t>
      </w:r>
      <w:r w:rsidR="00F5285F" w:rsidRPr="00F5285F">
        <w:t>Implementing Regulation (EU 2015/909)</w:t>
      </w:r>
      <w:r w:rsidR="3A7E8A6E">
        <w:t>.</w:t>
      </w:r>
      <w:r w:rsidRPr="0034126E">
        <w:t xml:space="preserve"> </w:t>
      </w:r>
    </w:p>
    <w:p w14:paraId="639B5970" w14:textId="0EF77DD5" w:rsidR="00230B03" w:rsidRPr="0034126E" w:rsidRDefault="00230B03" w:rsidP="0034126E">
      <w:pPr>
        <w:pStyle w:val="NormalBulletround"/>
      </w:pPr>
      <w:r w:rsidRPr="0034126E">
        <w:t>An extensive review of economic pricing principles and models which could potentially operate within these legal bounds. In doing this the research will outline the spectrum of economically optimal access charging approaches.</w:t>
      </w:r>
    </w:p>
    <w:p w14:paraId="59C31665" w14:textId="65ECA801" w:rsidR="00230B03" w:rsidRPr="0034126E" w:rsidRDefault="00230B03" w:rsidP="0034126E">
      <w:pPr>
        <w:pStyle w:val="NormalBulletround"/>
      </w:pPr>
      <w:r w:rsidRPr="0034126E">
        <w:t>An outline of the guiding principles for segmenting the rail market so as to enable the implementation of optimal legally compliant pricing frameworks. In doing this, the report is to consider the cost-return trade-offs associated with overly refined structures.</w:t>
      </w:r>
    </w:p>
    <w:p w14:paraId="1472EC98" w14:textId="4CA5BE94" w:rsidR="00230B03" w:rsidRPr="0034126E" w:rsidRDefault="00230B03" w:rsidP="0034126E">
      <w:pPr>
        <w:pStyle w:val="NormalBulletround"/>
      </w:pPr>
      <w:r w:rsidRPr="0034126E">
        <w:t>A recommendation for which structures could be appropriate for which market segments along with their relative strengths and weaknesses.</w:t>
      </w:r>
    </w:p>
    <w:p w14:paraId="30DFB785" w14:textId="45ABE8B5" w:rsidR="00DB02EF" w:rsidRDefault="00DB02EF" w:rsidP="00DB02EF">
      <w:pPr>
        <w:pStyle w:val="Heading4"/>
      </w:pPr>
      <w:r>
        <w:t>Contract Management Requirements</w:t>
      </w:r>
    </w:p>
    <w:p w14:paraId="3FE51D72" w14:textId="72EE6A02" w:rsidR="0034126E" w:rsidRPr="0034126E" w:rsidRDefault="00387500" w:rsidP="008475B8">
      <w:r>
        <w:t>We expect to be provided on w</w:t>
      </w:r>
      <w:r w:rsidR="034C7FC0">
        <w:t>eekly progress updates</w:t>
      </w:r>
      <w:r>
        <w:t xml:space="preserve"> against the outputs being produced</w:t>
      </w:r>
      <w:r w:rsidR="35D8FAED">
        <w:t xml:space="preserve">. </w:t>
      </w:r>
    </w:p>
    <w:p w14:paraId="75F8969E" w14:textId="18013AB0" w:rsidR="00D6160E" w:rsidRDefault="00AF7AF9" w:rsidP="00AF7AF9">
      <w:pPr>
        <w:pStyle w:val="Heading3"/>
      </w:pPr>
      <w:bookmarkStart w:id="13" w:name="_Toc152064813"/>
      <w:r>
        <w:t>2.4 Project Timescales</w:t>
      </w:r>
      <w:bookmarkEnd w:id="13"/>
    </w:p>
    <w:p w14:paraId="232D4288" w14:textId="77777777" w:rsidR="00AF7AF9" w:rsidRDefault="00AF7AF9" w:rsidP="00AF7AF9">
      <w:r>
        <w:t>The provisional project timetable is as follows:</w:t>
      </w:r>
    </w:p>
    <w:p w14:paraId="1A5E1720" w14:textId="65E0A5B8" w:rsidR="00AF7AF9" w:rsidRDefault="0034126E" w:rsidP="00AF7AF9">
      <w:pPr>
        <w:pStyle w:val="NormalBulletround"/>
      </w:pPr>
      <w:r>
        <w:t>Start-up</w:t>
      </w:r>
      <w:r w:rsidR="00AF7AF9">
        <w:t xml:space="preserve"> meeting and commencement </w:t>
      </w:r>
      <w:r w:rsidR="775865AC">
        <w:t>w</w:t>
      </w:r>
      <w:r w:rsidR="00387500">
        <w:t>eek commencing</w:t>
      </w:r>
      <w:r w:rsidR="00AF7AF9">
        <w:t xml:space="preserve"> </w:t>
      </w:r>
      <w:r>
        <w:t xml:space="preserve">Monday </w:t>
      </w:r>
      <w:r w:rsidR="00D52D61">
        <w:t>0</w:t>
      </w:r>
      <w:r>
        <w:t>1 January 2024</w:t>
      </w:r>
      <w:r w:rsidR="00AF7AF9">
        <w:t>.</w:t>
      </w:r>
    </w:p>
    <w:p w14:paraId="26A9F78D" w14:textId="4AC56147" w:rsidR="00AF7AF9" w:rsidRDefault="541D19F0" w:rsidP="00AF7AF9">
      <w:pPr>
        <w:pStyle w:val="NormalBulletround"/>
      </w:pPr>
      <w:r>
        <w:t>Weekly</w:t>
      </w:r>
      <w:r w:rsidR="00AF7AF9">
        <w:t xml:space="preserve"> updates on progress and any issues</w:t>
      </w:r>
      <w:r w:rsidR="00387500">
        <w:t>.</w:t>
      </w:r>
    </w:p>
    <w:p w14:paraId="618A964A" w14:textId="764272CF" w:rsidR="00AF7AF9" w:rsidRDefault="00AF7AF9" w:rsidP="00AF7AF9">
      <w:pPr>
        <w:pStyle w:val="NormalBulletround"/>
      </w:pPr>
      <w:r>
        <w:lastRenderedPageBreak/>
        <w:t xml:space="preserve">Presentation of interim findings on </w:t>
      </w:r>
      <w:r w:rsidR="0034126E">
        <w:t xml:space="preserve">Friday </w:t>
      </w:r>
      <w:r w:rsidR="00D52D61">
        <w:t>0</w:t>
      </w:r>
      <w:r w:rsidR="0034126E">
        <w:t>1 March 2024</w:t>
      </w:r>
      <w:r>
        <w:t xml:space="preserve"> (or as agreed</w:t>
      </w:r>
      <w:r w:rsidR="775865AC">
        <w:t>)</w:t>
      </w:r>
      <w:r w:rsidR="00387500">
        <w:t>.</w:t>
      </w:r>
    </w:p>
    <w:p w14:paraId="1CB48C52" w14:textId="121F6C62" w:rsidR="00AF7AF9" w:rsidRDefault="00AF7AF9" w:rsidP="00AF7AF9">
      <w:pPr>
        <w:pStyle w:val="NormalBulletround"/>
      </w:pPr>
      <w:r>
        <w:t xml:space="preserve">Draft report by </w:t>
      </w:r>
      <w:r w:rsidR="0034126E">
        <w:t>Friday 15 March 2024</w:t>
      </w:r>
      <w:r>
        <w:t>.</w:t>
      </w:r>
    </w:p>
    <w:p w14:paraId="5577EDCB" w14:textId="00750564" w:rsidR="00AF7AF9" w:rsidRDefault="00AF7AF9" w:rsidP="00AF7AF9">
      <w:pPr>
        <w:pStyle w:val="NormalBulletround"/>
      </w:pPr>
      <w:r>
        <w:t xml:space="preserve">Final report by </w:t>
      </w:r>
      <w:r w:rsidR="1DD3A603">
        <w:t>Thursday</w:t>
      </w:r>
      <w:r w:rsidR="51EE0B2A">
        <w:t xml:space="preserve"> 2</w:t>
      </w:r>
      <w:r w:rsidR="7B37370A">
        <w:t>8</w:t>
      </w:r>
      <w:r w:rsidR="0034126E">
        <w:t xml:space="preserve"> March 2024</w:t>
      </w:r>
      <w:r w:rsidR="00387500">
        <w:t>.</w:t>
      </w:r>
    </w:p>
    <w:p w14:paraId="76E3EE61" w14:textId="420F91D1" w:rsidR="00AF7AF9" w:rsidRDefault="00AF7AF9" w:rsidP="00AF7AF9">
      <w:pPr>
        <w:pStyle w:val="Heading3"/>
      </w:pPr>
      <w:bookmarkStart w:id="14" w:name="_Toc152064814"/>
      <w:r w:rsidRPr="00AF7AF9">
        <w:t>2.5 Budget and Payment Schedule</w:t>
      </w:r>
      <w:bookmarkEnd w:id="14"/>
    </w:p>
    <w:p w14:paraId="7D86A410" w14:textId="75BEF9D9" w:rsidR="00D401C8" w:rsidRDefault="00D401C8" w:rsidP="00D401C8">
      <w:r>
        <w:t>The maximum budget for this piece of work is £</w:t>
      </w:r>
      <w:r w:rsidR="00BE73AB">
        <w:t>60,000</w:t>
      </w:r>
      <w:r>
        <w:t xml:space="preserve"> (inc. of expenses, exc. of VAT).</w:t>
      </w:r>
    </w:p>
    <w:p w14:paraId="3150F3F2" w14:textId="77777777" w:rsidR="00D401C8" w:rsidRPr="007A356B" w:rsidRDefault="00D401C8" w:rsidP="00D401C8">
      <w:pPr>
        <w:pStyle w:val="Heading4"/>
      </w:pPr>
      <w:r w:rsidRPr="007A356B">
        <w:t>Payment Options</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52064815"/>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lastRenderedPageBreak/>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52064816"/>
      <w:r>
        <w:lastRenderedPageBreak/>
        <w:t>Tender Response and Evaluation Criteria</w:t>
      </w:r>
      <w:bookmarkEnd w:id="16"/>
    </w:p>
    <w:p w14:paraId="6C9F4B20" w14:textId="5CFF035D" w:rsidR="001768F1" w:rsidRDefault="001768F1" w:rsidP="001768F1">
      <w:pPr>
        <w:pStyle w:val="Heading3"/>
      </w:pPr>
      <w:bookmarkStart w:id="17" w:name="_Toc152064817"/>
      <w:r>
        <w:t>3.1 The Tender Response</w:t>
      </w:r>
      <w:bookmarkEnd w:id="17"/>
    </w:p>
    <w:p w14:paraId="33A2C61B" w14:textId="51340D9F" w:rsidR="001768F1" w:rsidRDefault="001768F1" w:rsidP="001768F1">
      <w:r>
        <w:t>The proposals for this project should include an outline of how bidders will meet the requirement outlined in section (ii) “Statement of Requirement”. The following information should be included</w:t>
      </w:r>
      <w:r w:rsidR="007A356B">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E879393" w:rsidR="001768F1" w:rsidRDefault="001768F1" w:rsidP="001E7C87">
      <w:pPr>
        <w:pStyle w:val="NormalBullet-"/>
      </w:pPr>
      <w:r>
        <w:t>Provide an explanation of the proposed approach and any methodologies bidders will work to</w:t>
      </w:r>
    </w:p>
    <w:p w14:paraId="1F4787C6" w14:textId="12354AB8" w:rsidR="001768F1" w:rsidRDefault="001768F1" w:rsidP="001E7C87">
      <w:pPr>
        <w:pStyle w:val="NormalBullet-"/>
      </w:pPr>
      <w:r>
        <w:t>Details of your assumptions and/or constraints/dependencies made in relation to the project</w:t>
      </w:r>
    </w:p>
    <w:p w14:paraId="5DBC036E" w14:textId="21801FEE" w:rsidR="001768F1" w:rsidRDefault="001768F1" w:rsidP="001E7C87">
      <w:pPr>
        <w:pStyle w:val="NormalBullet-"/>
      </w:pPr>
      <w:r>
        <w:t>A project plan to show how outputs and deliverables will be produced within the required timescales, detailing the resources that will be allocated</w:t>
      </w:r>
    </w:p>
    <w:p w14:paraId="10DC7C63" w14:textId="0B9C3B67" w:rsidR="001768F1" w:rsidRDefault="001768F1" w:rsidP="001E7C87">
      <w:pPr>
        <w:pStyle w:val="NormalBullet-"/>
      </w:pPr>
      <w:r>
        <w:t>An understanding of the risks, and explain how they would be mitigated to ensure delivery</w:t>
      </w:r>
    </w:p>
    <w:p w14:paraId="16625C17" w14:textId="1670DC0B" w:rsidR="001768F1" w:rsidRDefault="001768F1" w:rsidP="001E7C87">
      <w:pPr>
        <w:pStyle w:val="NormalBullet-"/>
      </w:pPr>
      <w:r>
        <w:t>What support bidders will require from ORR</w:t>
      </w:r>
      <w:r w:rsidR="00387500">
        <w:t>.</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0D0CC742" w:rsidR="001768F1" w:rsidRDefault="001768F1" w:rsidP="001E7C87">
      <w:pPr>
        <w:pStyle w:val="NormalBullet-"/>
      </w:pPr>
      <w:r>
        <w:lastRenderedPageBreak/>
        <w:t>Some relevant examples of previous work that bidders have carried out (e</w:t>
      </w:r>
      <w:r w:rsidR="007A356B">
        <w:t>.</w:t>
      </w:r>
      <w:r>
        <w:t>g. case studies)</w:t>
      </w:r>
      <w:r w:rsidRPr="004A24AB">
        <w:rPr>
          <w:color w:val="B1173B"/>
        </w:rPr>
        <w:t xml:space="preserve"> </w:t>
      </w:r>
      <w:r w:rsidRPr="007A356B">
        <w:t xml:space="preserve">AND/OR </w:t>
      </w:r>
      <w:r>
        <w:t>Details of at least two relevant reference projects along with contact details of clients</w:t>
      </w:r>
      <w:r w:rsidR="00387500">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7A356B">
      <w:pPr>
        <w:ind w:left="1134"/>
      </w:pPr>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7A356B">
      <w:pPr>
        <w:ind w:left="1134"/>
      </w:pPr>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52064818"/>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3B681D65" w:rsidR="005C29ED" w:rsidRDefault="005C29ED" w:rsidP="00D61976">
      <w:pPr>
        <w:pStyle w:val="Heading4"/>
        <w:rPr>
          <w:color w:val="B1173B" w:themeColor="accent1"/>
          <w:highlight w:val="yellow"/>
        </w:rPr>
      </w:pPr>
      <w:r>
        <w:lastRenderedPageBreak/>
        <w:t xml:space="preserve">Methodology </w:t>
      </w:r>
      <w:r w:rsidR="0B92878C">
        <w:t>3</w:t>
      </w:r>
      <w:r w:rsidR="00D17ECA">
        <w:t>0</w:t>
      </w:r>
      <w:r w:rsidR="5AB2F3EE" w:rsidRPr="0236CE7D">
        <w:rPr>
          <w:bCs/>
          <w:szCs w:val="28"/>
        </w:rPr>
        <w:t>%</w:t>
      </w:r>
    </w:p>
    <w:p w14:paraId="00314D37" w14:textId="50D0199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29"/>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1B4767AC" w:rsidR="005C29ED" w:rsidRDefault="005C29ED" w:rsidP="00350594">
      <w:pPr>
        <w:pStyle w:val="Heading4"/>
        <w:rPr>
          <w:color w:val="B1173B" w:themeColor="accent1"/>
          <w:highlight w:val="yellow"/>
        </w:rPr>
      </w:pPr>
      <w:r>
        <w:t xml:space="preserve">Delivery </w:t>
      </w:r>
      <w:r w:rsidR="005929D5">
        <w:t>20</w:t>
      </w:r>
      <w:r w:rsidR="48BFE9B8">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F715460" w:rsidR="005C29ED" w:rsidRPr="00374BAE" w:rsidRDefault="005C29ED" w:rsidP="00350594">
      <w:pPr>
        <w:pStyle w:val="Heading4"/>
        <w:rPr>
          <w:color w:val="B1173B"/>
          <w:highlight w:val="yellow"/>
        </w:rPr>
      </w:pPr>
      <w:r>
        <w:t xml:space="preserve">Experience </w:t>
      </w:r>
      <w:r w:rsidR="0D0174AF">
        <w:t>3</w:t>
      </w:r>
      <w:r w:rsidR="00D17ECA">
        <w:t>0</w:t>
      </w:r>
      <w:r w:rsidR="4DF0B97D" w:rsidRPr="0236CE7D">
        <w:rPr>
          <w:bCs/>
          <w:szCs w:val="28"/>
        </w:rPr>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23369DB6" w:rsidR="005C29ED" w:rsidRDefault="005C29ED" w:rsidP="00350594">
      <w:pPr>
        <w:pStyle w:val="Heading4"/>
        <w:rPr>
          <w:color w:val="B1173B" w:themeColor="accent1"/>
          <w:highlight w:val="yellow"/>
        </w:rPr>
      </w:pPr>
      <w:r>
        <w:t xml:space="preserve">Cost / Value for money </w:t>
      </w:r>
      <w:r w:rsidR="00D17ECA">
        <w:t>2</w:t>
      </w:r>
      <w:r w:rsidR="1268F607">
        <w:t>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52064819"/>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52064820"/>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910D62">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910D62">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1E9261E7" w:rsidR="00400432" w:rsidRPr="00400432" w:rsidRDefault="00D52D61" w:rsidP="00400432">
            <w:pPr>
              <w:pStyle w:val="TblText"/>
            </w:pPr>
            <w:r>
              <w:t>30 November 2023</w:t>
            </w:r>
          </w:p>
        </w:tc>
      </w:tr>
      <w:tr w:rsidR="00400432" w:rsidRPr="00400432" w14:paraId="42283B80" w14:textId="77777777" w:rsidTr="00910D62">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4B5B05FB" w:rsidR="00400432" w:rsidRPr="00400432" w:rsidRDefault="00D52D61" w:rsidP="00400432">
            <w:pPr>
              <w:pStyle w:val="TblText"/>
            </w:pPr>
            <w:r>
              <w:t>08 December 2023 10:00 am</w:t>
            </w:r>
          </w:p>
        </w:tc>
      </w:tr>
      <w:tr w:rsidR="00400432" w:rsidRPr="00400432" w14:paraId="66301268" w14:textId="77777777" w:rsidTr="00910D62">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039E9657" w:rsidR="00400432" w:rsidRPr="00400432" w:rsidRDefault="00D52D61" w:rsidP="00400432">
            <w:pPr>
              <w:pStyle w:val="TblText"/>
            </w:pPr>
            <w:r>
              <w:t>14 December 2023 10:00 am</w:t>
            </w:r>
          </w:p>
        </w:tc>
      </w:tr>
      <w:tr w:rsidR="00400432" w:rsidRPr="00400432" w14:paraId="2D3D0936" w14:textId="77777777" w:rsidTr="00910D62">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237683F2" w:rsidR="00400432" w:rsidRPr="00400432" w:rsidRDefault="00D52D61" w:rsidP="00400432">
            <w:pPr>
              <w:pStyle w:val="TblText"/>
            </w:pPr>
            <w:r>
              <w:t>2</w:t>
            </w:r>
            <w:r w:rsidR="00F0000A">
              <w:t>1</w:t>
            </w:r>
            <w:r>
              <w:t xml:space="preserve"> December 2023</w:t>
            </w:r>
          </w:p>
        </w:tc>
      </w:tr>
      <w:tr w:rsidR="00400432" w:rsidRPr="00136FA0" w14:paraId="3E83975E" w14:textId="77777777" w:rsidTr="00910D62">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5A9B2C88" w:rsidR="00400432" w:rsidRPr="008F5A46" w:rsidRDefault="00D52D61" w:rsidP="00D52D61">
            <w:pPr>
              <w:pStyle w:val="TblText"/>
              <w:ind w:left="0"/>
              <w:rPr>
                <w:lang w:val="fr-FR"/>
              </w:rPr>
            </w:pPr>
            <w:r>
              <w:rPr>
                <w:lang w:val="fr-FR"/>
              </w:rPr>
              <w:t xml:space="preserve"> </w:t>
            </w:r>
            <w:r w:rsidR="00465E6B" w:rsidRPr="008F5A46">
              <w:rPr>
                <w:lang w:val="fr-FR"/>
              </w:rPr>
              <w:t xml:space="preserve">w/c </w:t>
            </w:r>
            <w:r>
              <w:rPr>
                <w:lang w:val="fr-FR"/>
              </w:rPr>
              <w:t>01 January 2024</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52064821"/>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lastRenderedPageBreak/>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2"/>
          <w:headerReference w:type="default" r:id="rId23"/>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BAA8B3A">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5"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6"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7" w:history="1">
        <w:r w:rsidR="008F0B87" w:rsidRPr="00C9621C">
          <w:rPr>
            <w:rStyle w:val="Hyperlink"/>
          </w:rPr>
          <w:t>procurementteam@orr.gov.uk</w:t>
        </w:r>
      </w:hyperlink>
      <w:r w:rsidR="008F0B87">
        <w:t xml:space="preserve"> </w:t>
      </w:r>
    </w:p>
    <w:sectPr w:rsidR="00D25F7E" w:rsidRPr="00D25F7E" w:rsidSect="00D25F7E">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BD20" w14:textId="77777777" w:rsidR="00FC6860" w:rsidRDefault="00FC6860" w:rsidP="00555585">
      <w:pPr>
        <w:spacing w:after="0" w:line="240" w:lineRule="auto"/>
      </w:pPr>
      <w:r>
        <w:separator/>
      </w:r>
    </w:p>
  </w:endnote>
  <w:endnote w:type="continuationSeparator" w:id="0">
    <w:p w14:paraId="6B332666" w14:textId="77777777" w:rsidR="00FC6860" w:rsidRDefault="00FC6860" w:rsidP="00555585">
      <w:pPr>
        <w:spacing w:after="0" w:line="240" w:lineRule="auto"/>
      </w:pPr>
      <w:r>
        <w:continuationSeparator/>
      </w:r>
    </w:p>
  </w:endnote>
  <w:endnote w:type="continuationNotice" w:id="1">
    <w:p w14:paraId="6B5F3F47" w14:textId="77777777" w:rsidR="00410C4B" w:rsidRDefault="00410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9DCA" w14:textId="77777777" w:rsidR="00FC6860" w:rsidRDefault="00FC6860" w:rsidP="00555585">
      <w:pPr>
        <w:spacing w:after="0" w:line="240" w:lineRule="auto"/>
      </w:pPr>
      <w:r>
        <w:separator/>
      </w:r>
    </w:p>
  </w:footnote>
  <w:footnote w:type="continuationSeparator" w:id="0">
    <w:p w14:paraId="6623585E" w14:textId="77777777" w:rsidR="00FC6860" w:rsidRDefault="00FC6860" w:rsidP="00555585">
      <w:pPr>
        <w:spacing w:after="0" w:line="240" w:lineRule="auto"/>
      </w:pPr>
      <w:r>
        <w:continuationSeparator/>
      </w:r>
    </w:p>
  </w:footnote>
  <w:footnote w:type="continuationNotice" w:id="1">
    <w:p w14:paraId="662A9B33" w14:textId="77777777" w:rsidR="00410C4B" w:rsidRDefault="00410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F609D1">
      <w:fldChar w:fldCharType="begin"/>
    </w:r>
    <w:r w:rsidR="00F609D1">
      <w:instrText xml:space="preserve"> DOCVARIABLE  txtHdr  \* MERGEFORMAT </w:instrText>
    </w:r>
    <w:r w:rsidR="00F609D1">
      <w:fldChar w:fldCharType="separate"/>
    </w:r>
    <w:r w:rsidRPr="00D25F7E">
      <w:rPr>
        <w:b w:val="0"/>
        <w:bCs/>
        <w:lang w:val="en-US"/>
      </w:rPr>
      <w:instrText>ITT</w:instrText>
    </w:r>
    <w:r w:rsidR="00F609D1">
      <w:rPr>
        <w:b w:val="0"/>
        <w:bCs/>
        <w:lang w:val="en-US"/>
      </w:rPr>
      <w:fldChar w:fldCharType="end"/>
    </w:r>
    <w:r w:rsidRPr="00AC3B7A">
      <w:instrText xml:space="preserve"> = "Error! No document variable supplied." " " </w:instrText>
    </w:r>
    <w:r w:rsidR="00F609D1">
      <w:fldChar w:fldCharType="begin"/>
    </w:r>
    <w:r w:rsidR="00F609D1">
      <w:instrText xml:space="preserve"> DOCVARIABLE  txtHdr \* MERGEFORMAT </w:instrText>
    </w:r>
    <w:r w:rsidR="00F609D1">
      <w:fldChar w:fldCharType="separate"/>
    </w:r>
    <w:r>
      <w:instrText>ITT</w:instrText>
    </w:r>
    <w:r w:rsidR="00F609D1">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F609D1">
      <w:fldChar w:fldCharType="begin"/>
    </w:r>
    <w:r w:rsidR="00F609D1">
      <w:instrText xml:space="preserve"> DOCVARIABLE  txtHdr  \* MERGEFORMAT </w:instrText>
    </w:r>
    <w:r w:rsidR="00F609D1">
      <w:fldChar w:fldCharType="separate"/>
    </w:r>
    <w:r w:rsidRPr="00D25F7E">
      <w:rPr>
        <w:b w:val="0"/>
        <w:bCs/>
        <w:lang w:val="en-US"/>
      </w:rPr>
      <w:instrText>ITT</w:instrText>
    </w:r>
    <w:r w:rsidR="00F609D1">
      <w:rPr>
        <w:b w:val="0"/>
        <w:bCs/>
        <w:lang w:val="en-US"/>
      </w:rPr>
      <w:fldChar w:fldCharType="end"/>
    </w:r>
    <w:r w:rsidRPr="00AC3B7A">
      <w:instrText xml:space="preserve"> = "Error! No document variable supplied." " " </w:instrText>
    </w:r>
    <w:r w:rsidR="00F609D1">
      <w:fldChar w:fldCharType="begin"/>
    </w:r>
    <w:r w:rsidR="00F609D1">
      <w:instrText xml:space="preserve"> DOCVARIABLE  txtHdr \* MERGEFORMAT </w:instrText>
    </w:r>
    <w:r w:rsidR="00F609D1">
      <w:fldChar w:fldCharType="separate"/>
    </w:r>
    <w:r>
      <w:instrText>ITT</w:instrText>
    </w:r>
    <w:r w:rsidR="00F609D1">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hybrid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lvl>
    <w:lvl w:ilvl="1">
      <w:start w:val="1"/>
      <w:numFmt w:val="lowerLetter"/>
      <w:pStyle w:val="NormalBulletalpha"/>
      <w:lvlText w:val="(%2)"/>
      <w:lvlJc w:val="left"/>
      <w:pPr>
        <w:tabs>
          <w:tab w:val="num" w:pos="1134"/>
        </w:tabs>
        <w:ind w:left="1134" w:hanging="567"/>
      </w:pPr>
      <w:rPr>
        <w:color w:val="auto"/>
        <w:szCs w:val="28"/>
      </w:rPr>
    </w:lvl>
    <w:lvl w:ilvl="2">
      <w:start w:val="1"/>
      <w:numFmt w:val="lowerRoman"/>
      <w:pStyle w:val="NormalBulletroman"/>
      <w:lvlText w:val="(%3)"/>
      <w:lvlJc w:val="left"/>
      <w:pPr>
        <w:tabs>
          <w:tab w:val="num" w:pos="1701"/>
        </w:tabs>
        <w:ind w:left="1701" w:hanging="567"/>
      </w:pPr>
      <w:rPr>
        <w:color w:val="auto"/>
      </w:rPr>
    </w:lvl>
    <w:lvl w:ilvl="3">
      <w:start w:val="1"/>
      <w:numFmt w:val="decimal"/>
      <w:pStyle w:val="NormalBulletnumber"/>
      <w:lvlText w:val="(%4)"/>
      <w:lvlJc w:val="left"/>
      <w:pPr>
        <w:tabs>
          <w:tab w:val="num" w:pos="2268"/>
        </w:tabs>
        <w:ind w:left="2268" w:hanging="567"/>
      </w:pPr>
      <w:rPr>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lvl>
    <w:lvl w:ilvl="7">
      <w:start w:val="1"/>
      <w:numFmt w:val="decimal"/>
      <w:lvlRestart w:val="0"/>
      <w:pStyle w:val="NormalFigureTitle"/>
      <w:lvlText w:val="Figure %8."/>
      <w:lvlJc w:val="left"/>
      <w:pPr>
        <w:tabs>
          <w:tab w:val="num" w:pos="1134"/>
        </w:tabs>
        <w:ind w:left="1134" w:hanging="1134"/>
      </w:pPr>
    </w:lvl>
    <w:lvl w:ilvl="8">
      <w:start w:val="1"/>
      <w:numFmt w:val="decimal"/>
      <w:suff w:val="nothing"/>
      <w:lvlText w:val=""/>
      <w:lvlJc w:val="left"/>
      <w:pPr>
        <w:ind w:left="0" w:firstLine="0"/>
      </w:p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Calibri" w:hAnsi="Calibri" w:hint="default"/>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6" w15:restartNumberingAfterBreak="0">
    <w:nsid w:val="68BD5682"/>
    <w:multiLevelType w:val="multilevel"/>
    <w:tmpl w:val="EAD453D0"/>
    <w:numStyleLink w:val="NumbListHighlight"/>
  </w:abstractNum>
  <w:abstractNum w:abstractNumId="17"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9" w15:restartNumberingAfterBreak="0">
    <w:nsid w:val="774C62AB"/>
    <w:multiLevelType w:val="multilevel"/>
    <w:tmpl w:val="6B204466"/>
    <w:numStyleLink w:val="ORRAnnex"/>
  </w:abstractNum>
  <w:abstractNum w:abstractNumId="20" w15:restartNumberingAfterBreak="0">
    <w:nsid w:val="7DDA5CB4"/>
    <w:multiLevelType w:val="multilevel"/>
    <w:tmpl w:val="6B204466"/>
    <w:numStyleLink w:val="ORRAnnex"/>
  </w:abstractNum>
  <w:abstractNum w:abstractNumId="21" w15:restartNumberingAfterBreak="0">
    <w:nsid w:val="7F0F47A3"/>
    <w:multiLevelType w:val="hybridMultilevel"/>
    <w:tmpl w:val="E364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007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18"/>
  </w:num>
  <w:num w:numId="3" w16cid:durableId="615990203">
    <w:abstractNumId w:val="6"/>
  </w:num>
  <w:num w:numId="4" w16cid:durableId="1539008159">
    <w:abstractNumId w:val="14"/>
  </w:num>
  <w:num w:numId="5" w16cid:durableId="1334801291">
    <w:abstractNumId w:val="7"/>
  </w:num>
  <w:num w:numId="6" w16cid:durableId="116142554">
    <w:abstractNumId w:val="10"/>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6"/>
  </w:num>
  <w:num w:numId="12" w16cid:durableId="435447028">
    <w:abstractNumId w:val="15"/>
  </w:num>
  <w:num w:numId="13" w16cid:durableId="2048019962">
    <w:abstractNumId w:val="19"/>
  </w:num>
  <w:num w:numId="14" w16cid:durableId="2025738407">
    <w:abstractNumId w:val="16"/>
  </w:num>
  <w:num w:numId="15" w16cid:durableId="150879135">
    <w:abstractNumId w:val="16"/>
  </w:num>
  <w:num w:numId="16" w16cid:durableId="891042484">
    <w:abstractNumId w:val="16"/>
  </w:num>
  <w:num w:numId="17" w16cid:durableId="727414043">
    <w:abstractNumId w:val="15"/>
  </w:num>
  <w:num w:numId="18" w16cid:durableId="1027833524">
    <w:abstractNumId w:val="1"/>
  </w:num>
  <w:num w:numId="19" w16cid:durableId="50661355">
    <w:abstractNumId w:val="5"/>
  </w:num>
  <w:num w:numId="20" w16cid:durableId="1446195555">
    <w:abstractNumId w:val="3"/>
  </w:num>
  <w:num w:numId="21" w16cid:durableId="558327301">
    <w:abstractNumId w:val="20"/>
  </w:num>
  <w:num w:numId="22" w16cid:durableId="463500638">
    <w:abstractNumId w:val="12"/>
  </w:num>
  <w:num w:numId="23" w16cid:durableId="1527019102">
    <w:abstractNumId w:val="2"/>
  </w:num>
  <w:num w:numId="24"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17"/>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3"/>
  </w:num>
  <w:num w:numId="33" w16cid:durableId="1275480058">
    <w:abstractNumId w:val="5"/>
  </w:num>
  <w:num w:numId="34" w16cid:durableId="124564934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25AE4"/>
    <w:rsid w:val="0003350C"/>
    <w:rsid w:val="00034DF1"/>
    <w:rsid w:val="00036DEB"/>
    <w:rsid w:val="00037BD2"/>
    <w:rsid w:val="00042283"/>
    <w:rsid w:val="00042B65"/>
    <w:rsid w:val="00043DA2"/>
    <w:rsid w:val="0004428A"/>
    <w:rsid w:val="00046514"/>
    <w:rsid w:val="0005181F"/>
    <w:rsid w:val="00066737"/>
    <w:rsid w:val="000735F1"/>
    <w:rsid w:val="00074C77"/>
    <w:rsid w:val="00076B67"/>
    <w:rsid w:val="000833AF"/>
    <w:rsid w:val="00084783"/>
    <w:rsid w:val="00084972"/>
    <w:rsid w:val="0008514C"/>
    <w:rsid w:val="000876CB"/>
    <w:rsid w:val="0009111B"/>
    <w:rsid w:val="0009126F"/>
    <w:rsid w:val="0009203F"/>
    <w:rsid w:val="000A0438"/>
    <w:rsid w:val="000A6DE7"/>
    <w:rsid w:val="000B0266"/>
    <w:rsid w:val="000B309A"/>
    <w:rsid w:val="000B6176"/>
    <w:rsid w:val="000C7B66"/>
    <w:rsid w:val="000D2970"/>
    <w:rsid w:val="000D2E61"/>
    <w:rsid w:val="000E135E"/>
    <w:rsid w:val="000E5AB1"/>
    <w:rsid w:val="000E5E49"/>
    <w:rsid w:val="000F4554"/>
    <w:rsid w:val="000F5529"/>
    <w:rsid w:val="000F70BB"/>
    <w:rsid w:val="000F7BB6"/>
    <w:rsid w:val="001012B6"/>
    <w:rsid w:val="00102F62"/>
    <w:rsid w:val="00110661"/>
    <w:rsid w:val="00120892"/>
    <w:rsid w:val="0012193D"/>
    <w:rsid w:val="00124D1D"/>
    <w:rsid w:val="00136FA0"/>
    <w:rsid w:val="00137015"/>
    <w:rsid w:val="00141746"/>
    <w:rsid w:val="001526A6"/>
    <w:rsid w:val="00155088"/>
    <w:rsid w:val="0015625B"/>
    <w:rsid w:val="00156D5F"/>
    <w:rsid w:val="001604C0"/>
    <w:rsid w:val="00160B26"/>
    <w:rsid w:val="00162B03"/>
    <w:rsid w:val="001659DD"/>
    <w:rsid w:val="00175A76"/>
    <w:rsid w:val="001768F1"/>
    <w:rsid w:val="00180E47"/>
    <w:rsid w:val="001858EB"/>
    <w:rsid w:val="001904A1"/>
    <w:rsid w:val="00194E09"/>
    <w:rsid w:val="00195C79"/>
    <w:rsid w:val="001A00F0"/>
    <w:rsid w:val="001A1058"/>
    <w:rsid w:val="001A1861"/>
    <w:rsid w:val="001A4E9E"/>
    <w:rsid w:val="001B3FD8"/>
    <w:rsid w:val="001B54A7"/>
    <w:rsid w:val="001B551F"/>
    <w:rsid w:val="001B5A48"/>
    <w:rsid w:val="001B62CD"/>
    <w:rsid w:val="001B71F8"/>
    <w:rsid w:val="001C60A4"/>
    <w:rsid w:val="001D1536"/>
    <w:rsid w:val="001D590D"/>
    <w:rsid w:val="001D5DF3"/>
    <w:rsid w:val="001D7D06"/>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2E1A"/>
    <w:rsid w:val="00224950"/>
    <w:rsid w:val="00225D2C"/>
    <w:rsid w:val="00225EFD"/>
    <w:rsid w:val="00230B03"/>
    <w:rsid w:val="00240410"/>
    <w:rsid w:val="002459ED"/>
    <w:rsid w:val="00247B4C"/>
    <w:rsid w:val="0025242F"/>
    <w:rsid w:val="00257BE5"/>
    <w:rsid w:val="00272200"/>
    <w:rsid w:val="00276C64"/>
    <w:rsid w:val="0028433A"/>
    <w:rsid w:val="00286CF2"/>
    <w:rsid w:val="0028735A"/>
    <w:rsid w:val="0029283C"/>
    <w:rsid w:val="0029316D"/>
    <w:rsid w:val="00293D38"/>
    <w:rsid w:val="00297104"/>
    <w:rsid w:val="002B0B41"/>
    <w:rsid w:val="002B7522"/>
    <w:rsid w:val="002B7995"/>
    <w:rsid w:val="002C5A50"/>
    <w:rsid w:val="002C6E70"/>
    <w:rsid w:val="002D0E5B"/>
    <w:rsid w:val="002D1294"/>
    <w:rsid w:val="002D3643"/>
    <w:rsid w:val="002D46DA"/>
    <w:rsid w:val="002E2DAD"/>
    <w:rsid w:val="002E5447"/>
    <w:rsid w:val="002E7122"/>
    <w:rsid w:val="002F111F"/>
    <w:rsid w:val="002F2791"/>
    <w:rsid w:val="002F5466"/>
    <w:rsid w:val="002F56B7"/>
    <w:rsid w:val="003022AD"/>
    <w:rsid w:val="0030237B"/>
    <w:rsid w:val="003027B1"/>
    <w:rsid w:val="00305744"/>
    <w:rsid w:val="00311FD5"/>
    <w:rsid w:val="0031536D"/>
    <w:rsid w:val="003247A4"/>
    <w:rsid w:val="00327580"/>
    <w:rsid w:val="003366E7"/>
    <w:rsid w:val="0034126E"/>
    <w:rsid w:val="0034288F"/>
    <w:rsid w:val="00343838"/>
    <w:rsid w:val="00347F87"/>
    <w:rsid w:val="00350594"/>
    <w:rsid w:val="003543C0"/>
    <w:rsid w:val="0035753E"/>
    <w:rsid w:val="00364491"/>
    <w:rsid w:val="0036504A"/>
    <w:rsid w:val="00372316"/>
    <w:rsid w:val="00372ABD"/>
    <w:rsid w:val="00373019"/>
    <w:rsid w:val="00374BAE"/>
    <w:rsid w:val="003764B8"/>
    <w:rsid w:val="003813C5"/>
    <w:rsid w:val="00384699"/>
    <w:rsid w:val="00385387"/>
    <w:rsid w:val="00385F6B"/>
    <w:rsid w:val="00386AF7"/>
    <w:rsid w:val="00386E0A"/>
    <w:rsid w:val="00387500"/>
    <w:rsid w:val="00395E68"/>
    <w:rsid w:val="003B008E"/>
    <w:rsid w:val="003B09D0"/>
    <w:rsid w:val="003B1008"/>
    <w:rsid w:val="003B27DE"/>
    <w:rsid w:val="003C0BDF"/>
    <w:rsid w:val="003C247A"/>
    <w:rsid w:val="003C3449"/>
    <w:rsid w:val="003C3BA6"/>
    <w:rsid w:val="003C462A"/>
    <w:rsid w:val="003D0868"/>
    <w:rsid w:val="003D1485"/>
    <w:rsid w:val="003D1B7D"/>
    <w:rsid w:val="003D1CC2"/>
    <w:rsid w:val="003D23BA"/>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0815"/>
    <w:rsid w:val="00410C4B"/>
    <w:rsid w:val="004121D9"/>
    <w:rsid w:val="00414896"/>
    <w:rsid w:val="00424046"/>
    <w:rsid w:val="00424A5C"/>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1816"/>
    <w:rsid w:val="00465E6B"/>
    <w:rsid w:val="00472A7C"/>
    <w:rsid w:val="00476327"/>
    <w:rsid w:val="0048300B"/>
    <w:rsid w:val="0048709A"/>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3BDF"/>
    <w:rsid w:val="00555585"/>
    <w:rsid w:val="005612F3"/>
    <w:rsid w:val="005635FA"/>
    <w:rsid w:val="00574B16"/>
    <w:rsid w:val="005778AD"/>
    <w:rsid w:val="00580A77"/>
    <w:rsid w:val="00585CEE"/>
    <w:rsid w:val="00591161"/>
    <w:rsid w:val="005929D5"/>
    <w:rsid w:val="00596F73"/>
    <w:rsid w:val="005B27FB"/>
    <w:rsid w:val="005B3ED1"/>
    <w:rsid w:val="005B5662"/>
    <w:rsid w:val="005B621F"/>
    <w:rsid w:val="005B7791"/>
    <w:rsid w:val="005C0E21"/>
    <w:rsid w:val="005C29ED"/>
    <w:rsid w:val="005C5BD8"/>
    <w:rsid w:val="005C6471"/>
    <w:rsid w:val="005C78C8"/>
    <w:rsid w:val="005D0524"/>
    <w:rsid w:val="005D169D"/>
    <w:rsid w:val="005E1B89"/>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0AE6"/>
    <w:rsid w:val="00691342"/>
    <w:rsid w:val="00697CDA"/>
    <w:rsid w:val="006A063F"/>
    <w:rsid w:val="006A6751"/>
    <w:rsid w:val="006B10E9"/>
    <w:rsid w:val="006B198C"/>
    <w:rsid w:val="006B27E0"/>
    <w:rsid w:val="006B657D"/>
    <w:rsid w:val="006C004C"/>
    <w:rsid w:val="006C02BD"/>
    <w:rsid w:val="006C15DB"/>
    <w:rsid w:val="006D1DD8"/>
    <w:rsid w:val="006D4741"/>
    <w:rsid w:val="006D6465"/>
    <w:rsid w:val="006E1B6F"/>
    <w:rsid w:val="006E214D"/>
    <w:rsid w:val="006E25F6"/>
    <w:rsid w:val="006E55C1"/>
    <w:rsid w:val="006F23B6"/>
    <w:rsid w:val="006F6490"/>
    <w:rsid w:val="006F663A"/>
    <w:rsid w:val="00703BE0"/>
    <w:rsid w:val="00705CF5"/>
    <w:rsid w:val="007062A6"/>
    <w:rsid w:val="00713B94"/>
    <w:rsid w:val="00716CEC"/>
    <w:rsid w:val="00717537"/>
    <w:rsid w:val="007200CC"/>
    <w:rsid w:val="007222B4"/>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74A32"/>
    <w:rsid w:val="00780E75"/>
    <w:rsid w:val="00785937"/>
    <w:rsid w:val="0078666C"/>
    <w:rsid w:val="00790401"/>
    <w:rsid w:val="00790AD2"/>
    <w:rsid w:val="0079264A"/>
    <w:rsid w:val="00796755"/>
    <w:rsid w:val="00796E71"/>
    <w:rsid w:val="007979A7"/>
    <w:rsid w:val="00797F75"/>
    <w:rsid w:val="007A1F12"/>
    <w:rsid w:val="007A356B"/>
    <w:rsid w:val="007B1555"/>
    <w:rsid w:val="007C43C1"/>
    <w:rsid w:val="007D5014"/>
    <w:rsid w:val="007E2744"/>
    <w:rsid w:val="007E4EC4"/>
    <w:rsid w:val="007E6E4B"/>
    <w:rsid w:val="007F3F24"/>
    <w:rsid w:val="007F4B75"/>
    <w:rsid w:val="007F4EB6"/>
    <w:rsid w:val="007F6498"/>
    <w:rsid w:val="007F6B18"/>
    <w:rsid w:val="007F7402"/>
    <w:rsid w:val="00806042"/>
    <w:rsid w:val="008122F2"/>
    <w:rsid w:val="008145A2"/>
    <w:rsid w:val="0081555F"/>
    <w:rsid w:val="0081639D"/>
    <w:rsid w:val="008174A6"/>
    <w:rsid w:val="00826F5D"/>
    <w:rsid w:val="008277B1"/>
    <w:rsid w:val="00831EE0"/>
    <w:rsid w:val="0083798F"/>
    <w:rsid w:val="00841B8C"/>
    <w:rsid w:val="008420FD"/>
    <w:rsid w:val="008422F2"/>
    <w:rsid w:val="00845EDF"/>
    <w:rsid w:val="008475B8"/>
    <w:rsid w:val="00851E44"/>
    <w:rsid w:val="00852E5A"/>
    <w:rsid w:val="00856DAD"/>
    <w:rsid w:val="00861D6B"/>
    <w:rsid w:val="008624E2"/>
    <w:rsid w:val="008640BB"/>
    <w:rsid w:val="008667A9"/>
    <w:rsid w:val="00867C45"/>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51BE"/>
    <w:rsid w:val="008A535B"/>
    <w:rsid w:val="008A7042"/>
    <w:rsid w:val="008A7E5E"/>
    <w:rsid w:val="008B39F2"/>
    <w:rsid w:val="008B50A1"/>
    <w:rsid w:val="008B68EF"/>
    <w:rsid w:val="008B6DC1"/>
    <w:rsid w:val="008C091C"/>
    <w:rsid w:val="008C1870"/>
    <w:rsid w:val="008C30D2"/>
    <w:rsid w:val="008D4781"/>
    <w:rsid w:val="008D4C55"/>
    <w:rsid w:val="008D5E69"/>
    <w:rsid w:val="008D60C8"/>
    <w:rsid w:val="008D7CBF"/>
    <w:rsid w:val="008E1BC8"/>
    <w:rsid w:val="008E3D37"/>
    <w:rsid w:val="008E3E7D"/>
    <w:rsid w:val="008E61DF"/>
    <w:rsid w:val="008F04E0"/>
    <w:rsid w:val="008F0B87"/>
    <w:rsid w:val="008F18B3"/>
    <w:rsid w:val="008F1A0A"/>
    <w:rsid w:val="008F5A46"/>
    <w:rsid w:val="008F676D"/>
    <w:rsid w:val="00901C9A"/>
    <w:rsid w:val="0090243F"/>
    <w:rsid w:val="00903EB2"/>
    <w:rsid w:val="00904857"/>
    <w:rsid w:val="0090622E"/>
    <w:rsid w:val="00907F32"/>
    <w:rsid w:val="009102F8"/>
    <w:rsid w:val="00910D62"/>
    <w:rsid w:val="00910E4A"/>
    <w:rsid w:val="009111CF"/>
    <w:rsid w:val="00913800"/>
    <w:rsid w:val="00914861"/>
    <w:rsid w:val="00916C88"/>
    <w:rsid w:val="00917106"/>
    <w:rsid w:val="00920F55"/>
    <w:rsid w:val="00922ECA"/>
    <w:rsid w:val="009265DD"/>
    <w:rsid w:val="009319AE"/>
    <w:rsid w:val="009375BF"/>
    <w:rsid w:val="0094130E"/>
    <w:rsid w:val="00943912"/>
    <w:rsid w:val="00955C8D"/>
    <w:rsid w:val="009617D1"/>
    <w:rsid w:val="00963E0B"/>
    <w:rsid w:val="009646F5"/>
    <w:rsid w:val="00973BC6"/>
    <w:rsid w:val="009757DA"/>
    <w:rsid w:val="00980717"/>
    <w:rsid w:val="00981E60"/>
    <w:rsid w:val="009822CC"/>
    <w:rsid w:val="00982820"/>
    <w:rsid w:val="009852F9"/>
    <w:rsid w:val="0099269F"/>
    <w:rsid w:val="00992B05"/>
    <w:rsid w:val="00994102"/>
    <w:rsid w:val="009942BE"/>
    <w:rsid w:val="009A5DA3"/>
    <w:rsid w:val="009B04F7"/>
    <w:rsid w:val="009B30EB"/>
    <w:rsid w:val="009B5565"/>
    <w:rsid w:val="009B5BCC"/>
    <w:rsid w:val="009C1486"/>
    <w:rsid w:val="009C3E78"/>
    <w:rsid w:val="009C7888"/>
    <w:rsid w:val="009D4BF5"/>
    <w:rsid w:val="009E0644"/>
    <w:rsid w:val="009E13FE"/>
    <w:rsid w:val="009E34CC"/>
    <w:rsid w:val="009E476E"/>
    <w:rsid w:val="009F2357"/>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03B"/>
    <w:rsid w:val="00A5113C"/>
    <w:rsid w:val="00A525B9"/>
    <w:rsid w:val="00A575FC"/>
    <w:rsid w:val="00A61951"/>
    <w:rsid w:val="00A66AC8"/>
    <w:rsid w:val="00A67863"/>
    <w:rsid w:val="00A70251"/>
    <w:rsid w:val="00A70557"/>
    <w:rsid w:val="00A739EA"/>
    <w:rsid w:val="00A73FDA"/>
    <w:rsid w:val="00A76F4C"/>
    <w:rsid w:val="00A77203"/>
    <w:rsid w:val="00A77317"/>
    <w:rsid w:val="00A90826"/>
    <w:rsid w:val="00A93476"/>
    <w:rsid w:val="00A95FB0"/>
    <w:rsid w:val="00AA796A"/>
    <w:rsid w:val="00AB3000"/>
    <w:rsid w:val="00AB6599"/>
    <w:rsid w:val="00AC3F17"/>
    <w:rsid w:val="00AE1221"/>
    <w:rsid w:val="00AF205E"/>
    <w:rsid w:val="00AF41B0"/>
    <w:rsid w:val="00AF5A70"/>
    <w:rsid w:val="00AF7AF9"/>
    <w:rsid w:val="00B017A5"/>
    <w:rsid w:val="00B04D1F"/>
    <w:rsid w:val="00B0622B"/>
    <w:rsid w:val="00B1006D"/>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89A"/>
    <w:rsid w:val="00BA3E54"/>
    <w:rsid w:val="00BA75AF"/>
    <w:rsid w:val="00BD1EDB"/>
    <w:rsid w:val="00BD1F08"/>
    <w:rsid w:val="00BD278B"/>
    <w:rsid w:val="00BE1FE1"/>
    <w:rsid w:val="00BE2981"/>
    <w:rsid w:val="00BE73AB"/>
    <w:rsid w:val="00BF056F"/>
    <w:rsid w:val="00BF2BC5"/>
    <w:rsid w:val="00BF321E"/>
    <w:rsid w:val="00BF3BAC"/>
    <w:rsid w:val="00BF50D6"/>
    <w:rsid w:val="00C00032"/>
    <w:rsid w:val="00C129B9"/>
    <w:rsid w:val="00C12DE6"/>
    <w:rsid w:val="00C15B7B"/>
    <w:rsid w:val="00C23E57"/>
    <w:rsid w:val="00C24959"/>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3A2C"/>
    <w:rsid w:val="00C66D50"/>
    <w:rsid w:val="00C6719E"/>
    <w:rsid w:val="00C7169D"/>
    <w:rsid w:val="00C76E4E"/>
    <w:rsid w:val="00C81EF5"/>
    <w:rsid w:val="00C8418E"/>
    <w:rsid w:val="00C84CC1"/>
    <w:rsid w:val="00C91699"/>
    <w:rsid w:val="00C97CC2"/>
    <w:rsid w:val="00C97F2B"/>
    <w:rsid w:val="00CA080B"/>
    <w:rsid w:val="00CA1A9E"/>
    <w:rsid w:val="00CA25B2"/>
    <w:rsid w:val="00CA2A88"/>
    <w:rsid w:val="00CA2C61"/>
    <w:rsid w:val="00CA4721"/>
    <w:rsid w:val="00CA7DF5"/>
    <w:rsid w:val="00CB359C"/>
    <w:rsid w:val="00CC0085"/>
    <w:rsid w:val="00CC21C9"/>
    <w:rsid w:val="00CC51FF"/>
    <w:rsid w:val="00CC5E62"/>
    <w:rsid w:val="00CC7D40"/>
    <w:rsid w:val="00CD62FF"/>
    <w:rsid w:val="00CE2434"/>
    <w:rsid w:val="00CE4C99"/>
    <w:rsid w:val="00CE5EE2"/>
    <w:rsid w:val="00CE7358"/>
    <w:rsid w:val="00D00048"/>
    <w:rsid w:val="00D0044E"/>
    <w:rsid w:val="00D07E76"/>
    <w:rsid w:val="00D10D3A"/>
    <w:rsid w:val="00D17ECA"/>
    <w:rsid w:val="00D2010B"/>
    <w:rsid w:val="00D20E23"/>
    <w:rsid w:val="00D21C2C"/>
    <w:rsid w:val="00D2517B"/>
    <w:rsid w:val="00D25F7E"/>
    <w:rsid w:val="00D27573"/>
    <w:rsid w:val="00D3030F"/>
    <w:rsid w:val="00D3273A"/>
    <w:rsid w:val="00D401C8"/>
    <w:rsid w:val="00D40E5E"/>
    <w:rsid w:val="00D41AB3"/>
    <w:rsid w:val="00D42F12"/>
    <w:rsid w:val="00D435F4"/>
    <w:rsid w:val="00D477C4"/>
    <w:rsid w:val="00D50E88"/>
    <w:rsid w:val="00D52D61"/>
    <w:rsid w:val="00D55AD3"/>
    <w:rsid w:val="00D55BB5"/>
    <w:rsid w:val="00D6141A"/>
    <w:rsid w:val="00D6160E"/>
    <w:rsid w:val="00D61976"/>
    <w:rsid w:val="00D643F1"/>
    <w:rsid w:val="00D7043B"/>
    <w:rsid w:val="00D7062B"/>
    <w:rsid w:val="00D70ECD"/>
    <w:rsid w:val="00D735B7"/>
    <w:rsid w:val="00D776B6"/>
    <w:rsid w:val="00D8087B"/>
    <w:rsid w:val="00D8563F"/>
    <w:rsid w:val="00D86C83"/>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4EB0"/>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3D91"/>
    <w:rsid w:val="00EC4B09"/>
    <w:rsid w:val="00EC5142"/>
    <w:rsid w:val="00EC6B13"/>
    <w:rsid w:val="00ED0A15"/>
    <w:rsid w:val="00ED3BA5"/>
    <w:rsid w:val="00ED3BE5"/>
    <w:rsid w:val="00ED6FD1"/>
    <w:rsid w:val="00EE0391"/>
    <w:rsid w:val="00EE0513"/>
    <w:rsid w:val="00EE278D"/>
    <w:rsid w:val="00EE2909"/>
    <w:rsid w:val="00EE5809"/>
    <w:rsid w:val="00EE5FED"/>
    <w:rsid w:val="00EF09B1"/>
    <w:rsid w:val="00EF1BA0"/>
    <w:rsid w:val="00EF33AC"/>
    <w:rsid w:val="00EF3FD3"/>
    <w:rsid w:val="00EF62CE"/>
    <w:rsid w:val="00F0000A"/>
    <w:rsid w:val="00F01773"/>
    <w:rsid w:val="00F052B9"/>
    <w:rsid w:val="00F056ED"/>
    <w:rsid w:val="00F1129E"/>
    <w:rsid w:val="00F113B1"/>
    <w:rsid w:val="00F1376F"/>
    <w:rsid w:val="00F146E9"/>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4659D"/>
    <w:rsid w:val="00F521D3"/>
    <w:rsid w:val="00F52217"/>
    <w:rsid w:val="00F5285F"/>
    <w:rsid w:val="00F609D1"/>
    <w:rsid w:val="00F670B0"/>
    <w:rsid w:val="00F679B4"/>
    <w:rsid w:val="00F76054"/>
    <w:rsid w:val="00F7636E"/>
    <w:rsid w:val="00F76E31"/>
    <w:rsid w:val="00F77726"/>
    <w:rsid w:val="00F77DF3"/>
    <w:rsid w:val="00F83493"/>
    <w:rsid w:val="00F85D04"/>
    <w:rsid w:val="00F860CE"/>
    <w:rsid w:val="00F90A82"/>
    <w:rsid w:val="00F93A27"/>
    <w:rsid w:val="00F93B87"/>
    <w:rsid w:val="00F94A27"/>
    <w:rsid w:val="00F97820"/>
    <w:rsid w:val="00FA07A9"/>
    <w:rsid w:val="00FA5952"/>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71F4"/>
    <w:rsid w:val="00FF09BF"/>
    <w:rsid w:val="0236CE7D"/>
    <w:rsid w:val="034C7FC0"/>
    <w:rsid w:val="06ED9C00"/>
    <w:rsid w:val="095F9C46"/>
    <w:rsid w:val="0AA9039A"/>
    <w:rsid w:val="0B92878C"/>
    <w:rsid w:val="0BE78E90"/>
    <w:rsid w:val="0D0174AF"/>
    <w:rsid w:val="10A5552C"/>
    <w:rsid w:val="115D2A5C"/>
    <w:rsid w:val="1268F607"/>
    <w:rsid w:val="14854D1E"/>
    <w:rsid w:val="14E65C4F"/>
    <w:rsid w:val="1CBD5C85"/>
    <w:rsid w:val="1DD3A603"/>
    <w:rsid w:val="1DE36C43"/>
    <w:rsid w:val="1E08057E"/>
    <w:rsid w:val="1E2FDD65"/>
    <w:rsid w:val="1EF8BE97"/>
    <w:rsid w:val="22E5E0B2"/>
    <w:rsid w:val="258A8EDE"/>
    <w:rsid w:val="2CA26D46"/>
    <w:rsid w:val="2CE64886"/>
    <w:rsid w:val="2DD4F11C"/>
    <w:rsid w:val="325C13D4"/>
    <w:rsid w:val="35D8FAED"/>
    <w:rsid w:val="3A7E8A6E"/>
    <w:rsid w:val="3C6A4CAA"/>
    <w:rsid w:val="3EBE2D90"/>
    <w:rsid w:val="3FAAC2B8"/>
    <w:rsid w:val="401DC19C"/>
    <w:rsid w:val="402636CE"/>
    <w:rsid w:val="40779C63"/>
    <w:rsid w:val="47469B25"/>
    <w:rsid w:val="48A5D1FB"/>
    <w:rsid w:val="48BFE9B8"/>
    <w:rsid w:val="4A0D9F72"/>
    <w:rsid w:val="4C2659C6"/>
    <w:rsid w:val="4C9D56C3"/>
    <w:rsid w:val="4DF0B97D"/>
    <w:rsid w:val="51EE0B2A"/>
    <w:rsid w:val="541D19F0"/>
    <w:rsid w:val="57DAEA32"/>
    <w:rsid w:val="5AB2F3EE"/>
    <w:rsid w:val="5B5ECCB7"/>
    <w:rsid w:val="5DBE3FB5"/>
    <w:rsid w:val="5DE39F13"/>
    <w:rsid w:val="6082D8B2"/>
    <w:rsid w:val="62DC62DD"/>
    <w:rsid w:val="64B4CF9F"/>
    <w:rsid w:val="65A7BA08"/>
    <w:rsid w:val="67383BBF"/>
    <w:rsid w:val="68836F8E"/>
    <w:rsid w:val="6EF6AE5A"/>
    <w:rsid w:val="6F17C44A"/>
    <w:rsid w:val="775865AC"/>
    <w:rsid w:val="77C7A140"/>
    <w:rsid w:val="77F414A5"/>
    <w:rsid w:val="7AAFF707"/>
    <w:rsid w:val="7B3737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25"/>
      </w:numPr>
    </w:pPr>
  </w:style>
  <w:style w:type="paragraph" w:customStyle="1" w:styleId="NormalBullet-">
    <w:name w:val="Normal Bullet (-)"/>
    <w:basedOn w:val="Normal"/>
    <w:uiPriority w:val="5"/>
    <w:qFormat/>
    <w:rsid w:val="0021141B"/>
    <w:pPr>
      <w:numPr>
        <w:ilvl w:val="5"/>
        <w:numId w:val="25"/>
      </w:numPr>
    </w:pPr>
  </w:style>
  <w:style w:type="paragraph" w:customStyle="1" w:styleId="NormalBulletalpha">
    <w:name w:val="Normal Bullet (alpha)"/>
    <w:basedOn w:val="Normal"/>
    <w:uiPriority w:val="5"/>
    <w:qFormat/>
    <w:rsid w:val="0021141B"/>
    <w:pPr>
      <w:numPr>
        <w:ilvl w:val="1"/>
        <w:numId w:val="25"/>
      </w:numPr>
    </w:pPr>
  </w:style>
  <w:style w:type="paragraph" w:customStyle="1" w:styleId="NormalBulletroman">
    <w:name w:val="Normal Bullet (roman)"/>
    <w:basedOn w:val="Normal"/>
    <w:uiPriority w:val="5"/>
    <w:qFormat/>
    <w:rsid w:val="0021141B"/>
    <w:pPr>
      <w:numPr>
        <w:ilvl w:val="2"/>
        <w:numId w:val="25"/>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23"/>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5"/>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0"/>
      </w:numPr>
      <w:tabs>
        <w:tab w:val="num" w:pos="2552"/>
      </w:tabs>
      <w:ind w:left="2552" w:hanging="2552"/>
    </w:pPr>
  </w:style>
  <w:style w:type="paragraph" w:customStyle="1" w:styleId="AnnexParagraph">
    <w:name w:val="Annex Paragraph"/>
    <w:basedOn w:val="Normal"/>
    <w:uiPriority w:val="22"/>
    <w:qFormat/>
    <w:rsid w:val="008A25C5"/>
    <w:pPr>
      <w:tabs>
        <w:tab w:val="num" w:pos="851"/>
      </w:tabs>
      <w:ind w:left="851" w:hanging="851"/>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tabs>
        <w:tab w:val="num" w:pos="1418"/>
      </w:tabs>
      <w:ind w:left="1418" w:hanging="567"/>
    </w:pPr>
  </w:style>
  <w:style w:type="paragraph" w:customStyle="1" w:styleId="AnnexBulletroman">
    <w:name w:val="Annex Bullet (roman)"/>
    <w:basedOn w:val="Normal"/>
    <w:uiPriority w:val="24"/>
    <w:qFormat/>
    <w:rsid w:val="008A25C5"/>
    <w:pPr>
      <w:tabs>
        <w:tab w:val="num" w:pos="1985"/>
      </w:tabs>
      <w:ind w:left="1985" w:hanging="567"/>
    </w:pPr>
  </w:style>
  <w:style w:type="paragraph" w:customStyle="1" w:styleId="AnnexBulletnumber">
    <w:name w:val="Annex Bullet (number)"/>
    <w:basedOn w:val="Normal"/>
    <w:uiPriority w:val="25"/>
    <w:qFormat/>
    <w:rsid w:val="008A25C5"/>
    <w:pPr>
      <w:tabs>
        <w:tab w:val="num" w:pos="2552"/>
      </w:tabs>
      <w:ind w:left="2552" w:hanging="567"/>
    </w:pPr>
  </w:style>
  <w:style w:type="paragraph" w:customStyle="1" w:styleId="AnnexBulletround">
    <w:name w:val="Annex Bullet (round)"/>
    <w:basedOn w:val="Normal"/>
    <w:uiPriority w:val="23"/>
    <w:qFormat/>
    <w:rsid w:val="008A25C5"/>
    <w:pPr>
      <w:tabs>
        <w:tab w:val="num" w:pos="1418"/>
      </w:tabs>
      <w:ind w:left="1418" w:hanging="567"/>
    </w:pPr>
  </w:style>
  <w:style w:type="paragraph" w:customStyle="1" w:styleId="AnnexBullet-">
    <w:name w:val="Annex Bullet (-)"/>
    <w:basedOn w:val="Normal"/>
    <w:uiPriority w:val="24"/>
    <w:qFormat/>
    <w:rsid w:val="008A25C5"/>
    <w:pPr>
      <w:tabs>
        <w:tab w:val="num" w:pos="1985"/>
      </w:tabs>
      <w:ind w:left="1985" w:hanging="567"/>
    </w:pPr>
  </w:style>
  <w:style w:type="paragraph" w:customStyle="1" w:styleId="AnnexTableTitle">
    <w:name w:val="Annex TableTitle"/>
    <w:basedOn w:val="Normal"/>
    <w:next w:val="AnnexParagraph"/>
    <w:uiPriority w:val="18"/>
    <w:qFormat/>
    <w:rsid w:val="008A25C5"/>
    <w:pPr>
      <w:tabs>
        <w:tab w:val="num" w:pos="1418"/>
      </w:tabs>
      <w:spacing w:before="120" w:after="120"/>
      <w:ind w:left="1418" w:hanging="1418"/>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5"/>
      </w:numPr>
    </w:pPr>
    <w:rPr>
      <w:b/>
    </w:rPr>
  </w:style>
  <w:style w:type="paragraph" w:customStyle="1" w:styleId="NormalFigureTitle">
    <w:name w:val="Normal FigureTitle"/>
    <w:basedOn w:val="Normal"/>
    <w:next w:val="Normal"/>
    <w:uiPriority w:val="26"/>
    <w:qFormat/>
    <w:rsid w:val="0021141B"/>
    <w:pPr>
      <w:keepNext/>
      <w:keepLines/>
      <w:numPr>
        <w:ilvl w:val="7"/>
        <w:numId w:val="25"/>
      </w:numPr>
    </w:pPr>
    <w:rPr>
      <w:b/>
    </w:rPr>
  </w:style>
  <w:style w:type="paragraph" w:customStyle="1" w:styleId="AnnexFigureTitle">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410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730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gov.uk/contracts-finder" TargetMode="External"/><Relationship Id="rId3" Type="http://schemas.openxmlformats.org/officeDocument/2006/relationships/numbering" Target="numbering.xml"/><Relationship Id="rId21" Type="http://schemas.openxmlformats.org/officeDocument/2006/relationships/hyperlink" Target="https://www.orr.gov.uk/media/2363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nationalarchives.gov.uk/doc/open-government-licence/version/3"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yperlink" Target="mailto:procurementteam@orr.gov.uk" TargetMode="Externa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B1F3E"/>
    <w:rsid w:val="001D34EA"/>
    <w:rsid w:val="00440C86"/>
    <w:rsid w:val="005A330C"/>
    <w:rsid w:val="00843948"/>
    <w:rsid w:val="0097517A"/>
    <w:rsid w:val="009E0644"/>
    <w:rsid w:val="00A257DF"/>
    <w:rsid w:val="00A72823"/>
    <w:rsid w:val="00B228AA"/>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22</Pages>
  <Words>4644</Words>
  <Characters>26475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Access price setting</dc:subject>
  <dc:creator>Angeriz-Santos, Paula</dc:creator>
  <cp:keywords/>
  <dc:description/>
  <cp:lastModifiedBy>Dinkele, Harriet</cp:lastModifiedBy>
  <cp:revision>6</cp:revision>
  <cp:lastPrinted>2021-02-24T15:29:00Z</cp:lastPrinted>
  <dcterms:created xsi:type="dcterms:W3CDTF">2023-11-28T12:08:00Z</dcterms:created>
  <dcterms:modified xsi:type="dcterms:W3CDTF">2023-11-29T09:34:00Z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