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B2" w:rsidRPr="00677EB2" w:rsidRDefault="00B72335" w:rsidP="009275A6">
      <w:pPr>
        <w:spacing w:before="240"/>
        <w:rPr>
          <w:rFonts w:ascii="Arial" w:eastAsia="Times New Roman" w:hAnsi="Arial" w:cs="Arial"/>
          <w:b/>
          <w:bCs/>
          <w:sz w:val="28"/>
          <w:szCs w:val="28"/>
          <w:lang w:val="en-US"/>
        </w:rPr>
      </w:pPr>
      <w:r w:rsidRPr="00677EB2">
        <w:rPr>
          <w:rFonts w:ascii="Arial" w:eastAsia="Times New Roman" w:hAnsi="Arial" w:cs="Arial"/>
          <w:b/>
          <w:bCs/>
          <w:sz w:val="28"/>
          <w:szCs w:val="28"/>
          <w:lang w:val="en-US"/>
        </w:rPr>
        <w:t>Specification</w:t>
      </w:r>
    </w:p>
    <w:p w:rsidR="00F179B6" w:rsidRPr="009275A6" w:rsidRDefault="003850F8" w:rsidP="00AE7685">
      <w:pPr>
        <w:jc w:val="both"/>
        <w:rPr>
          <w:color w:val="1F497D"/>
          <w:sz w:val="28"/>
          <w:szCs w:val="28"/>
        </w:rPr>
      </w:pPr>
      <w:r w:rsidRPr="009275A6">
        <w:rPr>
          <w:rFonts w:ascii="Arial" w:eastAsia="Times New Roman" w:hAnsi="Arial" w:cs="Arial"/>
          <w:bCs/>
          <w:sz w:val="28"/>
          <w:szCs w:val="28"/>
          <w:lang w:val="en-US"/>
        </w:rPr>
        <w:t>Development of an International Health Regulations (IHR) indicator set in collaboration with National Public Health Institutes (NPHIs)</w:t>
      </w:r>
      <w:r w:rsidR="009D6627" w:rsidRPr="009275A6">
        <w:rPr>
          <w:rFonts w:ascii="Arial" w:eastAsia="Times New Roman" w:hAnsi="Arial" w:cs="Arial"/>
          <w:bCs/>
          <w:sz w:val="28"/>
          <w:szCs w:val="28"/>
          <w:lang w:val="en-US"/>
        </w:rPr>
        <w:t xml:space="preserve"> and the International Association of Public Health Institutes (IANPHI)</w:t>
      </w:r>
    </w:p>
    <w:p w:rsidR="00222AFC" w:rsidRPr="00C002F9" w:rsidRDefault="00222AFC"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C002F9">
        <w:rPr>
          <w:rFonts w:ascii="Arial" w:hAnsi="Arial" w:cs="Arial"/>
          <w:b/>
          <w:bCs/>
        </w:rPr>
        <w:t>Purpose</w:t>
      </w:r>
    </w:p>
    <w:p w:rsidR="008E35EE" w:rsidRDefault="00460EF3"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sidRPr="004F7B24">
        <w:rPr>
          <w:rFonts w:ascii="Arial" w:hAnsi="Arial" w:cs="Arial"/>
          <w:bCs/>
        </w:rPr>
        <w:t>Public Health England</w:t>
      </w:r>
      <w:r w:rsidR="00107571" w:rsidRPr="004F7B24">
        <w:rPr>
          <w:rFonts w:ascii="Arial" w:hAnsi="Arial" w:cs="Arial"/>
          <w:bCs/>
        </w:rPr>
        <w:t xml:space="preserve"> (PHE)</w:t>
      </w:r>
      <w:r w:rsidRPr="004F7B24">
        <w:rPr>
          <w:rFonts w:ascii="Arial" w:hAnsi="Arial" w:cs="Arial"/>
          <w:bCs/>
        </w:rPr>
        <w:t xml:space="preserve"> is seeking</w:t>
      </w:r>
      <w:r w:rsidR="004B32EA" w:rsidRPr="004F7B24">
        <w:rPr>
          <w:rFonts w:ascii="Arial" w:hAnsi="Arial" w:cs="Arial"/>
          <w:bCs/>
        </w:rPr>
        <w:t xml:space="preserve"> to commission</w:t>
      </w:r>
      <w:r w:rsidR="003850F8">
        <w:rPr>
          <w:rFonts w:ascii="Arial" w:hAnsi="Arial" w:cs="Arial"/>
          <w:bCs/>
        </w:rPr>
        <w:t xml:space="preserve"> </w:t>
      </w:r>
      <w:r w:rsidR="009D6627">
        <w:rPr>
          <w:rFonts w:ascii="Arial" w:hAnsi="Arial" w:cs="Arial"/>
          <w:bCs/>
        </w:rPr>
        <w:t xml:space="preserve">the development of a </w:t>
      </w:r>
      <w:r w:rsidR="002B22FC">
        <w:rPr>
          <w:rFonts w:ascii="Arial" w:hAnsi="Arial" w:cs="Arial"/>
          <w:bCs/>
        </w:rPr>
        <w:t xml:space="preserve">set of </w:t>
      </w:r>
      <w:r w:rsidR="009D6627">
        <w:rPr>
          <w:rFonts w:ascii="Arial" w:hAnsi="Arial" w:cs="Arial"/>
          <w:bCs/>
        </w:rPr>
        <w:t>national-level</w:t>
      </w:r>
      <w:r w:rsidR="003850F8">
        <w:rPr>
          <w:rFonts w:ascii="Arial" w:hAnsi="Arial" w:cs="Arial"/>
          <w:bCs/>
        </w:rPr>
        <w:t xml:space="preserve"> indicator</w:t>
      </w:r>
      <w:r w:rsidR="002B22FC">
        <w:rPr>
          <w:rFonts w:ascii="Arial" w:hAnsi="Arial" w:cs="Arial"/>
          <w:bCs/>
        </w:rPr>
        <w:t>s</w:t>
      </w:r>
      <w:r w:rsidR="003850F8">
        <w:rPr>
          <w:rFonts w:ascii="Arial" w:hAnsi="Arial" w:cs="Arial"/>
          <w:bCs/>
        </w:rPr>
        <w:t xml:space="preserve"> to monitor the </w:t>
      </w:r>
      <w:r w:rsidR="003850F8" w:rsidRPr="009D6627">
        <w:rPr>
          <w:rFonts w:ascii="Arial" w:hAnsi="Arial" w:cs="Arial"/>
          <w:bCs/>
        </w:rPr>
        <w:t>preparedness</w:t>
      </w:r>
      <w:r w:rsidR="009D6627" w:rsidRPr="009D6627">
        <w:rPr>
          <w:rFonts w:ascii="Arial" w:hAnsi="Arial" w:cs="Arial"/>
          <w:bCs/>
        </w:rPr>
        <w:t xml:space="preserve"> of national public health systems to prevent, detect and respond to public health threats in three pilot countries</w:t>
      </w:r>
      <w:r w:rsidR="00726439">
        <w:rPr>
          <w:rFonts w:ascii="Arial" w:hAnsi="Arial" w:cs="Arial"/>
          <w:bCs/>
        </w:rPr>
        <w:t xml:space="preserve"> (Nigeria, Ethiopia and Pakistan)</w:t>
      </w:r>
      <w:r w:rsidR="009D6627" w:rsidRPr="009D6627">
        <w:rPr>
          <w:rFonts w:ascii="Arial" w:hAnsi="Arial" w:cs="Arial"/>
          <w:bCs/>
        </w:rPr>
        <w:t>.</w:t>
      </w:r>
      <w:r w:rsidR="00DF17BB">
        <w:rPr>
          <w:rFonts w:ascii="Arial" w:hAnsi="Arial" w:cs="Arial"/>
          <w:bCs/>
        </w:rPr>
        <w:t xml:space="preserve"> </w:t>
      </w:r>
      <w:r w:rsidR="009D6627">
        <w:rPr>
          <w:rFonts w:ascii="Arial" w:hAnsi="Arial" w:cs="Arial"/>
          <w:bCs/>
        </w:rPr>
        <w:t xml:space="preserve">This will </w:t>
      </w:r>
      <w:r w:rsidR="002B22FC">
        <w:rPr>
          <w:rFonts w:ascii="Arial" w:hAnsi="Arial" w:cs="Arial"/>
          <w:bCs/>
        </w:rPr>
        <w:t xml:space="preserve">complement </w:t>
      </w:r>
      <w:r w:rsidR="00726439">
        <w:rPr>
          <w:rFonts w:ascii="Arial" w:hAnsi="Arial" w:cs="Arial"/>
          <w:bCs/>
        </w:rPr>
        <w:t xml:space="preserve">and </w:t>
      </w:r>
      <w:r w:rsidR="009D6627">
        <w:rPr>
          <w:rFonts w:ascii="Arial" w:hAnsi="Arial" w:cs="Arial"/>
          <w:bCs/>
        </w:rPr>
        <w:t>address gaps in</w:t>
      </w:r>
      <w:r w:rsidR="00726439">
        <w:rPr>
          <w:rFonts w:ascii="Arial" w:hAnsi="Arial" w:cs="Arial"/>
          <w:bCs/>
        </w:rPr>
        <w:t xml:space="preserve"> the</w:t>
      </w:r>
      <w:r w:rsidR="009D6627">
        <w:rPr>
          <w:rFonts w:ascii="Arial" w:hAnsi="Arial" w:cs="Arial"/>
          <w:bCs/>
        </w:rPr>
        <w:t xml:space="preserve"> existing</w:t>
      </w:r>
      <w:r w:rsidR="00726439">
        <w:rPr>
          <w:rFonts w:ascii="Arial" w:hAnsi="Arial" w:cs="Arial"/>
          <w:bCs/>
        </w:rPr>
        <w:t xml:space="preserve"> International Health Regulations (IHR) M</w:t>
      </w:r>
      <w:r w:rsidR="009D6627">
        <w:rPr>
          <w:rFonts w:ascii="Arial" w:hAnsi="Arial" w:cs="Arial"/>
          <w:bCs/>
        </w:rPr>
        <w:t xml:space="preserve">onitoring </w:t>
      </w:r>
      <w:r w:rsidR="00726439">
        <w:rPr>
          <w:rFonts w:ascii="Arial" w:hAnsi="Arial" w:cs="Arial"/>
          <w:bCs/>
        </w:rPr>
        <w:t>and Evaluation Framework and the Joint External Evaluation (JEE) tool.</w:t>
      </w:r>
    </w:p>
    <w:p w:rsidR="00D16D7B" w:rsidRPr="004F7B24" w:rsidRDefault="009D6627"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Pr>
          <w:rFonts w:ascii="Arial" w:hAnsi="Arial" w:cs="Arial"/>
          <w:bCs/>
        </w:rPr>
        <w:t>This</w:t>
      </w:r>
      <w:r w:rsidR="00824A16" w:rsidRPr="004F7B24">
        <w:rPr>
          <w:rFonts w:ascii="Arial" w:hAnsi="Arial" w:cs="Arial"/>
          <w:bCs/>
        </w:rPr>
        <w:t xml:space="preserve"> </w:t>
      </w:r>
      <w:r w:rsidR="00726439">
        <w:rPr>
          <w:rFonts w:ascii="Arial" w:hAnsi="Arial" w:cs="Arial"/>
          <w:bCs/>
        </w:rPr>
        <w:t>work w</w:t>
      </w:r>
      <w:r>
        <w:rPr>
          <w:rFonts w:ascii="Arial" w:hAnsi="Arial" w:cs="Arial"/>
          <w:bCs/>
        </w:rPr>
        <w:t xml:space="preserve">ill form a component of PHE’s IHR Strengthening Programme which </w:t>
      </w:r>
      <w:r w:rsidR="00726439">
        <w:rPr>
          <w:rFonts w:ascii="Arial" w:hAnsi="Arial" w:cs="Arial"/>
          <w:bCs/>
        </w:rPr>
        <w:t>looks to support IHR compliance and capa</w:t>
      </w:r>
      <w:r w:rsidR="002B22FC">
        <w:rPr>
          <w:rFonts w:ascii="Arial" w:hAnsi="Arial" w:cs="Arial"/>
          <w:bCs/>
        </w:rPr>
        <w:t>bil</w:t>
      </w:r>
      <w:r w:rsidR="00726439">
        <w:rPr>
          <w:rFonts w:ascii="Arial" w:hAnsi="Arial" w:cs="Arial"/>
          <w:bCs/>
        </w:rPr>
        <w:t>ity, and to develop strong national and supra-national health protection systems.</w:t>
      </w:r>
    </w:p>
    <w:p w:rsidR="007C254A" w:rsidRDefault="009D6627"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Pr>
          <w:rFonts w:ascii="Arial" w:hAnsi="Arial" w:cs="Arial"/>
          <w:bCs/>
        </w:rPr>
        <w:t>The work must be carried out in collaboration with the National Public Health Institutes (NPHIs) of partner countries Nigeria, Ethiopia and Pakistan, and must involve relevant regional bodies and international organisations including WHO AFRO, WHO EMRO, Africa CDC</w:t>
      </w:r>
      <w:r w:rsidR="002B22FC">
        <w:rPr>
          <w:rFonts w:ascii="Arial" w:hAnsi="Arial" w:cs="Arial"/>
          <w:bCs/>
        </w:rPr>
        <w:t>,</w:t>
      </w:r>
      <w:r>
        <w:rPr>
          <w:rFonts w:ascii="Arial" w:hAnsi="Arial" w:cs="Arial"/>
          <w:bCs/>
        </w:rPr>
        <w:t xml:space="preserve"> and the International Association of Public Health Institutes (IANPHI).</w:t>
      </w:r>
    </w:p>
    <w:p w:rsidR="00B2480C" w:rsidRPr="00C002F9" w:rsidRDefault="00B2480C"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rPr>
          <w:rFonts w:ascii="Arial" w:hAnsi="Arial" w:cs="Arial"/>
          <w:b/>
          <w:bCs/>
        </w:rPr>
      </w:pPr>
      <w:r w:rsidRPr="00C002F9">
        <w:rPr>
          <w:rFonts w:ascii="Arial" w:hAnsi="Arial" w:cs="Arial"/>
          <w:b/>
          <w:bCs/>
        </w:rPr>
        <w:t>Background</w:t>
      </w:r>
    </w:p>
    <w:p w:rsidR="003850F8" w:rsidRPr="003850F8" w:rsidRDefault="003850F8"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Since the 2014-2015 West African Ebola epidemic there has been a concerted international effort to improve global health security and compliance with the International Health Regulations (IHR, 2005)</w:t>
      </w:r>
      <w:r w:rsidR="00AE7685">
        <w:rPr>
          <w:rFonts w:ascii="Arial" w:hAnsi="Arial" w:cs="Arial"/>
        </w:rPr>
        <w:t>.</w:t>
      </w:r>
      <w:r w:rsidR="00AE7685">
        <w:rPr>
          <w:rStyle w:val="FootnoteReference"/>
          <w:rFonts w:ascii="Arial" w:hAnsi="Arial" w:cs="Arial"/>
        </w:rPr>
        <w:footnoteReference w:id="1"/>
      </w:r>
      <w:r w:rsidR="00AE7685" w:rsidRPr="00AE7685">
        <w:rPr>
          <w:rFonts w:ascii="Arial" w:hAnsi="Arial" w:cs="Arial"/>
          <w:vertAlign w:val="superscript"/>
        </w:rPr>
        <w:t>,</w:t>
      </w:r>
      <w:r w:rsidR="00AE7685">
        <w:rPr>
          <w:rStyle w:val="FootnoteReference"/>
          <w:rFonts w:ascii="Arial" w:hAnsi="Arial" w:cs="Arial"/>
        </w:rPr>
        <w:footnoteReference w:id="2"/>
      </w:r>
      <w:r w:rsidR="00AE7685" w:rsidRPr="00AE7685">
        <w:rPr>
          <w:rFonts w:ascii="Arial" w:hAnsi="Arial" w:cs="Arial"/>
          <w:vertAlign w:val="superscript"/>
        </w:rPr>
        <w:t>,</w:t>
      </w:r>
      <w:r w:rsidR="00AE7685">
        <w:rPr>
          <w:rStyle w:val="FootnoteReference"/>
          <w:rFonts w:ascii="Arial" w:hAnsi="Arial" w:cs="Arial"/>
        </w:rPr>
        <w:footnoteReference w:id="3"/>
      </w:r>
      <w:r w:rsidR="00AE7685">
        <w:rPr>
          <w:rFonts w:ascii="Arial" w:hAnsi="Arial" w:cs="Arial"/>
          <w:vertAlign w:val="superscript"/>
        </w:rPr>
        <w:t xml:space="preserve"> </w:t>
      </w:r>
      <w:r w:rsidRPr="003850F8">
        <w:rPr>
          <w:rFonts w:ascii="Arial" w:hAnsi="Arial" w:cs="Arial"/>
        </w:rPr>
        <w:t xml:space="preserve">As part of the IHR Monitoring and Evaluation Framework, the World Health Organisation (WHO) and collaborating partners developed the Joint External Evaluation (JEE) tool to assess country capacity to prevent, detect and respond to public health threats. The JEE tool recognises the importance of transparency and mutual accountability for collectively implementing IHR, and marks a shift from exclusive self-evaluation to </w:t>
      </w:r>
      <w:r>
        <w:rPr>
          <w:rFonts w:ascii="Arial" w:hAnsi="Arial" w:cs="Arial"/>
        </w:rPr>
        <w:t>external evaluation</w:t>
      </w:r>
      <w:r w:rsidR="00AE7685">
        <w:rPr>
          <w:rFonts w:ascii="Arial" w:hAnsi="Arial" w:cs="Arial"/>
        </w:rPr>
        <w:t>.</w:t>
      </w:r>
      <w:r w:rsidR="00AE7685">
        <w:rPr>
          <w:rStyle w:val="FootnoteReference"/>
          <w:rFonts w:ascii="Arial" w:hAnsi="Arial" w:cs="Arial"/>
        </w:rPr>
        <w:footnoteReference w:id="4"/>
      </w:r>
    </w:p>
    <w:p w:rsidR="003850F8" w:rsidRPr="003850F8" w:rsidRDefault="003850F8"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lastRenderedPageBreak/>
        <w:t xml:space="preserve">Public Health England (PHE) is supporting this international effort through a 5-year programme to strengthen IHR compliance by working with national and regional organisations in </w:t>
      </w:r>
      <w:r w:rsidR="00E02AC9">
        <w:rPr>
          <w:rFonts w:ascii="Arial" w:hAnsi="Arial" w:cs="Arial"/>
        </w:rPr>
        <w:t xml:space="preserve">five countries in </w:t>
      </w:r>
      <w:r w:rsidRPr="003850F8">
        <w:rPr>
          <w:rFonts w:ascii="Arial" w:hAnsi="Arial" w:cs="Arial"/>
        </w:rPr>
        <w:t>Africa and Asia, with the aim of:</w:t>
      </w:r>
    </w:p>
    <w:p w:rsidR="003850F8" w:rsidRPr="003850F8" w:rsidRDefault="003850F8" w:rsidP="00115AA5">
      <w:pPr>
        <w:pStyle w:val="ListParagraph"/>
        <w:widowControl w:val="0"/>
        <w:numPr>
          <w:ilvl w:val="0"/>
          <w:numId w:val="2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 xml:space="preserve">Strengthening global agencies and the regional institutions / mechanisms responsible for supporting IHR implementation </w:t>
      </w:r>
    </w:p>
    <w:p w:rsidR="003850F8" w:rsidRPr="003850F8" w:rsidRDefault="003850F8" w:rsidP="00115AA5">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Supporting countries towards IHR implementation over the five year term of the project</w:t>
      </w:r>
    </w:p>
    <w:p w:rsidR="003850F8" w:rsidRPr="003850F8" w:rsidRDefault="003850F8" w:rsidP="00115AA5">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Supporting the development and strengthening of National Public Health Institutes (NPHIs) in the target countries to help fulfil national IHR responsibilities</w:t>
      </w:r>
    </w:p>
    <w:p w:rsidR="00C147D8" w:rsidRPr="003850F8" w:rsidRDefault="003850F8" w:rsidP="00115AA5">
      <w:pPr>
        <w:pStyle w:val="ListParagraph"/>
        <w:widowControl w:val="0"/>
        <w:numPr>
          <w:ilvl w:val="0"/>
          <w:numId w:val="22"/>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rPr>
      </w:pPr>
      <w:r w:rsidRPr="003850F8">
        <w:rPr>
          <w:rFonts w:ascii="Arial" w:hAnsi="Arial" w:cs="Arial"/>
        </w:rPr>
        <w:t>Co-developing strategies for long-term sustainability, adequate funding and technical support for the identified countries</w:t>
      </w:r>
    </w:p>
    <w:p w:rsidR="00726439" w:rsidRPr="00E02AC9" w:rsidRDefault="00E02AC9" w:rsidP="00115AA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jc w:val="both"/>
        <w:rPr>
          <w:rFonts w:ascii="Arial" w:hAnsi="Arial" w:cs="Arial"/>
          <w:bCs/>
        </w:rPr>
      </w:pPr>
      <w:r>
        <w:rPr>
          <w:rFonts w:ascii="Arial" w:hAnsi="Arial" w:cs="Arial"/>
          <w:bCs/>
        </w:rPr>
        <w:t>D</w:t>
      </w:r>
      <w:r w:rsidRPr="00E02AC9">
        <w:rPr>
          <w:rFonts w:ascii="Arial" w:hAnsi="Arial" w:cs="Arial"/>
          <w:bCs/>
        </w:rPr>
        <w:t>etailed indicators for measuring progress</w:t>
      </w:r>
      <w:r>
        <w:rPr>
          <w:rFonts w:ascii="Arial" w:hAnsi="Arial" w:cs="Arial"/>
          <w:bCs/>
        </w:rPr>
        <w:t xml:space="preserve"> towards</w:t>
      </w:r>
      <w:r w:rsidRPr="00E02AC9">
        <w:rPr>
          <w:rFonts w:ascii="Arial" w:hAnsi="Arial" w:cs="Arial"/>
          <w:bCs/>
        </w:rPr>
        <w:t xml:space="preserve"> implementation of National Action Plans for Health Security (under the WHO IHR M&amp;E Framework) </w:t>
      </w:r>
      <w:proofErr w:type="gramStart"/>
      <w:r w:rsidRPr="00E02AC9">
        <w:rPr>
          <w:rFonts w:ascii="Arial" w:hAnsi="Arial" w:cs="Arial"/>
          <w:bCs/>
        </w:rPr>
        <w:t>have</w:t>
      </w:r>
      <w:proofErr w:type="gramEnd"/>
      <w:r w:rsidRPr="00E02AC9">
        <w:rPr>
          <w:rFonts w:ascii="Arial" w:hAnsi="Arial" w:cs="Arial"/>
          <w:bCs/>
        </w:rPr>
        <w:t xml:space="preserve"> not yet been developed by WHO. Consequently, the proposed programme of work will collaborate with the WHO to strengthen monitoring and accountability mechanisms for IHR compliance by developing a set of country-specific indicators.</w:t>
      </w:r>
    </w:p>
    <w:p w:rsidR="0060748F" w:rsidRPr="00C002F9" w:rsidRDefault="00E02AC9" w:rsidP="0060748F">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rPr>
      </w:pPr>
      <w:r>
        <w:rPr>
          <w:rFonts w:ascii="Arial" w:hAnsi="Arial" w:cs="Arial"/>
          <w:b/>
          <w:bCs/>
        </w:rPr>
        <w:t xml:space="preserve">Gaps in existing mechanisms for monitoring and evaluation </w:t>
      </w:r>
    </w:p>
    <w:p w:rsidR="00E02AC9" w:rsidRPr="00E02AC9" w:rsidRDefault="00E02AC9" w:rsidP="00E02AC9">
      <w:pPr>
        <w:spacing w:line="276" w:lineRule="auto"/>
        <w:jc w:val="both"/>
        <w:rPr>
          <w:rFonts w:ascii="Arial" w:hAnsi="Arial" w:cs="Arial"/>
        </w:rPr>
      </w:pPr>
      <w:r w:rsidRPr="00E02AC9">
        <w:rPr>
          <w:rFonts w:ascii="Arial" w:hAnsi="Arial" w:cs="Arial"/>
        </w:rPr>
        <w:t>In March 2017, Chatham House and the Graduate Institute of Geneva held a scoping meeting in Geneva with the objective of understanding what activities are ongoing or planned at the global, regional and national levels to monitor preparedness for major public health events. Four gaps in monitoring were identified at this meeting:</w:t>
      </w:r>
    </w:p>
    <w:p w:rsidR="00E02AC9" w:rsidRPr="00E02AC9" w:rsidRDefault="00E02AC9" w:rsidP="00E02AC9">
      <w:pPr>
        <w:pStyle w:val="ListParagraph"/>
        <w:numPr>
          <w:ilvl w:val="0"/>
          <w:numId w:val="25"/>
        </w:numPr>
        <w:spacing w:line="276" w:lineRule="auto"/>
        <w:jc w:val="both"/>
        <w:rPr>
          <w:rFonts w:ascii="Arial" w:hAnsi="Arial" w:cs="Arial"/>
        </w:rPr>
      </w:pPr>
      <w:r w:rsidRPr="00E02AC9">
        <w:rPr>
          <w:rFonts w:ascii="Arial" w:hAnsi="Arial" w:cs="Arial"/>
        </w:rPr>
        <w:t xml:space="preserve">continuity of travel and trade during major public health events, </w:t>
      </w:r>
    </w:p>
    <w:p w:rsidR="00E02AC9" w:rsidRPr="00E02AC9" w:rsidRDefault="00E02AC9" w:rsidP="00E02AC9">
      <w:pPr>
        <w:pStyle w:val="ListParagraph"/>
        <w:numPr>
          <w:ilvl w:val="0"/>
          <w:numId w:val="25"/>
        </w:numPr>
        <w:spacing w:line="276" w:lineRule="auto"/>
        <w:jc w:val="both"/>
        <w:rPr>
          <w:rFonts w:ascii="Arial" w:hAnsi="Arial" w:cs="Arial"/>
        </w:rPr>
      </w:pPr>
      <w:r w:rsidRPr="00E02AC9">
        <w:rPr>
          <w:rFonts w:ascii="Arial" w:hAnsi="Arial" w:cs="Arial"/>
        </w:rPr>
        <w:t>development of one health platforms for detection and risk assessment of public health events</w:t>
      </w:r>
    </w:p>
    <w:p w:rsidR="00E02AC9" w:rsidRPr="00E02AC9" w:rsidRDefault="00E02AC9" w:rsidP="00E02AC9">
      <w:pPr>
        <w:pStyle w:val="ListParagraph"/>
        <w:numPr>
          <w:ilvl w:val="0"/>
          <w:numId w:val="25"/>
        </w:numPr>
        <w:spacing w:line="276" w:lineRule="auto"/>
        <w:jc w:val="both"/>
        <w:rPr>
          <w:rFonts w:ascii="Arial" w:hAnsi="Arial" w:cs="Arial"/>
        </w:rPr>
      </w:pPr>
      <w:r w:rsidRPr="00E02AC9">
        <w:rPr>
          <w:rFonts w:ascii="Arial" w:hAnsi="Arial" w:cs="Arial"/>
        </w:rPr>
        <w:t>research and development between major public health events</w:t>
      </w:r>
    </w:p>
    <w:p w:rsidR="00E02AC9" w:rsidRPr="00E02AC9" w:rsidRDefault="00E02AC9" w:rsidP="00E02AC9">
      <w:pPr>
        <w:pStyle w:val="ListParagraph"/>
        <w:numPr>
          <w:ilvl w:val="0"/>
          <w:numId w:val="25"/>
        </w:numPr>
        <w:spacing w:line="276" w:lineRule="auto"/>
        <w:jc w:val="both"/>
        <w:rPr>
          <w:rFonts w:ascii="Arial" w:hAnsi="Arial" w:cs="Arial"/>
        </w:rPr>
      </w:pPr>
      <w:proofErr w:type="gramStart"/>
      <w:r w:rsidRPr="00E02AC9">
        <w:rPr>
          <w:rFonts w:ascii="Arial" w:hAnsi="Arial" w:cs="Arial"/>
        </w:rPr>
        <w:t>data</w:t>
      </w:r>
      <w:proofErr w:type="gramEnd"/>
      <w:r w:rsidRPr="00E02AC9">
        <w:rPr>
          <w:rFonts w:ascii="Arial" w:hAnsi="Arial" w:cs="Arial"/>
        </w:rPr>
        <w:t xml:space="preserve"> sharing during major public health events. </w:t>
      </w:r>
    </w:p>
    <w:p w:rsidR="00E02AC9" w:rsidRDefault="00E02AC9" w:rsidP="00E02AC9">
      <w:pPr>
        <w:spacing w:line="276" w:lineRule="auto"/>
        <w:jc w:val="both"/>
        <w:rPr>
          <w:rFonts w:ascii="Arial" w:hAnsi="Arial" w:cs="Arial"/>
        </w:rPr>
      </w:pPr>
      <w:r w:rsidRPr="00E02AC9">
        <w:rPr>
          <w:rFonts w:ascii="Arial" w:hAnsi="Arial" w:cs="Arial"/>
        </w:rPr>
        <w:t>As an initial activity, two roundtables were conducted on 1) the impact of outbreaks on the travel and tourism sectors and on 2) implementation of the One Health approach. These roundtables reviewed the current indicators being used and the state of monitoring in each of these areas. As an outcome, there was strong agreement amongst participants that there was a need to develop targeted indicator frameworks at the national level to monitor countries' progress towards preparedness.</w:t>
      </w:r>
    </w:p>
    <w:p w:rsidR="008F12DC" w:rsidRPr="00C002F9" w:rsidRDefault="008D7F38" w:rsidP="00C002F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rPr>
      </w:pPr>
      <w:r w:rsidRPr="00C002F9">
        <w:rPr>
          <w:rFonts w:ascii="Arial" w:hAnsi="Arial" w:cs="Arial"/>
          <w:b/>
          <w:bCs/>
        </w:rPr>
        <w:t xml:space="preserve">Outline of </w:t>
      </w:r>
      <w:r w:rsidR="004F7B24">
        <w:rPr>
          <w:rFonts w:ascii="Arial" w:hAnsi="Arial" w:cs="Arial"/>
          <w:b/>
          <w:bCs/>
        </w:rPr>
        <w:t>w</w:t>
      </w:r>
      <w:r w:rsidRPr="00C002F9">
        <w:rPr>
          <w:rFonts w:ascii="Arial" w:hAnsi="Arial" w:cs="Arial"/>
          <w:b/>
          <w:bCs/>
        </w:rPr>
        <w:t>ork</w:t>
      </w:r>
    </w:p>
    <w:p w:rsidR="00DD43A8" w:rsidRDefault="00DD43A8" w:rsidP="00115AA5">
      <w:pPr>
        <w:spacing w:line="276" w:lineRule="auto"/>
        <w:jc w:val="both"/>
        <w:rPr>
          <w:rFonts w:ascii="Arial" w:hAnsi="Arial" w:cs="Arial"/>
          <w:bCs/>
        </w:rPr>
      </w:pPr>
      <w:r>
        <w:rPr>
          <w:rFonts w:ascii="Arial" w:hAnsi="Arial" w:cs="Arial"/>
          <w:bCs/>
        </w:rPr>
        <w:t xml:space="preserve">The tenderer will develop </w:t>
      </w:r>
      <w:r w:rsidR="00677B3F">
        <w:rPr>
          <w:rFonts w:ascii="Arial" w:hAnsi="Arial" w:cs="Arial"/>
          <w:bCs/>
        </w:rPr>
        <w:t xml:space="preserve">a process for achieving international consensus on </w:t>
      </w:r>
      <w:r>
        <w:rPr>
          <w:rFonts w:ascii="Arial" w:hAnsi="Arial" w:cs="Arial"/>
          <w:bCs/>
        </w:rPr>
        <w:t>a s</w:t>
      </w:r>
      <w:r w:rsidRPr="00DD43A8">
        <w:rPr>
          <w:rFonts w:ascii="Arial" w:hAnsi="Arial" w:cs="Arial"/>
          <w:bCs/>
        </w:rPr>
        <w:t>et of national-level indicators to monitor IHR compliance</w:t>
      </w:r>
      <w:r w:rsidR="00677B3F">
        <w:rPr>
          <w:rFonts w:ascii="Arial" w:hAnsi="Arial" w:cs="Arial"/>
          <w:bCs/>
        </w:rPr>
        <w:t xml:space="preserve"> and support the piloting of the indicators in the target countries. The indicator set should be </w:t>
      </w:r>
      <w:r w:rsidR="00001423">
        <w:rPr>
          <w:rFonts w:ascii="Arial" w:hAnsi="Arial" w:cs="Arial"/>
          <w:bCs/>
        </w:rPr>
        <w:t>capable</w:t>
      </w:r>
      <w:r w:rsidR="00677B3F">
        <w:rPr>
          <w:rFonts w:ascii="Arial" w:hAnsi="Arial" w:cs="Arial"/>
          <w:bCs/>
        </w:rPr>
        <w:t xml:space="preserve"> </w:t>
      </w:r>
      <w:r w:rsidR="00001423">
        <w:rPr>
          <w:rFonts w:ascii="Arial" w:hAnsi="Arial" w:cs="Arial"/>
          <w:bCs/>
        </w:rPr>
        <w:t xml:space="preserve">of </w:t>
      </w:r>
      <w:r w:rsidR="00001423" w:rsidRPr="00DD43A8">
        <w:rPr>
          <w:rFonts w:ascii="Arial" w:hAnsi="Arial" w:cs="Arial"/>
          <w:bCs/>
        </w:rPr>
        <w:t>assessing</w:t>
      </w:r>
      <w:r w:rsidRPr="00DD43A8">
        <w:rPr>
          <w:rFonts w:ascii="Arial" w:hAnsi="Arial" w:cs="Arial"/>
          <w:bCs/>
        </w:rPr>
        <w:t xml:space="preserve"> levels of system </w:t>
      </w:r>
      <w:r w:rsidRPr="00DD43A8">
        <w:rPr>
          <w:rFonts w:ascii="Arial" w:hAnsi="Arial" w:cs="Arial"/>
          <w:bCs/>
        </w:rPr>
        <w:lastRenderedPageBreak/>
        <w:t>coordination, public health workforce capacity to support health protection, and technical ‘know-how’ to enhance and expand detection, prevention and response.</w:t>
      </w:r>
    </w:p>
    <w:p w:rsidR="00E02AC9" w:rsidRDefault="00677B3F" w:rsidP="00115AA5">
      <w:pPr>
        <w:spacing w:line="276" w:lineRule="auto"/>
        <w:jc w:val="both"/>
        <w:rPr>
          <w:rFonts w:ascii="Arial" w:hAnsi="Arial" w:cs="Arial"/>
          <w:bCs/>
        </w:rPr>
      </w:pPr>
      <w:r>
        <w:rPr>
          <w:rFonts w:ascii="Arial" w:hAnsi="Arial" w:cs="Arial"/>
          <w:bCs/>
        </w:rPr>
        <w:t xml:space="preserve">The intention is to develop indicators that can be used by National Public Health </w:t>
      </w:r>
      <w:r w:rsidR="00001423">
        <w:rPr>
          <w:rFonts w:ascii="Arial" w:hAnsi="Arial" w:cs="Arial"/>
          <w:bCs/>
        </w:rPr>
        <w:t>Institutions</w:t>
      </w:r>
      <w:r>
        <w:rPr>
          <w:rFonts w:ascii="Arial" w:hAnsi="Arial" w:cs="Arial"/>
          <w:bCs/>
        </w:rPr>
        <w:t>, strengthening national ownership of the indicators and ensuring that those collecting and collating the data are also those who will use the data. Therefore, t</w:t>
      </w:r>
      <w:r w:rsidR="00DD43A8">
        <w:rPr>
          <w:rFonts w:ascii="Arial" w:hAnsi="Arial" w:cs="Arial"/>
          <w:bCs/>
        </w:rPr>
        <w:t>he tenderer must</w:t>
      </w:r>
      <w:r w:rsidR="006153C4">
        <w:rPr>
          <w:rFonts w:ascii="Arial" w:hAnsi="Arial" w:cs="Arial"/>
          <w:bCs/>
        </w:rPr>
        <w:t xml:space="preserve"> develop </w:t>
      </w:r>
      <w:r w:rsidR="00DD43A8">
        <w:rPr>
          <w:rFonts w:ascii="Arial" w:hAnsi="Arial" w:cs="Arial"/>
          <w:bCs/>
        </w:rPr>
        <w:t>the indicator set in partnership with the following organisations:</w:t>
      </w:r>
    </w:p>
    <w:p w:rsidR="00DD43A8" w:rsidRDefault="00DD43A8" w:rsidP="00115AA5">
      <w:pPr>
        <w:pStyle w:val="ListParagraph"/>
        <w:numPr>
          <w:ilvl w:val="0"/>
          <w:numId w:val="28"/>
        </w:numPr>
        <w:spacing w:line="276" w:lineRule="auto"/>
        <w:jc w:val="both"/>
        <w:rPr>
          <w:rFonts w:ascii="Arial" w:hAnsi="Arial" w:cs="Arial"/>
          <w:bCs/>
        </w:rPr>
      </w:pPr>
      <w:r>
        <w:rPr>
          <w:rFonts w:ascii="Arial" w:hAnsi="Arial" w:cs="Arial"/>
          <w:bCs/>
        </w:rPr>
        <w:t>National Public Health Institutes (NPHIs):</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Ethiopian Public Health Institute (EPHI)</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Nigeria Centre for Disease Control (NCDC)</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National Institute of Health Pakistan</w:t>
      </w:r>
    </w:p>
    <w:p w:rsidR="00DD43A8" w:rsidRDefault="00DD43A8" w:rsidP="00115AA5">
      <w:pPr>
        <w:pStyle w:val="ListParagraph"/>
        <w:numPr>
          <w:ilvl w:val="0"/>
          <w:numId w:val="28"/>
        </w:numPr>
        <w:spacing w:line="276" w:lineRule="auto"/>
        <w:jc w:val="both"/>
        <w:rPr>
          <w:rFonts w:ascii="Arial" w:hAnsi="Arial" w:cs="Arial"/>
          <w:bCs/>
        </w:rPr>
      </w:pPr>
      <w:r>
        <w:rPr>
          <w:rFonts w:ascii="Arial" w:hAnsi="Arial" w:cs="Arial"/>
          <w:bCs/>
        </w:rPr>
        <w:t>Regional bodies and organisations:</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Africa CDC</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World Health Organization Regional Office for Africa (WHO AFRO)</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World Health Organization Regional Office for the Eastern Mediterranean (WHO EMRO)</w:t>
      </w:r>
    </w:p>
    <w:p w:rsidR="00DD43A8" w:rsidRDefault="00DD43A8" w:rsidP="00115AA5">
      <w:pPr>
        <w:pStyle w:val="ListParagraph"/>
        <w:numPr>
          <w:ilvl w:val="0"/>
          <w:numId w:val="28"/>
        </w:numPr>
        <w:spacing w:line="276" w:lineRule="auto"/>
        <w:jc w:val="both"/>
        <w:rPr>
          <w:rFonts w:ascii="Arial" w:hAnsi="Arial" w:cs="Arial"/>
          <w:bCs/>
        </w:rPr>
      </w:pPr>
      <w:r>
        <w:rPr>
          <w:rFonts w:ascii="Arial" w:hAnsi="Arial" w:cs="Arial"/>
          <w:bCs/>
        </w:rPr>
        <w:t>International organisations:</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International Association for National Public Health Institutes (IANPHI)</w:t>
      </w:r>
    </w:p>
    <w:p w:rsidR="00DD43A8" w:rsidRDefault="00DD43A8" w:rsidP="00115AA5">
      <w:pPr>
        <w:pStyle w:val="ListParagraph"/>
        <w:numPr>
          <w:ilvl w:val="1"/>
          <w:numId w:val="28"/>
        </w:numPr>
        <w:spacing w:line="276" w:lineRule="auto"/>
        <w:jc w:val="both"/>
        <w:rPr>
          <w:rFonts w:ascii="Arial" w:hAnsi="Arial" w:cs="Arial"/>
          <w:bCs/>
        </w:rPr>
      </w:pPr>
      <w:r>
        <w:rPr>
          <w:rFonts w:ascii="Arial" w:hAnsi="Arial" w:cs="Arial"/>
          <w:bCs/>
        </w:rPr>
        <w:t>World Health Organization (WHO)</w:t>
      </w:r>
    </w:p>
    <w:p w:rsidR="0082339C" w:rsidRDefault="0082339C" w:rsidP="005366F4">
      <w:pPr>
        <w:spacing w:after="0" w:line="240" w:lineRule="auto"/>
        <w:jc w:val="both"/>
        <w:rPr>
          <w:rFonts w:ascii="Arial" w:hAnsi="Arial" w:cs="Arial"/>
          <w:b/>
        </w:rPr>
      </w:pPr>
      <w:r>
        <w:rPr>
          <w:rFonts w:ascii="Arial" w:hAnsi="Arial" w:cs="Arial"/>
          <w:b/>
        </w:rPr>
        <w:t>Expertise required</w:t>
      </w:r>
    </w:p>
    <w:p w:rsidR="0082339C" w:rsidRPr="0082339C" w:rsidRDefault="0082339C" w:rsidP="005366F4">
      <w:pPr>
        <w:spacing w:after="0" w:line="240" w:lineRule="auto"/>
        <w:jc w:val="both"/>
        <w:rPr>
          <w:rFonts w:ascii="Arial" w:hAnsi="Arial" w:cs="Arial"/>
          <w:b/>
        </w:rPr>
      </w:pPr>
    </w:p>
    <w:p w:rsidR="005366F4" w:rsidRPr="005366F4" w:rsidRDefault="005366F4" w:rsidP="005366F4">
      <w:pPr>
        <w:spacing w:after="0" w:line="240" w:lineRule="auto"/>
        <w:jc w:val="both"/>
        <w:rPr>
          <w:rFonts w:ascii="Arial" w:hAnsi="Arial" w:cs="Arial"/>
        </w:rPr>
      </w:pPr>
      <w:r w:rsidRPr="005366F4">
        <w:rPr>
          <w:rFonts w:ascii="Arial" w:hAnsi="Arial" w:cs="Arial"/>
        </w:rPr>
        <w:t>The organisation required to deliver proposal will have a cadre of technical specialists with e</w:t>
      </w:r>
      <w:r w:rsidRPr="005366F4">
        <w:rPr>
          <w:rFonts w:ascii="Arial" w:hAnsi="Arial" w:cs="Arial"/>
          <w:spacing w:val="-1"/>
        </w:rPr>
        <w:t xml:space="preserve">xtensive, </w:t>
      </w:r>
      <w:r w:rsidRPr="005366F4">
        <w:rPr>
          <w:rFonts w:ascii="Arial" w:hAnsi="Arial" w:cs="Arial"/>
        </w:rPr>
        <w:t>in</w:t>
      </w:r>
      <w:r w:rsidRPr="005366F4">
        <w:rPr>
          <w:rFonts w:ascii="Arial" w:hAnsi="Arial" w:cs="Arial"/>
          <w:spacing w:val="1"/>
        </w:rPr>
        <w:t xml:space="preserve"> </w:t>
      </w:r>
      <w:r w:rsidRPr="005366F4">
        <w:rPr>
          <w:rFonts w:ascii="Arial" w:hAnsi="Arial" w:cs="Arial"/>
          <w:spacing w:val="-1"/>
        </w:rPr>
        <w:t>depth</w:t>
      </w:r>
      <w:r w:rsidRPr="005366F4">
        <w:rPr>
          <w:rFonts w:ascii="Arial" w:hAnsi="Arial" w:cs="Arial"/>
        </w:rPr>
        <w:t xml:space="preserve"> </w:t>
      </w:r>
      <w:r w:rsidRPr="005366F4">
        <w:rPr>
          <w:rFonts w:ascii="Arial" w:hAnsi="Arial" w:cs="Arial"/>
          <w:spacing w:val="-1"/>
        </w:rPr>
        <w:t>working</w:t>
      </w:r>
      <w:r w:rsidRPr="005366F4">
        <w:rPr>
          <w:rFonts w:ascii="Arial" w:hAnsi="Arial" w:cs="Arial"/>
          <w:spacing w:val="-2"/>
        </w:rPr>
        <w:t xml:space="preserve"> </w:t>
      </w:r>
      <w:r w:rsidRPr="005366F4">
        <w:rPr>
          <w:rFonts w:ascii="Arial" w:hAnsi="Arial" w:cs="Arial"/>
          <w:spacing w:val="-1"/>
        </w:rPr>
        <w:t xml:space="preserve">knowledge </w:t>
      </w:r>
      <w:r w:rsidRPr="005366F4">
        <w:rPr>
          <w:rFonts w:ascii="Arial" w:hAnsi="Arial" w:cs="Arial"/>
        </w:rPr>
        <w:t xml:space="preserve">of Monitoring and Evaluation in low and middle income countries, and </w:t>
      </w:r>
      <w:r w:rsidRPr="005366F4">
        <w:rPr>
          <w:rFonts w:ascii="Arial" w:hAnsi="Arial" w:cs="Arial"/>
          <w:spacing w:val="-1"/>
        </w:rPr>
        <w:t xml:space="preserve">experience </w:t>
      </w:r>
      <w:r w:rsidRPr="005366F4">
        <w:rPr>
          <w:rFonts w:ascii="Arial" w:hAnsi="Arial" w:cs="Arial"/>
        </w:rPr>
        <w:t xml:space="preserve">advising on emergency preparedness in the context of IHR. They will also act as expert authorities on issues relating to global health security. Alongside technical expertise, the appointed organisation will also require experience in negotiating/influencing at senior government levels and be well-connected to political and global health networks. </w:t>
      </w:r>
    </w:p>
    <w:p w:rsidR="005366F4" w:rsidRPr="005366F4" w:rsidRDefault="005366F4" w:rsidP="005366F4">
      <w:pPr>
        <w:spacing w:after="0" w:line="240" w:lineRule="auto"/>
        <w:jc w:val="both"/>
        <w:rPr>
          <w:rFonts w:ascii="Arial" w:hAnsi="Arial" w:cs="Arial"/>
        </w:rPr>
      </w:pPr>
    </w:p>
    <w:p w:rsidR="005366F4" w:rsidRDefault="005366F4" w:rsidP="005366F4">
      <w:pPr>
        <w:spacing w:line="276" w:lineRule="auto"/>
        <w:jc w:val="both"/>
        <w:rPr>
          <w:rFonts w:ascii="Arial" w:hAnsi="Arial" w:cs="Arial"/>
          <w:bCs/>
        </w:rPr>
      </w:pPr>
      <w:r>
        <w:rPr>
          <w:rFonts w:ascii="Arial" w:hAnsi="Arial" w:cs="Arial"/>
          <w:bCs/>
        </w:rPr>
        <w:t>The tenderer will be expected to establish a consortium of key organisations including leading national public health agencies, one health expert bodies, and academic institutions with experience of operating in this arena to deliver this project.</w:t>
      </w:r>
      <w:r w:rsidR="00D36963">
        <w:rPr>
          <w:rFonts w:ascii="Arial" w:hAnsi="Arial" w:cs="Arial"/>
          <w:bCs/>
        </w:rPr>
        <w:t xml:space="preserve"> </w:t>
      </w:r>
      <w:r>
        <w:rPr>
          <w:rFonts w:ascii="Arial" w:hAnsi="Arial" w:cs="Arial"/>
          <w:bCs/>
        </w:rPr>
        <w:t xml:space="preserve"> </w:t>
      </w:r>
    </w:p>
    <w:p w:rsidR="005366F4" w:rsidRDefault="005366F4" w:rsidP="009275A6">
      <w:pPr>
        <w:spacing w:after="0" w:line="240" w:lineRule="auto"/>
        <w:jc w:val="both"/>
        <w:rPr>
          <w:rFonts w:ascii="Arial" w:hAnsi="Arial" w:cs="Arial"/>
        </w:rPr>
      </w:pPr>
      <w:r w:rsidRPr="005366F4">
        <w:rPr>
          <w:rFonts w:ascii="Arial" w:hAnsi="Arial" w:cs="Arial"/>
        </w:rPr>
        <w:t xml:space="preserve">Finally, the organisation will have the capacity to convene and run high profile workshops both internationally and in the UK. </w:t>
      </w:r>
    </w:p>
    <w:p w:rsidR="0082339C" w:rsidRDefault="0082339C" w:rsidP="009275A6">
      <w:pPr>
        <w:spacing w:after="0" w:line="240" w:lineRule="auto"/>
        <w:jc w:val="both"/>
        <w:rPr>
          <w:rFonts w:ascii="Arial" w:hAnsi="Arial" w:cs="Arial"/>
          <w:b/>
        </w:rPr>
      </w:pPr>
    </w:p>
    <w:p w:rsidR="0082339C" w:rsidRPr="0082339C" w:rsidRDefault="0082339C" w:rsidP="009275A6">
      <w:pPr>
        <w:spacing w:after="0" w:line="240" w:lineRule="auto"/>
        <w:jc w:val="both"/>
        <w:rPr>
          <w:rFonts w:ascii="Arial" w:hAnsi="Arial" w:cs="Arial"/>
          <w:b/>
        </w:rPr>
      </w:pPr>
      <w:r>
        <w:rPr>
          <w:rFonts w:ascii="Arial" w:hAnsi="Arial" w:cs="Arial"/>
          <w:b/>
        </w:rPr>
        <w:t>Project partners</w:t>
      </w:r>
    </w:p>
    <w:p w:rsidR="00DD43A8" w:rsidRPr="00DD43A8" w:rsidRDefault="00DD43A8" w:rsidP="009275A6">
      <w:pPr>
        <w:spacing w:before="240" w:line="276" w:lineRule="auto"/>
        <w:jc w:val="both"/>
        <w:rPr>
          <w:rFonts w:ascii="Arial" w:hAnsi="Arial" w:cs="Arial"/>
          <w:bCs/>
        </w:rPr>
      </w:pPr>
      <w:r w:rsidRPr="00DD43A8">
        <w:rPr>
          <w:rFonts w:ascii="Arial" w:hAnsi="Arial" w:cs="Arial"/>
          <w:bCs/>
        </w:rPr>
        <w:t xml:space="preserve">IANPHI has also established a consortium to support and </w:t>
      </w:r>
      <w:proofErr w:type="gramStart"/>
      <w:r w:rsidRPr="00DD43A8">
        <w:rPr>
          <w:rFonts w:ascii="Arial" w:hAnsi="Arial" w:cs="Arial"/>
          <w:bCs/>
        </w:rPr>
        <w:t>advise</w:t>
      </w:r>
      <w:proofErr w:type="gramEnd"/>
      <w:r w:rsidRPr="00DD43A8">
        <w:rPr>
          <w:rFonts w:ascii="Arial" w:hAnsi="Arial" w:cs="Arial"/>
          <w:bCs/>
        </w:rPr>
        <w:t xml:space="preserve"> on this programme of work; partners include Public Health England, the Robert Koch Institute, the Norwegian Institute of Public Health, and the Netherlands National Institute for Public Health and the Environment.</w:t>
      </w:r>
      <w:r w:rsidRPr="00DD43A8">
        <w:t xml:space="preserve"> </w:t>
      </w:r>
      <w:r w:rsidRPr="00DD43A8">
        <w:rPr>
          <w:rFonts w:ascii="Arial" w:hAnsi="Arial" w:cs="Arial"/>
          <w:bCs/>
        </w:rPr>
        <w:t xml:space="preserve">In addition, the Royal Veterinary College and the London School of Hygiene &amp; Tropical Medicine will provide academic support. </w:t>
      </w:r>
    </w:p>
    <w:p w:rsidR="00DD43A8" w:rsidRDefault="00DD43A8" w:rsidP="00115AA5">
      <w:pPr>
        <w:spacing w:line="276" w:lineRule="auto"/>
        <w:jc w:val="both"/>
        <w:rPr>
          <w:rFonts w:ascii="Arial" w:hAnsi="Arial" w:cs="Arial"/>
          <w:bCs/>
        </w:rPr>
      </w:pPr>
      <w:r w:rsidRPr="00DD43A8">
        <w:rPr>
          <w:rFonts w:ascii="Arial" w:hAnsi="Arial" w:cs="Arial"/>
          <w:bCs/>
        </w:rPr>
        <w:lastRenderedPageBreak/>
        <w:t>The WHO will continue</w:t>
      </w:r>
      <w:r w:rsidR="00CC07F8">
        <w:rPr>
          <w:rFonts w:ascii="Arial" w:hAnsi="Arial" w:cs="Arial"/>
          <w:bCs/>
        </w:rPr>
        <w:t xml:space="preserve"> its</w:t>
      </w:r>
      <w:r w:rsidRPr="00DD43A8">
        <w:rPr>
          <w:rFonts w:ascii="Arial" w:hAnsi="Arial" w:cs="Arial"/>
          <w:bCs/>
        </w:rPr>
        <w:t xml:space="preserve"> leadership role in implementing IHR and monitoring country level compliance</w:t>
      </w:r>
      <w:r w:rsidR="00D36963">
        <w:rPr>
          <w:rFonts w:ascii="Arial" w:hAnsi="Arial" w:cs="Arial"/>
          <w:bCs/>
        </w:rPr>
        <w:t xml:space="preserve"> and the tenderer should demonstrate how they will draw on partners to support WHO leadership and strong country level engagement. </w:t>
      </w:r>
    </w:p>
    <w:p w:rsidR="00DD43A8" w:rsidRPr="0082339C" w:rsidRDefault="00DD43A8" w:rsidP="00DD43A8">
      <w:pPr>
        <w:spacing w:line="276" w:lineRule="auto"/>
        <w:jc w:val="both"/>
        <w:rPr>
          <w:rFonts w:ascii="Arial" w:hAnsi="Arial" w:cs="Arial"/>
          <w:b/>
          <w:bCs/>
          <w:u w:val="single"/>
        </w:rPr>
      </w:pPr>
      <w:r w:rsidRPr="0082339C">
        <w:rPr>
          <w:rFonts w:ascii="Arial" w:hAnsi="Arial" w:cs="Arial"/>
          <w:b/>
          <w:bCs/>
          <w:u w:val="single"/>
        </w:rPr>
        <w:t>Methodology</w:t>
      </w:r>
    </w:p>
    <w:p w:rsidR="00DD43A8" w:rsidRDefault="00DD43A8" w:rsidP="00DD43A8">
      <w:pPr>
        <w:spacing w:line="276" w:lineRule="auto"/>
        <w:jc w:val="both"/>
        <w:rPr>
          <w:rFonts w:ascii="Arial" w:hAnsi="Arial" w:cs="Arial"/>
          <w:bCs/>
        </w:rPr>
      </w:pPr>
      <w:r>
        <w:rPr>
          <w:rFonts w:ascii="Arial" w:hAnsi="Arial" w:cs="Arial"/>
          <w:bCs/>
        </w:rPr>
        <w:t>The method for developing the indicator set can be determined by the tenderer, but is likely to include the following key steps:</w:t>
      </w:r>
    </w:p>
    <w:p w:rsidR="00DD43A8" w:rsidRPr="00DD43A8" w:rsidRDefault="00115AA5" w:rsidP="00AE7685">
      <w:pPr>
        <w:pStyle w:val="ListParagraph"/>
        <w:numPr>
          <w:ilvl w:val="0"/>
          <w:numId w:val="30"/>
        </w:numPr>
        <w:spacing w:line="276" w:lineRule="auto"/>
        <w:ind w:left="1134" w:hanging="774"/>
        <w:jc w:val="both"/>
        <w:rPr>
          <w:rFonts w:ascii="Arial" w:hAnsi="Arial" w:cs="Arial"/>
          <w:bCs/>
        </w:rPr>
      </w:pPr>
      <w:r>
        <w:rPr>
          <w:rFonts w:ascii="Arial" w:hAnsi="Arial" w:cs="Arial"/>
          <w:bCs/>
        </w:rPr>
        <w:t>A</w:t>
      </w:r>
      <w:r w:rsidR="00DD43A8" w:rsidRPr="00DD43A8">
        <w:rPr>
          <w:rFonts w:ascii="Arial" w:hAnsi="Arial" w:cs="Arial"/>
          <w:bCs/>
        </w:rPr>
        <w:t xml:space="preserve"> desk-based review and key informant interviews; </w:t>
      </w:r>
    </w:p>
    <w:p w:rsidR="00DD43A8" w:rsidRPr="00DD43A8" w:rsidRDefault="00115AA5" w:rsidP="00AE7685">
      <w:pPr>
        <w:pStyle w:val="ListParagraph"/>
        <w:numPr>
          <w:ilvl w:val="0"/>
          <w:numId w:val="30"/>
        </w:numPr>
        <w:spacing w:line="276" w:lineRule="auto"/>
        <w:ind w:left="1134" w:hanging="774"/>
        <w:jc w:val="both"/>
        <w:rPr>
          <w:rFonts w:ascii="Arial" w:hAnsi="Arial" w:cs="Arial"/>
          <w:bCs/>
        </w:rPr>
      </w:pPr>
      <w:r>
        <w:rPr>
          <w:rFonts w:ascii="Arial" w:hAnsi="Arial" w:cs="Arial"/>
          <w:bCs/>
        </w:rPr>
        <w:t>A</w:t>
      </w:r>
      <w:r w:rsidR="00DD43A8" w:rsidRPr="00DD43A8">
        <w:rPr>
          <w:rFonts w:ascii="Arial" w:hAnsi="Arial" w:cs="Arial"/>
          <w:bCs/>
        </w:rPr>
        <w:t xml:space="preserve"> stakeholder roundtable; </w:t>
      </w:r>
    </w:p>
    <w:p w:rsidR="00115AA5" w:rsidRPr="00115AA5" w:rsidRDefault="00115AA5" w:rsidP="00AE7685">
      <w:pPr>
        <w:pStyle w:val="ListParagraph"/>
        <w:numPr>
          <w:ilvl w:val="0"/>
          <w:numId w:val="30"/>
        </w:numPr>
        <w:spacing w:line="276" w:lineRule="auto"/>
        <w:ind w:left="1134" w:hanging="774"/>
        <w:jc w:val="both"/>
        <w:rPr>
          <w:rFonts w:ascii="Arial" w:hAnsi="Arial" w:cs="Arial"/>
          <w:bCs/>
        </w:rPr>
      </w:pPr>
      <w:r>
        <w:rPr>
          <w:rFonts w:ascii="Arial" w:hAnsi="Arial" w:cs="Arial"/>
          <w:bCs/>
        </w:rPr>
        <w:t>A</w:t>
      </w:r>
      <w:r w:rsidR="00CC07F8">
        <w:rPr>
          <w:rFonts w:ascii="Arial" w:hAnsi="Arial" w:cs="Arial"/>
          <w:bCs/>
        </w:rPr>
        <w:t>n assessment of the usefulness</w:t>
      </w:r>
      <w:r w:rsidR="00DD43A8" w:rsidRPr="00DD43A8">
        <w:rPr>
          <w:rFonts w:ascii="Arial" w:hAnsi="Arial" w:cs="Arial"/>
          <w:bCs/>
        </w:rPr>
        <w:t xml:space="preserve"> and feasibility of each potential indicator in </w:t>
      </w:r>
      <w:r>
        <w:rPr>
          <w:rFonts w:ascii="Arial" w:hAnsi="Arial" w:cs="Arial"/>
          <w:bCs/>
        </w:rPr>
        <w:t xml:space="preserve">the </w:t>
      </w:r>
      <w:r w:rsidR="00DD43A8" w:rsidRPr="00DD43A8">
        <w:rPr>
          <w:rFonts w:ascii="Arial" w:hAnsi="Arial" w:cs="Arial"/>
          <w:bCs/>
        </w:rPr>
        <w:t xml:space="preserve">three pilot countries.    </w:t>
      </w:r>
    </w:p>
    <w:p w:rsidR="00DD43A8" w:rsidRPr="0082339C" w:rsidRDefault="00DD43A8" w:rsidP="004F7B24">
      <w:pPr>
        <w:spacing w:line="276" w:lineRule="auto"/>
        <w:rPr>
          <w:rFonts w:ascii="Arial" w:hAnsi="Arial" w:cs="Arial"/>
          <w:b/>
          <w:bCs/>
          <w:u w:val="single"/>
        </w:rPr>
      </w:pPr>
      <w:r w:rsidRPr="0082339C">
        <w:rPr>
          <w:rFonts w:ascii="Arial" w:hAnsi="Arial" w:cs="Arial"/>
          <w:b/>
          <w:bCs/>
          <w:u w:val="single"/>
        </w:rPr>
        <w:t>Deliverables</w:t>
      </w:r>
    </w:p>
    <w:p w:rsidR="00115AA5" w:rsidRPr="00115AA5" w:rsidRDefault="00115AA5" w:rsidP="004F7B24">
      <w:pPr>
        <w:spacing w:line="276" w:lineRule="auto"/>
        <w:rPr>
          <w:rFonts w:ascii="Arial" w:hAnsi="Arial" w:cs="Arial"/>
          <w:bCs/>
        </w:rPr>
      </w:pPr>
      <w:r w:rsidRPr="00115AA5">
        <w:rPr>
          <w:rFonts w:ascii="Arial" w:hAnsi="Arial" w:cs="Arial"/>
          <w:bCs/>
        </w:rPr>
        <w:t xml:space="preserve">Key </w:t>
      </w:r>
      <w:r>
        <w:rPr>
          <w:rFonts w:ascii="Arial" w:hAnsi="Arial" w:cs="Arial"/>
          <w:bCs/>
        </w:rPr>
        <w:t>deliverables and outputs include:</w:t>
      </w:r>
    </w:p>
    <w:p w:rsidR="00115AA5" w:rsidRDefault="00115AA5" w:rsidP="00AE7685">
      <w:pPr>
        <w:pStyle w:val="ListParagraph"/>
        <w:numPr>
          <w:ilvl w:val="0"/>
          <w:numId w:val="27"/>
        </w:numPr>
        <w:spacing w:line="276" w:lineRule="auto"/>
        <w:jc w:val="both"/>
        <w:rPr>
          <w:rFonts w:ascii="Arial" w:hAnsi="Arial" w:cs="Arial"/>
          <w:bCs/>
        </w:rPr>
      </w:pPr>
      <w:r w:rsidRPr="00115AA5">
        <w:rPr>
          <w:rFonts w:ascii="Arial" w:hAnsi="Arial" w:cs="Arial"/>
          <w:bCs/>
        </w:rPr>
        <w:t>Tailored national-level IHR indicator</w:t>
      </w:r>
      <w:r>
        <w:rPr>
          <w:rFonts w:ascii="Arial" w:hAnsi="Arial" w:cs="Arial"/>
          <w:bCs/>
        </w:rPr>
        <w:t xml:space="preserve"> set and</w:t>
      </w:r>
      <w:r w:rsidRPr="00115AA5">
        <w:rPr>
          <w:rFonts w:ascii="Arial" w:hAnsi="Arial" w:cs="Arial"/>
          <w:bCs/>
        </w:rPr>
        <w:t xml:space="preserve"> framework for each pilot country</w:t>
      </w:r>
      <w:r>
        <w:rPr>
          <w:rFonts w:ascii="Arial" w:hAnsi="Arial" w:cs="Arial"/>
          <w:bCs/>
        </w:rPr>
        <w:t xml:space="preserve"> developed in collaboration with national, regional and international bodies</w:t>
      </w:r>
    </w:p>
    <w:p w:rsidR="006153C4" w:rsidRPr="006153C4" w:rsidRDefault="006153C4" w:rsidP="00AE7685">
      <w:pPr>
        <w:pStyle w:val="ListParagraph"/>
        <w:numPr>
          <w:ilvl w:val="0"/>
          <w:numId w:val="27"/>
        </w:numPr>
        <w:spacing w:line="276" w:lineRule="auto"/>
        <w:jc w:val="both"/>
        <w:rPr>
          <w:rFonts w:ascii="Arial" w:hAnsi="Arial" w:cs="Arial"/>
          <w:bCs/>
        </w:rPr>
      </w:pPr>
      <w:r w:rsidRPr="006153C4">
        <w:rPr>
          <w:rFonts w:ascii="Arial" w:hAnsi="Arial" w:cs="Arial"/>
          <w:bCs/>
        </w:rPr>
        <w:t xml:space="preserve">Compiled database of existing data sources </w:t>
      </w:r>
      <w:r w:rsidR="00DC79CC">
        <w:rPr>
          <w:rFonts w:ascii="Arial" w:hAnsi="Arial" w:cs="Arial"/>
          <w:bCs/>
        </w:rPr>
        <w:t xml:space="preserve">that can be used to monitor the proposed set of </w:t>
      </w:r>
      <w:r w:rsidRPr="006153C4">
        <w:rPr>
          <w:rFonts w:ascii="Arial" w:hAnsi="Arial" w:cs="Arial"/>
          <w:bCs/>
        </w:rPr>
        <w:t xml:space="preserve">IHR indicators for each pilot country </w:t>
      </w:r>
    </w:p>
    <w:p w:rsidR="00115AA5" w:rsidRPr="006153C4" w:rsidRDefault="00115AA5" w:rsidP="00AE7685">
      <w:pPr>
        <w:pStyle w:val="ListParagraph"/>
        <w:numPr>
          <w:ilvl w:val="0"/>
          <w:numId w:val="27"/>
        </w:numPr>
        <w:spacing w:line="276" w:lineRule="auto"/>
        <w:jc w:val="both"/>
        <w:rPr>
          <w:rFonts w:ascii="Arial" w:hAnsi="Arial" w:cs="Arial"/>
          <w:bCs/>
        </w:rPr>
      </w:pPr>
      <w:r w:rsidRPr="006153C4">
        <w:rPr>
          <w:rFonts w:ascii="Arial" w:hAnsi="Arial" w:cs="Arial"/>
          <w:bCs/>
        </w:rPr>
        <w:t>Reports from multi-stakeholder workshops (that prioritises south-south participation)</w:t>
      </w:r>
      <w:r>
        <w:rPr>
          <w:rFonts w:ascii="Arial" w:hAnsi="Arial" w:cs="Arial"/>
          <w:bCs/>
        </w:rPr>
        <w:t xml:space="preserve"> in each of the pilot countries</w:t>
      </w:r>
    </w:p>
    <w:p w:rsidR="006153C4" w:rsidRPr="006153C4" w:rsidRDefault="006153C4" w:rsidP="00AE7685">
      <w:pPr>
        <w:pStyle w:val="ListParagraph"/>
        <w:numPr>
          <w:ilvl w:val="0"/>
          <w:numId w:val="27"/>
        </w:numPr>
        <w:spacing w:line="276" w:lineRule="auto"/>
        <w:jc w:val="both"/>
        <w:rPr>
          <w:rFonts w:ascii="Arial" w:hAnsi="Arial" w:cs="Arial"/>
          <w:bCs/>
        </w:rPr>
      </w:pPr>
      <w:r w:rsidRPr="006153C4">
        <w:rPr>
          <w:rFonts w:ascii="Arial" w:hAnsi="Arial" w:cs="Arial"/>
          <w:bCs/>
        </w:rPr>
        <w:t>Analysis of data sources and indicators identifying potenti</w:t>
      </w:r>
      <w:r w:rsidR="00115AA5">
        <w:rPr>
          <w:rFonts w:ascii="Arial" w:hAnsi="Arial" w:cs="Arial"/>
          <w:bCs/>
        </w:rPr>
        <w:t>al data gaps and quality issues</w:t>
      </w:r>
    </w:p>
    <w:p w:rsidR="00115AA5" w:rsidRDefault="00115AA5" w:rsidP="00AE7685">
      <w:pPr>
        <w:pStyle w:val="ListParagraph"/>
        <w:numPr>
          <w:ilvl w:val="0"/>
          <w:numId w:val="27"/>
        </w:numPr>
        <w:spacing w:line="276" w:lineRule="auto"/>
        <w:jc w:val="both"/>
        <w:rPr>
          <w:rFonts w:ascii="Arial" w:hAnsi="Arial" w:cs="Arial"/>
          <w:bCs/>
        </w:rPr>
      </w:pPr>
      <w:r>
        <w:rPr>
          <w:rFonts w:ascii="Arial" w:hAnsi="Arial" w:cs="Arial"/>
          <w:bCs/>
        </w:rPr>
        <w:t xml:space="preserve">Convening of </w:t>
      </w:r>
      <w:r w:rsidR="005366F4">
        <w:rPr>
          <w:rFonts w:ascii="Arial" w:hAnsi="Arial" w:cs="Arial"/>
          <w:bCs/>
        </w:rPr>
        <w:t>a</w:t>
      </w:r>
      <w:r>
        <w:rPr>
          <w:rFonts w:ascii="Arial" w:hAnsi="Arial" w:cs="Arial"/>
          <w:bCs/>
        </w:rPr>
        <w:t xml:space="preserve"> group of international public health experts to review monitoring and preparedness plans and serve as an advisory group</w:t>
      </w:r>
      <w:r w:rsidRPr="00115AA5">
        <w:rPr>
          <w:rFonts w:ascii="Arial" w:hAnsi="Arial" w:cs="Arial"/>
          <w:bCs/>
        </w:rPr>
        <w:t xml:space="preserve"> </w:t>
      </w:r>
    </w:p>
    <w:p w:rsidR="00115AA5" w:rsidRPr="00941952" w:rsidRDefault="00115AA5" w:rsidP="00872A0D">
      <w:pPr>
        <w:pStyle w:val="ListParagraph"/>
        <w:numPr>
          <w:ilvl w:val="0"/>
          <w:numId w:val="27"/>
        </w:numPr>
        <w:spacing w:line="276" w:lineRule="auto"/>
        <w:jc w:val="both"/>
        <w:rPr>
          <w:rFonts w:ascii="Arial" w:hAnsi="Arial" w:cs="Arial"/>
          <w:bCs/>
        </w:rPr>
      </w:pPr>
      <w:r w:rsidRPr="006153C4">
        <w:rPr>
          <w:rFonts w:ascii="Arial" w:hAnsi="Arial" w:cs="Arial"/>
          <w:bCs/>
        </w:rPr>
        <w:t>Final report on a national level IHR framework discussing data sourc</w:t>
      </w:r>
      <w:r>
        <w:rPr>
          <w:rFonts w:ascii="Arial" w:hAnsi="Arial" w:cs="Arial"/>
          <w:bCs/>
        </w:rPr>
        <w:t>es that need to be strengthened</w:t>
      </w:r>
    </w:p>
    <w:p w:rsidR="00872A0D" w:rsidRDefault="004E3DD8" w:rsidP="00872A0D">
      <w:pPr>
        <w:rPr>
          <w:rFonts w:ascii="Arial" w:hAnsi="Arial" w:cs="Arial"/>
          <w:b/>
          <w:bCs/>
        </w:rPr>
      </w:pPr>
      <w:r>
        <w:rPr>
          <w:rFonts w:ascii="Arial" w:hAnsi="Arial" w:cs="Arial"/>
          <w:b/>
          <w:bCs/>
        </w:rPr>
        <w:t>Immediate requirements</w:t>
      </w:r>
    </w:p>
    <w:p w:rsidR="00C002F9" w:rsidRPr="00872A0D" w:rsidRDefault="00C002F9" w:rsidP="00AE7685">
      <w:pPr>
        <w:jc w:val="both"/>
        <w:rPr>
          <w:rFonts w:ascii="Arial" w:hAnsi="Arial" w:cs="Arial"/>
          <w:b/>
          <w:bCs/>
        </w:rPr>
      </w:pPr>
      <w:r w:rsidRPr="00872A0D">
        <w:rPr>
          <w:rFonts w:ascii="Arial" w:hAnsi="Arial" w:cs="Arial"/>
          <w:bCs/>
        </w:rPr>
        <w:t>Upon contract award, the</w:t>
      </w:r>
      <w:r w:rsidR="00055A03" w:rsidRPr="00872A0D">
        <w:rPr>
          <w:rFonts w:ascii="Arial" w:hAnsi="Arial" w:cs="Arial"/>
          <w:bCs/>
        </w:rPr>
        <w:t xml:space="preserve"> supplier will collaborate with the PHE </w:t>
      </w:r>
      <w:r w:rsidR="00DC79CC">
        <w:rPr>
          <w:rFonts w:ascii="Arial" w:hAnsi="Arial" w:cs="Arial"/>
          <w:bCs/>
        </w:rPr>
        <w:t>IHR Strengthening Programme team to:</w:t>
      </w:r>
    </w:p>
    <w:p w:rsidR="00C002F9" w:rsidRPr="00C002F9" w:rsidRDefault="00C002F9" w:rsidP="00AE7685">
      <w:pPr>
        <w:pStyle w:val="ListParagraph"/>
        <w:numPr>
          <w:ilvl w:val="0"/>
          <w:numId w:val="18"/>
        </w:numPr>
        <w:spacing w:line="276" w:lineRule="auto"/>
        <w:jc w:val="both"/>
        <w:rPr>
          <w:rFonts w:ascii="Arial" w:hAnsi="Arial" w:cs="Arial"/>
          <w:bCs/>
        </w:rPr>
      </w:pPr>
      <w:r w:rsidRPr="00C002F9">
        <w:rPr>
          <w:rFonts w:ascii="Arial" w:hAnsi="Arial" w:cs="Arial"/>
          <w:bCs/>
        </w:rPr>
        <w:t xml:space="preserve">Upon appointment, </w:t>
      </w:r>
      <w:r w:rsidR="00055A03">
        <w:rPr>
          <w:rFonts w:ascii="Arial" w:hAnsi="Arial" w:cs="Arial"/>
          <w:bCs/>
        </w:rPr>
        <w:t xml:space="preserve">develop and </w:t>
      </w:r>
      <w:r w:rsidRPr="00C002F9">
        <w:rPr>
          <w:rFonts w:ascii="Arial" w:hAnsi="Arial" w:cs="Arial"/>
          <w:bCs/>
        </w:rPr>
        <w:t xml:space="preserve">refine </w:t>
      </w:r>
      <w:r w:rsidR="00DC79CC">
        <w:rPr>
          <w:rFonts w:ascii="Arial" w:hAnsi="Arial" w:cs="Arial"/>
          <w:bCs/>
        </w:rPr>
        <w:t>methodology and plan</w:t>
      </w:r>
      <w:r w:rsidRPr="00C002F9">
        <w:rPr>
          <w:rFonts w:ascii="Arial" w:hAnsi="Arial" w:cs="Arial"/>
          <w:bCs/>
        </w:rPr>
        <w:t xml:space="preserve"> to ens</w:t>
      </w:r>
      <w:r w:rsidR="00DC79CC">
        <w:rPr>
          <w:rFonts w:ascii="Arial" w:hAnsi="Arial" w:cs="Arial"/>
          <w:bCs/>
        </w:rPr>
        <w:t xml:space="preserve">ure outputs can be delivered in line with aims of the </w:t>
      </w:r>
      <w:r w:rsidR="008316B7">
        <w:rPr>
          <w:rFonts w:ascii="Arial" w:hAnsi="Arial" w:cs="Arial"/>
          <w:bCs/>
        </w:rPr>
        <w:t>service</w:t>
      </w:r>
      <w:r w:rsidR="00DC79CC">
        <w:rPr>
          <w:rFonts w:ascii="Arial" w:hAnsi="Arial" w:cs="Arial"/>
          <w:bCs/>
        </w:rPr>
        <w:t xml:space="preserve"> and in a timely manner</w:t>
      </w:r>
    </w:p>
    <w:p w:rsidR="00C002F9" w:rsidRDefault="00C002F9" w:rsidP="00AE7685">
      <w:pPr>
        <w:pStyle w:val="ListParagraph"/>
        <w:numPr>
          <w:ilvl w:val="0"/>
          <w:numId w:val="18"/>
        </w:numPr>
        <w:spacing w:line="276" w:lineRule="auto"/>
        <w:jc w:val="both"/>
        <w:rPr>
          <w:rFonts w:ascii="Arial" w:hAnsi="Arial" w:cs="Arial"/>
          <w:bCs/>
        </w:rPr>
      </w:pPr>
      <w:r w:rsidRPr="00C002F9">
        <w:rPr>
          <w:rFonts w:ascii="Arial" w:hAnsi="Arial" w:cs="Arial"/>
          <w:bCs/>
        </w:rPr>
        <w:t>Following this initi</w:t>
      </w:r>
      <w:r w:rsidR="002655FD">
        <w:rPr>
          <w:rFonts w:ascii="Arial" w:hAnsi="Arial" w:cs="Arial"/>
          <w:bCs/>
        </w:rPr>
        <w:t xml:space="preserve">al period of </w:t>
      </w:r>
      <w:r w:rsidRPr="00C002F9">
        <w:rPr>
          <w:rFonts w:ascii="Arial" w:hAnsi="Arial" w:cs="Arial"/>
          <w:bCs/>
        </w:rPr>
        <w:t xml:space="preserve">collaboration, the supplier will assume responsibility of </w:t>
      </w:r>
      <w:r w:rsidR="00601BC9">
        <w:rPr>
          <w:rFonts w:ascii="Arial" w:hAnsi="Arial" w:cs="Arial"/>
          <w:bCs/>
        </w:rPr>
        <w:t xml:space="preserve"> </w:t>
      </w:r>
      <w:r w:rsidR="00DC79CC">
        <w:rPr>
          <w:rFonts w:ascii="Arial" w:hAnsi="Arial" w:cs="Arial"/>
          <w:bCs/>
        </w:rPr>
        <w:t>the project</w:t>
      </w:r>
      <w:r w:rsidRPr="00C002F9">
        <w:rPr>
          <w:rFonts w:ascii="Arial" w:hAnsi="Arial" w:cs="Arial"/>
          <w:bCs/>
        </w:rPr>
        <w:t xml:space="preserve"> and will report directly to </w:t>
      </w:r>
      <w:r w:rsidR="00DC79CC">
        <w:rPr>
          <w:rFonts w:ascii="Arial" w:hAnsi="Arial" w:cs="Arial"/>
          <w:bCs/>
        </w:rPr>
        <w:t>PHE’s IHR Strengthening Programme team</w:t>
      </w:r>
      <w:r w:rsidR="00865853">
        <w:rPr>
          <w:rFonts w:ascii="Arial" w:hAnsi="Arial" w:cs="Arial"/>
          <w:bCs/>
        </w:rPr>
        <w:t>, while</w:t>
      </w:r>
      <w:r w:rsidRPr="00C002F9">
        <w:rPr>
          <w:rFonts w:ascii="Arial" w:hAnsi="Arial" w:cs="Arial"/>
          <w:bCs/>
        </w:rPr>
        <w:t xml:space="preserve"> maintaining effective working relationships </w:t>
      </w:r>
      <w:r w:rsidR="00DC79CC">
        <w:rPr>
          <w:rFonts w:ascii="Arial" w:hAnsi="Arial" w:cs="Arial"/>
          <w:bCs/>
        </w:rPr>
        <w:t>with the national, regional and international organisations outlined in this specification</w:t>
      </w:r>
      <w:r w:rsidRPr="00C002F9">
        <w:rPr>
          <w:rFonts w:ascii="Arial" w:hAnsi="Arial" w:cs="Arial"/>
          <w:bCs/>
        </w:rPr>
        <w:t xml:space="preserve"> </w:t>
      </w:r>
    </w:p>
    <w:p w:rsidR="00865853" w:rsidRPr="00865853" w:rsidRDefault="00865853" w:rsidP="00AE7685">
      <w:pPr>
        <w:pStyle w:val="ListParagraph"/>
        <w:numPr>
          <w:ilvl w:val="0"/>
          <w:numId w:val="18"/>
        </w:numPr>
        <w:spacing w:line="276" w:lineRule="auto"/>
        <w:jc w:val="both"/>
        <w:rPr>
          <w:rFonts w:ascii="Arial" w:hAnsi="Arial" w:cs="Arial"/>
          <w:bCs/>
        </w:rPr>
      </w:pPr>
      <w:r w:rsidRPr="00C002F9">
        <w:rPr>
          <w:rFonts w:ascii="Arial" w:hAnsi="Arial" w:cs="Arial"/>
          <w:bCs/>
        </w:rPr>
        <w:t xml:space="preserve">The supplier will provide </w:t>
      </w:r>
      <w:r>
        <w:rPr>
          <w:rFonts w:ascii="Arial" w:hAnsi="Arial" w:cs="Arial"/>
          <w:bCs/>
        </w:rPr>
        <w:t xml:space="preserve">the </w:t>
      </w:r>
      <w:r w:rsidR="008316B7" w:rsidRPr="00872A0D">
        <w:rPr>
          <w:rFonts w:ascii="Arial" w:hAnsi="Arial" w:cs="Arial"/>
          <w:bCs/>
        </w:rPr>
        <w:t xml:space="preserve">PHE </w:t>
      </w:r>
      <w:r w:rsidR="008316B7">
        <w:rPr>
          <w:rFonts w:ascii="Arial" w:hAnsi="Arial" w:cs="Arial"/>
          <w:bCs/>
        </w:rPr>
        <w:t>IHR Strengthening Programme team with a documented, detailed</w:t>
      </w:r>
      <w:r w:rsidRPr="00C002F9">
        <w:rPr>
          <w:rFonts w:ascii="Arial" w:hAnsi="Arial" w:cs="Arial"/>
          <w:bCs/>
        </w:rPr>
        <w:t xml:space="preserve"> protocol, setting out how the </w:t>
      </w:r>
      <w:r w:rsidR="008316B7">
        <w:rPr>
          <w:rFonts w:ascii="Arial" w:hAnsi="Arial" w:cs="Arial"/>
          <w:bCs/>
        </w:rPr>
        <w:t xml:space="preserve">project </w:t>
      </w:r>
      <w:r w:rsidRPr="00C002F9">
        <w:rPr>
          <w:rFonts w:ascii="Arial" w:hAnsi="Arial" w:cs="Arial"/>
          <w:bCs/>
        </w:rPr>
        <w:t xml:space="preserve">will be run, including </w:t>
      </w:r>
      <w:r w:rsidR="00D84D23">
        <w:rPr>
          <w:rFonts w:ascii="Arial" w:hAnsi="Arial" w:cs="Arial"/>
          <w:bCs/>
        </w:rPr>
        <w:t xml:space="preserve">a detailed </w:t>
      </w:r>
      <w:r w:rsidR="00992B2A">
        <w:rPr>
          <w:rFonts w:ascii="Arial" w:hAnsi="Arial" w:cs="Arial"/>
          <w:bCs/>
        </w:rPr>
        <w:t>timeline highlighting key milestones and d</w:t>
      </w:r>
      <w:r w:rsidR="00872A0D">
        <w:rPr>
          <w:rFonts w:ascii="Arial" w:hAnsi="Arial" w:cs="Arial"/>
          <w:bCs/>
        </w:rPr>
        <w:t xml:space="preserve">eliverables. The supplier will also present the protocol to the </w:t>
      </w:r>
      <w:r w:rsidR="008316B7">
        <w:rPr>
          <w:rFonts w:ascii="Arial" w:hAnsi="Arial" w:cs="Arial"/>
          <w:bCs/>
        </w:rPr>
        <w:t>team</w:t>
      </w:r>
      <w:r w:rsidRPr="00C002F9">
        <w:rPr>
          <w:rFonts w:ascii="Arial" w:hAnsi="Arial" w:cs="Arial"/>
          <w:bCs/>
        </w:rPr>
        <w:t>, incorp</w:t>
      </w:r>
      <w:r>
        <w:rPr>
          <w:rFonts w:ascii="Arial" w:hAnsi="Arial" w:cs="Arial"/>
          <w:bCs/>
        </w:rPr>
        <w:t>orating feedback as appropriate</w:t>
      </w:r>
    </w:p>
    <w:p w:rsidR="00C002F9" w:rsidRDefault="00EA2339" w:rsidP="00AE7685">
      <w:pPr>
        <w:pStyle w:val="ListParagraph"/>
        <w:numPr>
          <w:ilvl w:val="0"/>
          <w:numId w:val="18"/>
        </w:numPr>
        <w:spacing w:line="276" w:lineRule="auto"/>
        <w:jc w:val="both"/>
        <w:rPr>
          <w:rFonts w:ascii="Arial" w:hAnsi="Arial" w:cs="Arial"/>
          <w:bCs/>
        </w:rPr>
      </w:pPr>
      <w:r w:rsidRPr="00872A0D">
        <w:rPr>
          <w:rFonts w:ascii="Arial" w:hAnsi="Arial" w:cs="Arial"/>
          <w:bCs/>
        </w:rPr>
        <w:lastRenderedPageBreak/>
        <w:t>T</w:t>
      </w:r>
      <w:r w:rsidR="00C002F9" w:rsidRPr="00872A0D">
        <w:rPr>
          <w:rFonts w:ascii="Arial" w:hAnsi="Arial" w:cs="Arial"/>
          <w:bCs/>
        </w:rPr>
        <w:t>he supplier will provide ethical assurance, data-flow maps detailing data movement procedures, and provide assurances that any data-sharing activity is carrie</w:t>
      </w:r>
      <w:r w:rsidR="00865853" w:rsidRPr="00872A0D">
        <w:rPr>
          <w:rFonts w:ascii="Arial" w:hAnsi="Arial" w:cs="Arial"/>
          <w:bCs/>
        </w:rPr>
        <w:t>d out in a legal and secure way</w:t>
      </w:r>
      <w:r w:rsidR="00D84D23" w:rsidRPr="00872A0D">
        <w:rPr>
          <w:rFonts w:ascii="Arial" w:hAnsi="Arial" w:cs="Arial"/>
          <w:bCs/>
        </w:rPr>
        <w:t>. The supplier must adhere to th</w:t>
      </w:r>
      <w:r w:rsidR="002F477B">
        <w:rPr>
          <w:rFonts w:ascii="Arial" w:hAnsi="Arial" w:cs="Arial"/>
          <w:bCs/>
        </w:rPr>
        <w:t>e Data Protection Act (1998),</w:t>
      </w:r>
      <w:r w:rsidR="00D84D23" w:rsidRPr="00872A0D">
        <w:rPr>
          <w:rFonts w:ascii="Arial" w:hAnsi="Arial" w:cs="Arial"/>
          <w:bCs/>
        </w:rPr>
        <w:t xml:space="preserve"> the Freedom of Information Act (2000)</w:t>
      </w:r>
      <w:r w:rsidR="00C021E1">
        <w:rPr>
          <w:rFonts w:ascii="Arial" w:hAnsi="Arial" w:cs="Arial"/>
          <w:bCs/>
        </w:rPr>
        <w:t xml:space="preserve"> and be compliant with the forthcoming </w:t>
      </w:r>
      <w:r w:rsidR="00587CFD">
        <w:rPr>
          <w:rFonts w:ascii="Arial" w:hAnsi="Arial" w:cs="Arial"/>
          <w:bCs/>
        </w:rPr>
        <w:t xml:space="preserve">implementation of the </w:t>
      </w:r>
      <w:r w:rsidR="00C021E1">
        <w:rPr>
          <w:rFonts w:ascii="Arial" w:hAnsi="Arial" w:cs="Arial"/>
          <w:bCs/>
        </w:rPr>
        <w:t xml:space="preserve">General Data Protection Regulation. </w:t>
      </w:r>
    </w:p>
    <w:p w:rsidR="003D7FAA" w:rsidRPr="006F0D47" w:rsidRDefault="003D7FAA" w:rsidP="00AE768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rPr>
      </w:pPr>
      <w:r w:rsidRPr="006F0D47">
        <w:rPr>
          <w:rFonts w:ascii="Arial" w:hAnsi="Arial" w:cs="Arial"/>
          <w:bCs/>
        </w:rPr>
        <w:t xml:space="preserve">Data collection </w:t>
      </w:r>
      <w:r w:rsidR="00D33821">
        <w:rPr>
          <w:rFonts w:ascii="Arial" w:hAnsi="Arial" w:cs="Arial"/>
          <w:bCs/>
        </w:rPr>
        <w:t xml:space="preserve">and deliverables </w:t>
      </w:r>
      <w:r w:rsidRPr="006F0D47">
        <w:rPr>
          <w:rFonts w:ascii="Arial" w:hAnsi="Arial" w:cs="Arial"/>
          <w:bCs/>
        </w:rPr>
        <w:t xml:space="preserve">for the </w:t>
      </w:r>
      <w:r w:rsidR="008316B7">
        <w:rPr>
          <w:rFonts w:ascii="Arial" w:hAnsi="Arial" w:cs="Arial"/>
          <w:bCs/>
        </w:rPr>
        <w:t>project</w:t>
      </w:r>
      <w:r w:rsidRPr="006F0D47">
        <w:rPr>
          <w:rFonts w:ascii="Arial" w:hAnsi="Arial" w:cs="Arial"/>
          <w:bCs/>
        </w:rPr>
        <w:t xml:space="preserve"> will be phased, and </w:t>
      </w:r>
      <w:r w:rsidR="006F0D47">
        <w:rPr>
          <w:rFonts w:ascii="Arial" w:hAnsi="Arial" w:cs="Arial"/>
          <w:bCs/>
        </w:rPr>
        <w:t>will take place in three waves</w:t>
      </w:r>
      <w:r w:rsidR="008316B7">
        <w:rPr>
          <w:rFonts w:ascii="Arial" w:hAnsi="Arial" w:cs="Arial"/>
          <w:bCs/>
        </w:rPr>
        <w:t xml:space="preserve"> after the initial invitation to tender</w:t>
      </w:r>
      <w:r w:rsidR="006F0D47">
        <w:rPr>
          <w:rFonts w:ascii="Arial" w:hAnsi="Arial" w:cs="Arial"/>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D33821" w:rsidRPr="00071649" w:rsidTr="00AE7685">
        <w:tc>
          <w:tcPr>
            <w:tcW w:w="2410" w:type="dxa"/>
            <w:shd w:val="clear" w:color="auto" w:fill="BFBFBF"/>
          </w:tcPr>
          <w:p w:rsidR="00D33821" w:rsidRPr="00CC07F8" w:rsidRDefault="00D33821" w:rsidP="00025EA7">
            <w:pPr>
              <w:rPr>
                <w:rFonts w:ascii="Arial" w:hAnsi="Arial" w:cs="Arial"/>
                <w:b/>
              </w:rPr>
            </w:pPr>
            <w:r w:rsidRPr="00CC07F8">
              <w:rPr>
                <w:rFonts w:ascii="Arial" w:hAnsi="Arial" w:cs="Arial"/>
                <w:b/>
              </w:rPr>
              <w:t>Date</w:t>
            </w:r>
          </w:p>
        </w:tc>
        <w:tc>
          <w:tcPr>
            <w:tcW w:w="6521" w:type="dxa"/>
            <w:shd w:val="clear" w:color="auto" w:fill="BFBFBF"/>
          </w:tcPr>
          <w:p w:rsidR="00D33821" w:rsidRPr="00CC07F8" w:rsidRDefault="00D33821" w:rsidP="00025EA7">
            <w:pPr>
              <w:rPr>
                <w:rFonts w:ascii="Arial" w:hAnsi="Arial" w:cs="Arial"/>
                <w:b/>
              </w:rPr>
            </w:pPr>
            <w:r w:rsidRPr="00CC07F8">
              <w:rPr>
                <w:rFonts w:ascii="Arial" w:hAnsi="Arial" w:cs="Arial"/>
                <w:b/>
              </w:rPr>
              <w:t>Action</w:t>
            </w:r>
            <w:r w:rsidR="004E3DD8" w:rsidRPr="00CC07F8">
              <w:rPr>
                <w:rFonts w:ascii="Arial" w:hAnsi="Arial" w:cs="Arial"/>
                <w:b/>
              </w:rPr>
              <w:t xml:space="preserve"> or deliverable</w:t>
            </w:r>
          </w:p>
        </w:tc>
      </w:tr>
      <w:tr w:rsidR="00D33821" w:rsidRPr="00071649" w:rsidTr="00AE7685">
        <w:tc>
          <w:tcPr>
            <w:tcW w:w="2410" w:type="dxa"/>
            <w:shd w:val="clear" w:color="auto" w:fill="auto"/>
          </w:tcPr>
          <w:p w:rsidR="00D33821" w:rsidRPr="00ED1845" w:rsidRDefault="009D16C5" w:rsidP="009D16C5">
            <w:pPr>
              <w:rPr>
                <w:rFonts w:ascii="Arial" w:hAnsi="Arial" w:cs="Arial"/>
                <w:b/>
              </w:rPr>
            </w:pPr>
            <w:r>
              <w:rPr>
                <w:rFonts w:ascii="Arial" w:hAnsi="Arial" w:cs="Arial"/>
                <w:b/>
              </w:rPr>
              <w:t xml:space="preserve">February – </w:t>
            </w:r>
            <w:r w:rsidR="008D6442">
              <w:rPr>
                <w:rFonts w:ascii="Arial" w:hAnsi="Arial" w:cs="Arial"/>
                <w:b/>
              </w:rPr>
              <w:t>March</w:t>
            </w:r>
            <w:r>
              <w:rPr>
                <w:rFonts w:ascii="Arial" w:hAnsi="Arial" w:cs="Arial"/>
                <w:b/>
              </w:rPr>
              <w:t xml:space="preserve"> </w:t>
            </w:r>
            <w:r w:rsidR="00D33821">
              <w:rPr>
                <w:rFonts w:ascii="Arial" w:hAnsi="Arial" w:cs="Arial"/>
                <w:b/>
              </w:rPr>
              <w:t>2018</w:t>
            </w:r>
          </w:p>
        </w:tc>
        <w:tc>
          <w:tcPr>
            <w:tcW w:w="6521" w:type="dxa"/>
            <w:shd w:val="clear" w:color="auto" w:fill="auto"/>
          </w:tcPr>
          <w:p w:rsidR="009D16C5" w:rsidRDefault="009D16C5" w:rsidP="00992B2A">
            <w:pPr>
              <w:rPr>
                <w:rFonts w:ascii="Arial" w:hAnsi="Arial" w:cs="Arial"/>
                <w:lang w:val="en-US"/>
              </w:rPr>
            </w:pPr>
            <w:r>
              <w:rPr>
                <w:rFonts w:ascii="Arial" w:hAnsi="Arial" w:cs="Arial"/>
                <w:lang w:val="en-US"/>
              </w:rPr>
              <w:t>Tenderers to submit supporting documents including plans, budget and risk register</w:t>
            </w:r>
          </w:p>
          <w:p w:rsidR="00D33821" w:rsidRDefault="000B12BD" w:rsidP="00992B2A">
            <w:pPr>
              <w:rPr>
                <w:rFonts w:ascii="Arial" w:hAnsi="Arial" w:cs="Arial"/>
                <w:lang w:val="en-US"/>
              </w:rPr>
            </w:pPr>
            <w:r>
              <w:rPr>
                <w:rFonts w:ascii="Arial" w:hAnsi="Arial" w:cs="Arial"/>
                <w:lang w:val="en-US"/>
              </w:rPr>
              <w:t>PHE to evaluate tenders, score and award contract</w:t>
            </w:r>
          </w:p>
          <w:p w:rsidR="009D16C5" w:rsidRDefault="009D16C5" w:rsidP="00992B2A">
            <w:pPr>
              <w:rPr>
                <w:rFonts w:ascii="Arial" w:hAnsi="Arial" w:cs="Arial"/>
                <w:lang w:val="en-US"/>
              </w:rPr>
            </w:pPr>
            <w:r>
              <w:rPr>
                <w:rFonts w:ascii="Arial" w:hAnsi="Arial" w:cs="Arial"/>
                <w:lang w:val="en-US"/>
              </w:rPr>
              <w:t>PHE to conduct interviews on readiness, set-up and implementation</w:t>
            </w:r>
            <w:r w:rsidR="000B12BD">
              <w:rPr>
                <w:rFonts w:ascii="Arial" w:hAnsi="Arial" w:cs="Arial"/>
                <w:lang w:val="en-US"/>
              </w:rPr>
              <w:t xml:space="preserve"> with successful supplier</w:t>
            </w:r>
          </w:p>
          <w:p w:rsidR="007D0E90" w:rsidRPr="00ED1845" w:rsidRDefault="007D0E90" w:rsidP="00992B2A">
            <w:pPr>
              <w:rPr>
                <w:rFonts w:ascii="Arial" w:hAnsi="Arial" w:cs="Arial"/>
                <w:lang w:val="en-US"/>
              </w:rPr>
            </w:pPr>
            <w:r>
              <w:rPr>
                <w:rFonts w:ascii="Arial" w:hAnsi="Arial" w:cs="Arial"/>
                <w:lang w:val="en-US"/>
              </w:rPr>
              <w:t>First milestone: Full proposal plan presented by successful tenderer to PHE IHR team</w:t>
            </w:r>
          </w:p>
        </w:tc>
      </w:tr>
      <w:tr w:rsidR="00D33821" w:rsidRPr="00071649" w:rsidTr="00AE7685">
        <w:tc>
          <w:tcPr>
            <w:tcW w:w="2410" w:type="dxa"/>
            <w:shd w:val="clear" w:color="auto" w:fill="auto"/>
          </w:tcPr>
          <w:p w:rsidR="00D33821" w:rsidRPr="00ED1845" w:rsidRDefault="00D33821" w:rsidP="00DC79CC">
            <w:pPr>
              <w:rPr>
                <w:rFonts w:ascii="Arial" w:hAnsi="Arial" w:cs="Arial"/>
                <w:b/>
              </w:rPr>
            </w:pPr>
            <w:r>
              <w:rPr>
                <w:rFonts w:ascii="Arial" w:hAnsi="Arial" w:cs="Arial"/>
                <w:b/>
              </w:rPr>
              <w:t xml:space="preserve">April – </w:t>
            </w:r>
            <w:r w:rsidR="00DC79CC">
              <w:rPr>
                <w:rFonts w:ascii="Arial" w:hAnsi="Arial" w:cs="Arial"/>
                <w:b/>
              </w:rPr>
              <w:t xml:space="preserve">August </w:t>
            </w:r>
            <w:r>
              <w:rPr>
                <w:rFonts w:ascii="Arial" w:hAnsi="Arial" w:cs="Arial"/>
                <w:b/>
              </w:rPr>
              <w:t>2018</w:t>
            </w:r>
          </w:p>
        </w:tc>
        <w:tc>
          <w:tcPr>
            <w:tcW w:w="6521" w:type="dxa"/>
            <w:shd w:val="clear" w:color="auto" w:fill="auto"/>
          </w:tcPr>
          <w:p w:rsidR="00D33821" w:rsidRPr="00ED1845" w:rsidRDefault="009D16C5" w:rsidP="001C4B24">
            <w:pPr>
              <w:rPr>
                <w:rFonts w:ascii="Arial" w:hAnsi="Arial" w:cs="Arial"/>
              </w:rPr>
            </w:pPr>
            <w:r>
              <w:rPr>
                <w:rFonts w:ascii="Arial" w:hAnsi="Arial" w:cs="Arial"/>
              </w:rPr>
              <w:t>Initial</w:t>
            </w:r>
            <w:r w:rsidR="00992B2A">
              <w:rPr>
                <w:rFonts w:ascii="Arial" w:hAnsi="Arial" w:cs="Arial"/>
              </w:rPr>
              <w:t xml:space="preserve"> </w:t>
            </w:r>
            <w:r w:rsidR="001C4B24">
              <w:rPr>
                <w:rFonts w:ascii="Arial" w:hAnsi="Arial" w:cs="Arial"/>
              </w:rPr>
              <w:t xml:space="preserve">internal </w:t>
            </w:r>
            <w:r w:rsidR="00992B2A">
              <w:rPr>
                <w:rFonts w:ascii="Arial" w:hAnsi="Arial" w:cs="Arial"/>
              </w:rPr>
              <w:t>report</w:t>
            </w:r>
          </w:p>
        </w:tc>
      </w:tr>
      <w:tr w:rsidR="00D33821" w:rsidRPr="00071649" w:rsidTr="00AE7685">
        <w:tc>
          <w:tcPr>
            <w:tcW w:w="2410" w:type="dxa"/>
            <w:shd w:val="clear" w:color="auto" w:fill="auto"/>
          </w:tcPr>
          <w:p w:rsidR="00D33821" w:rsidRPr="00ED1845" w:rsidRDefault="00DC79CC" w:rsidP="00025EA7">
            <w:pPr>
              <w:rPr>
                <w:rFonts w:ascii="Arial" w:hAnsi="Arial" w:cs="Arial"/>
                <w:b/>
              </w:rPr>
            </w:pPr>
            <w:r>
              <w:rPr>
                <w:rFonts w:ascii="Arial" w:hAnsi="Arial" w:cs="Arial"/>
                <w:b/>
              </w:rPr>
              <w:t xml:space="preserve">September 2018 – February 2019 </w:t>
            </w:r>
          </w:p>
        </w:tc>
        <w:tc>
          <w:tcPr>
            <w:tcW w:w="6521" w:type="dxa"/>
            <w:shd w:val="clear" w:color="auto" w:fill="auto"/>
          </w:tcPr>
          <w:p w:rsidR="00D33821" w:rsidRPr="00ED1845" w:rsidRDefault="009D16C5" w:rsidP="001C4B24">
            <w:pPr>
              <w:rPr>
                <w:rFonts w:ascii="Arial" w:hAnsi="Arial" w:cs="Arial"/>
              </w:rPr>
            </w:pPr>
            <w:r>
              <w:rPr>
                <w:rFonts w:ascii="Arial" w:hAnsi="Arial" w:cs="Arial"/>
              </w:rPr>
              <w:t>Interim internal report</w:t>
            </w:r>
          </w:p>
        </w:tc>
      </w:tr>
      <w:tr w:rsidR="00D33821" w:rsidRPr="00071649" w:rsidTr="00AE7685">
        <w:trPr>
          <w:trHeight w:val="487"/>
        </w:trPr>
        <w:tc>
          <w:tcPr>
            <w:tcW w:w="2410" w:type="dxa"/>
            <w:shd w:val="clear" w:color="auto" w:fill="auto"/>
          </w:tcPr>
          <w:p w:rsidR="00D33821" w:rsidRPr="00ED1845" w:rsidRDefault="00DC79CC" w:rsidP="00025EA7">
            <w:pPr>
              <w:rPr>
                <w:rFonts w:ascii="Arial" w:hAnsi="Arial" w:cs="Arial"/>
                <w:b/>
              </w:rPr>
            </w:pPr>
            <w:r>
              <w:rPr>
                <w:rFonts w:ascii="Arial" w:hAnsi="Arial" w:cs="Arial"/>
                <w:b/>
              </w:rPr>
              <w:t>March 2019 – August 2019</w:t>
            </w:r>
          </w:p>
        </w:tc>
        <w:tc>
          <w:tcPr>
            <w:tcW w:w="6521" w:type="dxa"/>
            <w:shd w:val="clear" w:color="auto" w:fill="auto"/>
          </w:tcPr>
          <w:p w:rsidR="00D33821" w:rsidRPr="00ED1845" w:rsidRDefault="009D16C5">
            <w:pPr>
              <w:rPr>
                <w:rFonts w:ascii="Arial" w:hAnsi="Arial" w:cs="Arial"/>
              </w:rPr>
            </w:pPr>
            <w:r>
              <w:rPr>
                <w:rFonts w:ascii="Arial" w:hAnsi="Arial" w:cs="Arial"/>
              </w:rPr>
              <w:t>Final</w:t>
            </w:r>
            <w:r w:rsidR="009166E8">
              <w:rPr>
                <w:rFonts w:ascii="Arial" w:hAnsi="Arial" w:cs="Arial"/>
              </w:rPr>
              <w:t xml:space="preserve"> internal report, all other deliverables and peer-reviewed publications to be submitted by supplier</w:t>
            </w:r>
          </w:p>
        </w:tc>
      </w:tr>
      <w:tr w:rsidR="00D33821" w:rsidRPr="00071649" w:rsidTr="00AE7685">
        <w:tc>
          <w:tcPr>
            <w:tcW w:w="2410" w:type="dxa"/>
            <w:shd w:val="clear" w:color="auto" w:fill="auto"/>
          </w:tcPr>
          <w:p w:rsidR="00D33821" w:rsidRPr="00ED1845" w:rsidRDefault="00D33821" w:rsidP="00025EA7">
            <w:pPr>
              <w:rPr>
                <w:rFonts w:ascii="Arial" w:hAnsi="Arial" w:cs="Arial"/>
                <w:b/>
              </w:rPr>
            </w:pPr>
            <w:r>
              <w:rPr>
                <w:rFonts w:ascii="Arial" w:hAnsi="Arial" w:cs="Arial"/>
                <w:b/>
              </w:rPr>
              <w:t>Ongoing</w:t>
            </w:r>
          </w:p>
        </w:tc>
        <w:tc>
          <w:tcPr>
            <w:tcW w:w="6521" w:type="dxa"/>
            <w:shd w:val="clear" w:color="auto" w:fill="auto"/>
          </w:tcPr>
          <w:p w:rsidR="00D33821" w:rsidRPr="00ED1845" w:rsidRDefault="00D33821" w:rsidP="00DC79CC">
            <w:pPr>
              <w:rPr>
                <w:rFonts w:ascii="Arial" w:hAnsi="Arial" w:cs="Arial"/>
              </w:rPr>
            </w:pPr>
            <w:r w:rsidRPr="000256D2">
              <w:rPr>
                <w:rFonts w:ascii="Arial" w:hAnsi="Arial" w:cs="Arial"/>
              </w:rPr>
              <w:t xml:space="preserve">Regular progress updates at intervals to be agreed </w:t>
            </w:r>
            <w:r w:rsidR="00DC79CC">
              <w:rPr>
                <w:rFonts w:ascii="Arial" w:hAnsi="Arial" w:cs="Arial"/>
              </w:rPr>
              <w:t>with the IHR Strengthening Programme Manager</w:t>
            </w:r>
            <w:r w:rsidRPr="000256D2">
              <w:rPr>
                <w:rFonts w:ascii="Arial" w:hAnsi="Arial" w:cs="Arial"/>
              </w:rPr>
              <w:t>.</w:t>
            </w:r>
            <w:r>
              <w:rPr>
                <w:rFonts w:ascii="Arial" w:hAnsi="Arial" w:cs="Arial"/>
              </w:rPr>
              <w:t xml:space="preserve"> </w:t>
            </w:r>
          </w:p>
        </w:tc>
      </w:tr>
    </w:tbl>
    <w:p w:rsidR="00D33821" w:rsidRDefault="00F846A9" w:rsidP="006F0D47">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rPr>
      </w:pPr>
      <w:r>
        <w:rPr>
          <w:rFonts w:ascii="Arial" w:hAnsi="Arial" w:cs="Arial"/>
          <w:bCs/>
        </w:rPr>
        <w:t>The</w:t>
      </w:r>
      <w:r w:rsidR="004E3DD8">
        <w:rPr>
          <w:rFonts w:ascii="Arial" w:hAnsi="Arial" w:cs="Arial"/>
          <w:bCs/>
        </w:rPr>
        <w:t xml:space="preserve"> precise</w:t>
      </w:r>
      <w:r>
        <w:rPr>
          <w:rFonts w:ascii="Arial" w:hAnsi="Arial" w:cs="Arial"/>
          <w:bCs/>
        </w:rPr>
        <w:t xml:space="preserve"> timing </w:t>
      </w:r>
      <w:r w:rsidR="004E3DD8">
        <w:rPr>
          <w:rFonts w:ascii="Arial" w:hAnsi="Arial" w:cs="Arial"/>
          <w:bCs/>
        </w:rPr>
        <w:t xml:space="preserve">for the provision </w:t>
      </w:r>
      <w:r>
        <w:rPr>
          <w:rFonts w:ascii="Arial" w:hAnsi="Arial" w:cs="Arial"/>
          <w:bCs/>
        </w:rPr>
        <w:t>of the first, interim and final confidential reports, and the consolidated report,</w:t>
      </w:r>
      <w:r w:rsidR="00D33821" w:rsidRPr="00D33821">
        <w:rPr>
          <w:rFonts w:ascii="Arial" w:hAnsi="Arial" w:cs="Arial"/>
          <w:bCs/>
        </w:rPr>
        <w:t xml:space="preserve"> will be agreed between the supplier and the</w:t>
      </w:r>
      <w:r w:rsidR="00DC79CC">
        <w:rPr>
          <w:rFonts w:ascii="Arial" w:hAnsi="Arial" w:cs="Arial"/>
          <w:bCs/>
        </w:rPr>
        <w:t xml:space="preserve"> PHE</w:t>
      </w:r>
      <w:r w:rsidR="00D33821" w:rsidRPr="00D33821">
        <w:rPr>
          <w:rFonts w:ascii="Arial" w:hAnsi="Arial" w:cs="Arial"/>
          <w:bCs/>
        </w:rPr>
        <w:t xml:space="preserve"> </w:t>
      </w:r>
      <w:r w:rsidR="00DC79CC">
        <w:rPr>
          <w:rFonts w:ascii="Arial" w:hAnsi="Arial" w:cs="Arial"/>
          <w:bCs/>
        </w:rPr>
        <w:t>IHR Strengthening Programme</w:t>
      </w:r>
      <w:r w:rsidR="00D33821" w:rsidRPr="00D33821">
        <w:rPr>
          <w:rFonts w:ascii="Arial" w:hAnsi="Arial" w:cs="Arial"/>
          <w:bCs/>
        </w:rPr>
        <w:t xml:space="preserve"> </w:t>
      </w:r>
      <w:r w:rsidR="00DC79CC">
        <w:rPr>
          <w:rFonts w:ascii="Arial" w:hAnsi="Arial" w:cs="Arial"/>
          <w:bCs/>
        </w:rPr>
        <w:t xml:space="preserve">team </w:t>
      </w:r>
      <w:r w:rsidR="00D33821" w:rsidRPr="00D33821">
        <w:rPr>
          <w:rFonts w:ascii="Arial" w:hAnsi="Arial" w:cs="Arial"/>
          <w:bCs/>
        </w:rPr>
        <w:t xml:space="preserve">after contract award. </w:t>
      </w:r>
    </w:p>
    <w:p w:rsidR="00315071" w:rsidRPr="00ED1845" w:rsidRDefault="003150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rPr>
      </w:pPr>
      <w:r w:rsidRPr="00ED1845">
        <w:rPr>
          <w:rFonts w:ascii="Arial" w:hAnsi="Arial" w:cs="Arial"/>
          <w:b/>
          <w:bCs/>
        </w:rPr>
        <w:t>Dissemination of findings</w:t>
      </w:r>
    </w:p>
    <w:p w:rsidR="00570F79" w:rsidRDefault="00ED1845" w:rsidP="00AE7685">
      <w:pPr>
        <w:pStyle w:val="NoSpacing"/>
        <w:tabs>
          <w:tab w:val="left" w:pos="1620"/>
        </w:tabs>
        <w:spacing w:before="120" w:after="240"/>
        <w:jc w:val="both"/>
        <w:rPr>
          <w:rFonts w:ascii="Arial" w:hAnsi="Arial" w:cs="Arial"/>
          <w:bCs/>
          <w:color w:val="000000"/>
        </w:rPr>
      </w:pPr>
      <w:r w:rsidRPr="00ED1845">
        <w:rPr>
          <w:rFonts w:ascii="Arial" w:hAnsi="Arial" w:cs="Arial"/>
          <w:bCs/>
          <w:color w:val="000000"/>
        </w:rPr>
        <w:t xml:space="preserve">We will expect the </w:t>
      </w:r>
      <w:r w:rsidR="00AE7685">
        <w:rPr>
          <w:rFonts w:ascii="Arial" w:hAnsi="Arial" w:cs="Arial"/>
          <w:bCs/>
          <w:color w:val="000000"/>
        </w:rPr>
        <w:t>suppliers</w:t>
      </w:r>
      <w:r w:rsidRPr="00ED1845">
        <w:rPr>
          <w:rFonts w:ascii="Arial" w:hAnsi="Arial" w:cs="Arial"/>
          <w:bCs/>
          <w:color w:val="000000"/>
        </w:rPr>
        <w:t xml:space="preserve"> to participate in external dissemination of the </w:t>
      </w:r>
      <w:r w:rsidR="009166E8">
        <w:rPr>
          <w:rFonts w:ascii="Arial" w:hAnsi="Arial" w:cs="Arial"/>
          <w:bCs/>
          <w:color w:val="000000"/>
        </w:rPr>
        <w:t>findings,</w:t>
      </w:r>
      <w:r w:rsidRPr="00ED1845">
        <w:rPr>
          <w:rFonts w:ascii="Arial" w:hAnsi="Arial" w:cs="Arial"/>
          <w:bCs/>
          <w:color w:val="000000"/>
        </w:rPr>
        <w:t xml:space="preserve"> including through events and through publication of articles. </w:t>
      </w:r>
    </w:p>
    <w:p w:rsidR="000A2909" w:rsidRPr="000A2909" w:rsidRDefault="000A2909" w:rsidP="00AE7685">
      <w:pPr>
        <w:pStyle w:val="NoSpacing"/>
        <w:tabs>
          <w:tab w:val="left" w:pos="1620"/>
        </w:tabs>
        <w:spacing w:before="120" w:after="240"/>
        <w:jc w:val="both"/>
        <w:rPr>
          <w:rFonts w:ascii="Arial" w:hAnsi="Arial" w:cs="Arial"/>
          <w:bCs/>
          <w:color w:val="000000"/>
        </w:rPr>
      </w:pPr>
      <w:r w:rsidRPr="000A2909">
        <w:rPr>
          <w:rFonts w:ascii="Arial" w:hAnsi="Arial" w:cs="Arial"/>
          <w:bCs/>
          <w:color w:val="000000"/>
        </w:rPr>
        <w:t xml:space="preserve">The </w:t>
      </w:r>
      <w:r>
        <w:rPr>
          <w:rFonts w:ascii="Arial" w:hAnsi="Arial" w:cs="Arial"/>
          <w:bCs/>
          <w:color w:val="000000"/>
        </w:rPr>
        <w:t>consolidated report</w:t>
      </w:r>
      <w:r w:rsidRPr="000A2909">
        <w:rPr>
          <w:rFonts w:ascii="Arial" w:hAnsi="Arial" w:cs="Arial"/>
          <w:bCs/>
          <w:color w:val="000000"/>
        </w:rPr>
        <w:t xml:space="preserve"> will be published on gov.uk. </w:t>
      </w:r>
      <w:r>
        <w:rPr>
          <w:rFonts w:ascii="Arial" w:hAnsi="Arial" w:cs="Arial"/>
          <w:bCs/>
          <w:color w:val="000000"/>
        </w:rPr>
        <w:t xml:space="preserve">The report </w:t>
      </w:r>
      <w:r w:rsidRPr="000A2909">
        <w:rPr>
          <w:rFonts w:ascii="Arial" w:hAnsi="Arial" w:cs="Arial"/>
          <w:bCs/>
          <w:color w:val="000000"/>
        </w:rPr>
        <w:t xml:space="preserve">should be written in the </w:t>
      </w:r>
      <w:r w:rsidR="00DB144D">
        <w:rPr>
          <w:rFonts w:ascii="Arial" w:hAnsi="Arial" w:cs="Arial"/>
          <w:bCs/>
          <w:color w:val="000000"/>
        </w:rPr>
        <w:t xml:space="preserve">PHE house </w:t>
      </w:r>
      <w:r w:rsidRPr="000A2909">
        <w:rPr>
          <w:rFonts w:ascii="Arial" w:hAnsi="Arial" w:cs="Arial"/>
          <w:bCs/>
          <w:color w:val="000000"/>
        </w:rPr>
        <w:t>style for publication on gov.uk</w:t>
      </w:r>
      <w:r>
        <w:rPr>
          <w:rFonts w:ascii="Arial" w:hAnsi="Arial" w:cs="Arial"/>
          <w:bCs/>
          <w:color w:val="000000"/>
        </w:rPr>
        <w:t>.</w:t>
      </w:r>
    </w:p>
    <w:p w:rsidR="00071649" w:rsidRDefault="00071649" w:rsidP="001B182F">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0"/>
        <w:rPr>
          <w:rFonts w:ascii="Arial" w:hAnsi="Arial" w:cs="Arial"/>
          <w:b/>
          <w:bCs/>
        </w:rPr>
      </w:pPr>
      <w:r w:rsidRPr="001B182F">
        <w:rPr>
          <w:rFonts w:ascii="Arial" w:hAnsi="Arial" w:cs="Arial"/>
          <w:b/>
          <w:bCs/>
        </w:rPr>
        <w:t>Risk Management</w:t>
      </w:r>
    </w:p>
    <w:p w:rsidR="00071649" w:rsidRPr="006F0D47" w:rsidRDefault="00071649" w:rsidP="00AE768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lang w:val="en-US"/>
        </w:rPr>
      </w:pPr>
      <w:r w:rsidRPr="006F0D47">
        <w:rPr>
          <w:rFonts w:ascii="Arial" w:hAnsi="Arial" w:cs="Arial"/>
          <w:bCs/>
          <w:lang w:val="en-US"/>
        </w:rPr>
        <w:t>Applicants should submit, as part of their application, a summary explaining what they believe will be the key risks to delivering this project, and what contingencies they will put in place to deal with them.</w:t>
      </w:r>
    </w:p>
    <w:p w:rsidR="00BE4D3A" w:rsidRPr="006F0D47" w:rsidRDefault="00071649" w:rsidP="00AE768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lang w:val="en-US"/>
        </w:rPr>
      </w:pPr>
      <w:r w:rsidRPr="006F0D47">
        <w:rPr>
          <w:rFonts w:ascii="Arial" w:hAnsi="Arial" w:cs="Arial"/>
          <w:bCs/>
          <w:lang w:val="en-US"/>
        </w:rPr>
        <w:lastRenderedPageBreak/>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071649" w:rsidRPr="00ED1845"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lang w:val="en-US"/>
        </w:rPr>
      </w:pPr>
      <w:r w:rsidRPr="00ED1845">
        <w:rPr>
          <w:rFonts w:ascii="Arial" w:hAnsi="Arial" w:cs="Arial"/>
          <w:b/>
          <w:bCs/>
          <w:lang w:val="en-US"/>
        </w:rPr>
        <w:t>Stakeholder</w:t>
      </w:r>
      <w:r w:rsidR="00071649" w:rsidRPr="00ED1845">
        <w:rPr>
          <w:rFonts w:ascii="Arial" w:hAnsi="Arial" w:cs="Arial"/>
          <w:b/>
          <w:bCs/>
          <w:lang w:val="en-US"/>
        </w:rPr>
        <w:t xml:space="preserve"> </w:t>
      </w:r>
      <w:r w:rsidR="00ED1845">
        <w:rPr>
          <w:rFonts w:ascii="Arial" w:hAnsi="Arial" w:cs="Arial"/>
          <w:b/>
          <w:bCs/>
          <w:lang w:val="en-US"/>
        </w:rPr>
        <w:t>i</w:t>
      </w:r>
      <w:r w:rsidR="00071649" w:rsidRPr="00ED1845">
        <w:rPr>
          <w:rFonts w:ascii="Arial" w:hAnsi="Arial" w:cs="Arial"/>
          <w:b/>
          <w:bCs/>
          <w:lang w:val="en-US"/>
        </w:rPr>
        <w:t xml:space="preserve">nvolvement </w:t>
      </w:r>
    </w:p>
    <w:p w:rsidR="00BC245C" w:rsidRPr="006F0D47" w:rsidRDefault="00ED1845" w:rsidP="00AE768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lang w:val="en-US"/>
        </w:rPr>
      </w:pPr>
      <w:r w:rsidRPr="006F0D47">
        <w:rPr>
          <w:rFonts w:ascii="Arial" w:hAnsi="Arial" w:cs="Arial"/>
          <w:bCs/>
          <w:lang w:val="en-US"/>
        </w:rPr>
        <w:t>The provider will undertake</w:t>
      </w:r>
      <w:r w:rsidR="00071649" w:rsidRPr="006F0D47">
        <w:rPr>
          <w:rFonts w:ascii="Arial" w:hAnsi="Arial" w:cs="Arial"/>
          <w:bCs/>
          <w:lang w:val="en-US"/>
        </w:rPr>
        <w:t xml:space="preserve"> direct engagement with stakeholders as appropriate</w:t>
      </w:r>
      <w:r w:rsidRPr="006F0D47">
        <w:rPr>
          <w:rFonts w:ascii="Arial" w:hAnsi="Arial" w:cs="Arial"/>
          <w:bCs/>
          <w:lang w:val="en-US"/>
        </w:rPr>
        <w:t xml:space="preserve">, </w:t>
      </w:r>
      <w:r w:rsidR="009166E8">
        <w:rPr>
          <w:rFonts w:ascii="Arial" w:hAnsi="Arial" w:cs="Arial"/>
          <w:bCs/>
          <w:lang w:val="en-US"/>
        </w:rPr>
        <w:t>including but not limited to the key partners listed above. The provider</w:t>
      </w:r>
      <w:r w:rsidRPr="006F0D47">
        <w:rPr>
          <w:rFonts w:ascii="Arial" w:hAnsi="Arial" w:cs="Arial"/>
          <w:bCs/>
          <w:lang w:val="en-US"/>
        </w:rPr>
        <w:t xml:space="preserve"> is</w:t>
      </w:r>
      <w:r w:rsidR="00071649" w:rsidRPr="006F0D47">
        <w:rPr>
          <w:rFonts w:ascii="Arial" w:hAnsi="Arial" w:cs="Arial"/>
          <w:bCs/>
          <w:lang w:val="en-US"/>
        </w:rPr>
        <w:t xml:space="preserve"> expect</w:t>
      </w:r>
      <w:r w:rsidR="00FD6F6D" w:rsidRPr="006F0D47">
        <w:rPr>
          <w:rFonts w:ascii="Arial" w:hAnsi="Arial" w:cs="Arial"/>
          <w:bCs/>
          <w:lang w:val="en-US"/>
        </w:rPr>
        <w:t>ed</w:t>
      </w:r>
      <w:r w:rsidR="00071649" w:rsidRPr="006F0D47">
        <w:rPr>
          <w:rFonts w:ascii="Arial" w:hAnsi="Arial" w:cs="Arial"/>
          <w:bCs/>
          <w:lang w:val="en-US"/>
        </w:rPr>
        <w:t xml:space="preserve"> to submit as part of their application their m</w:t>
      </w:r>
      <w:r w:rsidR="00FD6F6D" w:rsidRPr="006F0D47">
        <w:rPr>
          <w:rFonts w:ascii="Arial" w:hAnsi="Arial" w:cs="Arial"/>
          <w:bCs/>
          <w:lang w:val="en-US"/>
        </w:rPr>
        <w:t xml:space="preserve">echanism for engaging </w:t>
      </w:r>
      <w:r w:rsidR="006A57E5" w:rsidRPr="006F0D47">
        <w:rPr>
          <w:rFonts w:ascii="Arial" w:hAnsi="Arial" w:cs="Arial"/>
          <w:bCs/>
          <w:lang w:val="en-US"/>
        </w:rPr>
        <w:t xml:space="preserve">with </w:t>
      </w:r>
      <w:r w:rsidR="00FD6F6D" w:rsidRPr="006F0D47">
        <w:rPr>
          <w:rFonts w:ascii="Arial" w:hAnsi="Arial" w:cs="Arial"/>
          <w:bCs/>
          <w:lang w:val="en-US"/>
        </w:rPr>
        <w:t>key stakeholders</w:t>
      </w:r>
      <w:r w:rsidR="006A57E5" w:rsidRPr="006F0D47">
        <w:rPr>
          <w:rFonts w:ascii="Arial" w:hAnsi="Arial" w:cs="Arial"/>
          <w:bCs/>
          <w:lang w:val="en-US"/>
        </w:rPr>
        <w:t xml:space="preserve"> from a range of </w:t>
      </w:r>
      <w:r w:rsidR="00071649" w:rsidRPr="006F0D47">
        <w:rPr>
          <w:rFonts w:ascii="Arial" w:hAnsi="Arial" w:cs="Arial"/>
          <w:bCs/>
          <w:lang w:val="en-US"/>
        </w:rPr>
        <w:t>sectors</w:t>
      </w:r>
      <w:r w:rsidRPr="006F0D47">
        <w:rPr>
          <w:rFonts w:ascii="Arial" w:hAnsi="Arial" w:cs="Arial"/>
          <w:bCs/>
          <w:lang w:val="en-US"/>
        </w:rPr>
        <w:t>.</w:t>
      </w:r>
    </w:p>
    <w:p w:rsidR="00345DEA" w:rsidRPr="00971303"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rPr>
      </w:pPr>
      <w:r w:rsidRPr="00971303">
        <w:rPr>
          <w:rFonts w:ascii="Arial" w:hAnsi="Arial" w:cs="Arial"/>
          <w:b/>
          <w:bCs/>
        </w:rPr>
        <w:t>Contract Period</w:t>
      </w:r>
    </w:p>
    <w:p w:rsidR="00BE4D3A" w:rsidRPr="00CC07F8" w:rsidRDefault="00345DEA" w:rsidP="00AE7685">
      <w:pPr>
        <w:spacing w:before="120" w:after="240" w:line="240" w:lineRule="auto"/>
        <w:jc w:val="both"/>
        <w:rPr>
          <w:rFonts w:ascii="Arial" w:hAnsi="Arial" w:cs="Arial"/>
        </w:rPr>
      </w:pPr>
      <w:r w:rsidRPr="00D33821">
        <w:rPr>
          <w:rFonts w:ascii="Arial" w:hAnsi="Arial" w:cs="Arial"/>
        </w:rPr>
        <w:t xml:space="preserve">The </w:t>
      </w:r>
      <w:r w:rsidRPr="00CC07F8">
        <w:rPr>
          <w:rFonts w:ascii="Arial" w:hAnsi="Arial" w:cs="Arial"/>
        </w:rPr>
        <w:t>contract will</w:t>
      </w:r>
      <w:r w:rsidR="000F66E8" w:rsidRPr="00CC07F8">
        <w:rPr>
          <w:rFonts w:ascii="Arial" w:hAnsi="Arial" w:cs="Arial"/>
        </w:rPr>
        <w:t xml:space="preserve"> begin on </w:t>
      </w:r>
      <w:r w:rsidR="0001276C">
        <w:rPr>
          <w:rFonts w:ascii="Arial" w:hAnsi="Arial" w:cs="Arial"/>
        </w:rPr>
        <w:t>19</w:t>
      </w:r>
      <w:r w:rsidR="0001276C" w:rsidRPr="0001276C">
        <w:rPr>
          <w:rFonts w:ascii="Arial" w:hAnsi="Arial" w:cs="Arial"/>
          <w:vertAlign w:val="superscript"/>
        </w:rPr>
        <w:t>th</w:t>
      </w:r>
      <w:r w:rsidR="0001276C">
        <w:rPr>
          <w:rFonts w:ascii="Arial" w:hAnsi="Arial" w:cs="Arial"/>
        </w:rPr>
        <w:t xml:space="preserve"> </w:t>
      </w:r>
      <w:r w:rsidR="009166E8" w:rsidRPr="00CC07F8">
        <w:rPr>
          <w:rFonts w:ascii="Arial" w:hAnsi="Arial" w:cs="Arial"/>
        </w:rPr>
        <w:t>March</w:t>
      </w:r>
      <w:r w:rsidR="000256D2" w:rsidRPr="00CC07F8">
        <w:rPr>
          <w:rFonts w:ascii="Arial" w:hAnsi="Arial" w:cs="Arial"/>
        </w:rPr>
        <w:t xml:space="preserve"> 2018 </w:t>
      </w:r>
      <w:r w:rsidR="009166E8" w:rsidRPr="00CC07F8">
        <w:rPr>
          <w:rFonts w:ascii="Arial" w:hAnsi="Arial" w:cs="Arial"/>
        </w:rPr>
        <w:t xml:space="preserve">and will continue </w:t>
      </w:r>
      <w:r w:rsidR="0093358C" w:rsidRPr="00CC07F8">
        <w:rPr>
          <w:rFonts w:ascii="Arial" w:hAnsi="Arial" w:cs="Arial"/>
        </w:rPr>
        <w:t xml:space="preserve">until </w:t>
      </w:r>
      <w:r w:rsidR="000256D2" w:rsidRPr="00CC07F8">
        <w:rPr>
          <w:rFonts w:ascii="Arial" w:hAnsi="Arial" w:cs="Arial"/>
        </w:rPr>
        <w:t xml:space="preserve">the final report </w:t>
      </w:r>
      <w:r w:rsidR="00E8588D" w:rsidRPr="00CC07F8">
        <w:rPr>
          <w:rFonts w:ascii="Arial" w:hAnsi="Arial" w:cs="Arial"/>
        </w:rPr>
        <w:t xml:space="preserve">is published in </w:t>
      </w:r>
      <w:r w:rsidR="009166E8" w:rsidRPr="00CC07F8">
        <w:rPr>
          <w:rFonts w:ascii="Arial" w:hAnsi="Arial" w:cs="Arial"/>
        </w:rPr>
        <w:t>August 2019</w:t>
      </w:r>
      <w:r w:rsidR="00BC245C" w:rsidRPr="00CC07F8">
        <w:rPr>
          <w:rFonts w:ascii="Arial" w:hAnsi="Arial" w:cs="Arial"/>
        </w:rPr>
        <w:t xml:space="preserve"> </w:t>
      </w:r>
      <w:r w:rsidR="00FD6F6D" w:rsidRPr="00CC07F8">
        <w:rPr>
          <w:rFonts w:ascii="Arial" w:hAnsi="Arial" w:cs="Arial"/>
        </w:rPr>
        <w:t xml:space="preserve">as per the timetable </w:t>
      </w:r>
      <w:r w:rsidR="009166E8" w:rsidRPr="00CC07F8">
        <w:rPr>
          <w:rFonts w:ascii="Arial" w:hAnsi="Arial" w:cs="Arial"/>
        </w:rPr>
        <w:t>above</w:t>
      </w:r>
      <w:r w:rsidR="00FD6F6D" w:rsidRPr="00CC07F8">
        <w:rPr>
          <w:rFonts w:ascii="Arial" w:hAnsi="Arial" w:cs="Arial"/>
        </w:rPr>
        <w:t xml:space="preserve">. </w:t>
      </w:r>
    </w:p>
    <w:p w:rsidR="00345DEA" w:rsidRPr="00CC07F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rPr>
      </w:pPr>
      <w:r w:rsidRPr="00CC07F8">
        <w:rPr>
          <w:rFonts w:ascii="Arial" w:hAnsi="Arial" w:cs="Arial"/>
          <w:b/>
          <w:bCs/>
        </w:rPr>
        <w:t>Contact Point(s)</w:t>
      </w:r>
    </w:p>
    <w:p w:rsidR="00345DEA" w:rsidRPr="00CC07F8" w:rsidRDefault="00345DEA" w:rsidP="00AE768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eastAsia="Cambria" w:hAnsi="Arial" w:cs="Arial"/>
          <w:bCs/>
        </w:rPr>
      </w:pPr>
      <w:r w:rsidRPr="00CC07F8">
        <w:rPr>
          <w:rFonts w:ascii="Arial" w:eastAsia="Calibri" w:hAnsi="Arial" w:cs="Arial"/>
        </w:rPr>
        <w:t>It is expected that the supplier will appoint a n</w:t>
      </w:r>
      <w:r w:rsidR="008C01A6" w:rsidRPr="00CC07F8">
        <w:rPr>
          <w:rFonts w:ascii="Arial" w:eastAsia="Calibri" w:hAnsi="Arial" w:cs="Arial"/>
        </w:rPr>
        <w:t>amed, suitably qualified lead</w:t>
      </w:r>
      <w:r w:rsidR="00C82697" w:rsidRPr="00CC07F8">
        <w:rPr>
          <w:rFonts w:ascii="Arial" w:eastAsia="Calibri" w:hAnsi="Arial" w:cs="Arial"/>
        </w:rPr>
        <w:t xml:space="preserve"> m</w:t>
      </w:r>
      <w:r w:rsidRPr="00CC07F8">
        <w:rPr>
          <w:rFonts w:ascii="Arial" w:eastAsia="Calibri" w:hAnsi="Arial" w:cs="Arial"/>
        </w:rPr>
        <w:t xml:space="preserve">anager who will be the main point of contact with </w:t>
      </w:r>
      <w:r w:rsidR="009166E8" w:rsidRPr="00CC07F8">
        <w:rPr>
          <w:rFonts w:ascii="Arial" w:eastAsia="Calibri" w:hAnsi="Arial" w:cs="Arial"/>
        </w:rPr>
        <w:t>the PHE IHR Strengthening Programme team</w:t>
      </w:r>
      <w:r w:rsidRPr="00CC07F8">
        <w:rPr>
          <w:rFonts w:ascii="Arial" w:eastAsia="Calibri" w:hAnsi="Arial" w:cs="Arial"/>
        </w:rPr>
        <w:t xml:space="preserve">.  </w:t>
      </w:r>
    </w:p>
    <w:p w:rsidR="00BC245C" w:rsidRPr="00D33821" w:rsidRDefault="00345DEA" w:rsidP="00AE768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eastAsia="Cambria" w:hAnsi="Arial" w:cs="Arial"/>
          <w:bCs/>
        </w:rPr>
      </w:pPr>
      <w:r w:rsidRPr="00CC07F8">
        <w:rPr>
          <w:rFonts w:ascii="Arial" w:eastAsia="Calibri" w:hAnsi="Arial" w:cs="Arial"/>
        </w:rPr>
        <w:t xml:space="preserve">The key contact points at PHE will </w:t>
      </w:r>
      <w:r w:rsidR="008D7F38" w:rsidRPr="00CC07F8">
        <w:rPr>
          <w:rFonts w:ascii="Arial" w:eastAsia="Calibri" w:hAnsi="Arial" w:cs="Arial"/>
        </w:rPr>
        <w:t>be</w:t>
      </w:r>
      <w:r w:rsidR="009166E8" w:rsidRPr="00CC07F8">
        <w:rPr>
          <w:rFonts w:ascii="Arial" w:eastAsia="Calibri" w:hAnsi="Arial" w:cs="Arial"/>
        </w:rPr>
        <w:t xml:space="preserve"> Anna Osei-Kofi, or in her absence,</w:t>
      </w:r>
      <w:r w:rsidR="008D7F38" w:rsidRPr="00CC07F8">
        <w:rPr>
          <w:rFonts w:ascii="Arial" w:eastAsia="Calibri" w:hAnsi="Arial" w:cs="Arial"/>
        </w:rPr>
        <w:t xml:space="preserve"> </w:t>
      </w:r>
      <w:r w:rsidR="009166E8" w:rsidRPr="00CC07F8">
        <w:rPr>
          <w:rFonts w:ascii="Arial" w:eastAsia="Calibri" w:hAnsi="Arial" w:cs="Arial"/>
        </w:rPr>
        <w:t xml:space="preserve">Emmeline Buckley. </w:t>
      </w:r>
      <w:r w:rsidR="00FD6F6D" w:rsidRPr="00CC07F8">
        <w:rPr>
          <w:rFonts w:ascii="Arial" w:eastAsia="Calibri" w:hAnsi="Arial" w:cs="Arial"/>
        </w:rPr>
        <w:t xml:space="preserve">All </w:t>
      </w:r>
      <w:r w:rsidRPr="00CC07F8">
        <w:rPr>
          <w:rFonts w:ascii="Arial" w:eastAsia="Calibri" w:hAnsi="Arial" w:cs="Arial"/>
        </w:rPr>
        <w:t xml:space="preserve">members of </w:t>
      </w:r>
      <w:r w:rsidR="00C82697" w:rsidRPr="00CC07F8">
        <w:rPr>
          <w:rFonts w:ascii="Arial" w:eastAsia="Calibri" w:hAnsi="Arial" w:cs="Arial"/>
        </w:rPr>
        <w:t xml:space="preserve">the PHE </w:t>
      </w:r>
      <w:r w:rsidR="009166E8" w:rsidRPr="00CC07F8">
        <w:rPr>
          <w:rFonts w:ascii="Arial" w:eastAsia="Calibri" w:hAnsi="Arial" w:cs="Arial"/>
        </w:rPr>
        <w:t>IHR Strengthening Programme team</w:t>
      </w:r>
      <w:r w:rsidRPr="00CC07F8">
        <w:rPr>
          <w:rFonts w:ascii="Arial" w:eastAsia="Calibri" w:hAnsi="Arial" w:cs="Arial"/>
        </w:rPr>
        <w:t xml:space="preserve"> will </w:t>
      </w:r>
      <w:r w:rsidR="00C82697" w:rsidRPr="00CC07F8">
        <w:rPr>
          <w:rFonts w:ascii="Arial" w:eastAsia="Calibri" w:hAnsi="Arial" w:cs="Arial"/>
        </w:rPr>
        <w:t xml:space="preserve">endeavour to make themselves </w:t>
      </w:r>
      <w:r w:rsidRPr="00CC07F8">
        <w:rPr>
          <w:rFonts w:ascii="Arial" w:eastAsia="Calibri" w:hAnsi="Arial" w:cs="Arial"/>
        </w:rPr>
        <w:t xml:space="preserve">available for telephone or face to face </w:t>
      </w:r>
      <w:r w:rsidR="00C82697" w:rsidRPr="00CC07F8">
        <w:rPr>
          <w:rFonts w:ascii="Arial" w:eastAsia="Calibri" w:hAnsi="Arial" w:cs="Arial"/>
        </w:rPr>
        <w:t>informal discussions or formal meetings</w:t>
      </w:r>
      <w:r w:rsidRPr="00D33821">
        <w:rPr>
          <w:rFonts w:ascii="Arial" w:eastAsia="Calibri" w:hAnsi="Arial" w:cs="Arial"/>
        </w:rPr>
        <w:t xml:space="preserve"> throughout the project lifetime.</w:t>
      </w:r>
      <w:r w:rsidR="00FD7500" w:rsidRPr="00D33821">
        <w:rPr>
          <w:rFonts w:ascii="Arial" w:eastAsia="Calibri" w:hAnsi="Arial" w:cs="Arial"/>
        </w:rPr>
        <w:t xml:space="preserve"> </w:t>
      </w:r>
      <w:r w:rsidR="008C01A6" w:rsidRPr="00D33821">
        <w:rPr>
          <w:rFonts w:ascii="Arial" w:eastAsia="Calibri" w:hAnsi="Arial" w:cs="Arial"/>
          <w:color w:val="000000" w:themeColor="text1"/>
        </w:rPr>
        <w:t>PHE can facilitate discussions with other t</w:t>
      </w:r>
      <w:r w:rsidR="00FD7500" w:rsidRPr="00D33821">
        <w:rPr>
          <w:rFonts w:ascii="Arial" w:eastAsia="Calibri" w:hAnsi="Arial" w:cs="Arial"/>
          <w:color w:val="000000" w:themeColor="text1"/>
        </w:rPr>
        <w:t xml:space="preserve">opic experts from </w:t>
      </w:r>
      <w:r w:rsidR="008C01A6" w:rsidRPr="00D33821">
        <w:rPr>
          <w:rFonts w:ascii="Arial" w:eastAsia="Calibri" w:hAnsi="Arial" w:cs="Arial"/>
          <w:color w:val="000000" w:themeColor="text1"/>
        </w:rPr>
        <w:t>wit</w:t>
      </w:r>
      <w:r w:rsidR="00C82697" w:rsidRPr="00D33821">
        <w:rPr>
          <w:rFonts w:ascii="Arial" w:eastAsia="Calibri" w:hAnsi="Arial" w:cs="Arial"/>
          <w:color w:val="000000" w:themeColor="text1"/>
        </w:rPr>
        <w:t>hin PHE and other key partners.</w:t>
      </w:r>
    </w:p>
    <w:p w:rsidR="00433A29" w:rsidRPr="00971303"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rPr>
      </w:pPr>
      <w:r w:rsidRPr="00971303">
        <w:rPr>
          <w:rFonts w:ascii="Arial" w:hAnsi="Arial" w:cs="Arial"/>
          <w:b/>
          <w:bCs/>
        </w:rPr>
        <w:t>Costs</w:t>
      </w:r>
    </w:p>
    <w:p w:rsidR="00433A29" w:rsidRPr="00D33821" w:rsidRDefault="008E339C" w:rsidP="00AE7685">
      <w:pPr>
        <w:spacing w:before="120" w:after="240" w:line="240" w:lineRule="auto"/>
        <w:jc w:val="both"/>
        <w:rPr>
          <w:rFonts w:ascii="Arial" w:eastAsia="Calibri" w:hAnsi="Arial" w:cs="Arial"/>
        </w:rPr>
      </w:pPr>
      <w:r w:rsidRPr="00D33821">
        <w:rPr>
          <w:rFonts w:ascii="Arial" w:eastAsia="Calibri" w:hAnsi="Arial" w:cs="Arial"/>
        </w:rPr>
        <w:t xml:space="preserve">The provider </w:t>
      </w:r>
      <w:r w:rsidR="00433A29" w:rsidRPr="00D33821">
        <w:rPr>
          <w:rFonts w:ascii="Arial" w:eastAsia="Calibri" w:hAnsi="Arial" w:cs="Arial"/>
        </w:rPr>
        <w:t>will need to give a detailed breakdown of their costs. Please note that applicants will need to demonstrate value for money.</w:t>
      </w:r>
    </w:p>
    <w:p w:rsidR="00BE4D3A" w:rsidRPr="00D33821" w:rsidRDefault="00433A29" w:rsidP="00AE7685">
      <w:pPr>
        <w:spacing w:before="120" w:after="240" w:line="240" w:lineRule="auto"/>
        <w:jc w:val="both"/>
        <w:rPr>
          <w:rFonts w:ascii="Arial" w:eastAsia="Calibri" w:hAnsi="Arial" w:cs="Arial"/>
          <w:sz w:val="24"/>
          <w:szCs w:val="24"/>
        </w:rPr>
      </w:pPr>
      <w:r w:rsidRPr="00D33821">
        <w:rPr>
          <w:rFonts w:ascii="Arial" w:eastAsia="Calibri" w:hAnsi="Arial" w:cs="Arial"/>
        </w:rPr>
        <w:t>The overall contract va</w:t>
      </w:r>
      <w:r w:rsidR="00574AA3" w:rsidRPr="00D33821">
        <w:rPr>
          <w:rFonts w:ascii="Arial" w:eastAsia="Calibri" w:hAnsi="Arial" w:cs="Arial"/>
        </w:rPr>
        <w:t xml:space="preserve">lue will </w:t>
      </w:r>
      <w:r w:rsidR="00D33821">
        <w:rPr>
          <w:rFonts w:ascii="Arial" w:eastAsia="Calibri" w:hAnsi="Arial" w:cs="Arial"/>
        </w:rPr>
        <w:t xml:space="preserve">not </w:t>
      </w:r>
      <w:r w:rsidR="00D33821" w:rsidRPr="00CC07F8">
        <w:rPr>
          <w:rFonts w:ascii="Arial" w:eastAsia="Calibri" w:hAnsi="Arial" w:cs="Arial"/>
        </w:rPr>
        <w:t>exceed £</w:t>
      </w:r>
      <w:r w:rsidR="007D0E90" w:rsidRPr="00CC07F8">
        <w:rPr>
          <w:rFonts w:ascii="Arial" w:eastAsia="Calibri" w:hAnsi="Arial" w:cs="Arial"/>
        </w:rPr>
        <w:t>400</w:t>
      </w:r>
      <w:r w:rsidR="00C82697" w:rsidRPr="00CC07F8">
        <w:rPr>
          <w:rFonts w:ascii="Arial" w:eastAsia="Calibri" w:hAnsi="Arial" w:cs="Arial"/>
        </w:rPr>
        <w:t>,000</w:t>
      </w:r>
      <w:r w:rsidR="00C82697" w:rsidRPr="00D33821">
        <w:rPr>
          <w:rFonts w:ascii="Arial" w:eastAsia="Calibri" w:hAnsi="Arial" w:cs="Arial"/>
        </w:rPr>
        <w:t xml:space="preserve"> </w:t>
      </w:r>
      <w:r w:rsidR="00D33821">
        <w:rPr>
          <w:rFonts w:ascii="Arial" w:eastAsia="Calibri" w:hAnsi="Arial" w:cs="Arial"/>
        </w:rPr>
        <w:t>(excluding</w:t>
      </w:r>
      <w:r w:rsidR="00955A3A" w:rsidRPr="00D33821">
        <w:rPr>
          <w:rFonts w:ascii="Arial" w:eastAsia="Calibri" w:hAnsi="Arial" w:cs="Arial"/>
        </w:rPr>
        <w:t xml:space="preserve"> VAT)</w:t>
      </w:r>
      <w:r w:rsidR="00107571" w:rsidRPr="00D33821">
        <w:rPr>
          <w:rFonts w:ascii="Arial" w:eastAsia="Calibri" w:hAnsi="Arial" w:cs="Arial"/>
        </w:rPr>
        <w:t xml:space="preserve">. </w:t>
      </w:r>
    </w:p>
    <w:p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 xml:space="preserve">Application Process </w:t>
      </w:r>
    </w:p>
    <w:p w:rsidR="0001276C" w:rsidRPr="00D33821" w:rsidRDefault="0001276C" w:rsidP="0001276C">
      <w:pPr>
        <w:spacing w:line="276" w:lineRule="auto"/>
        <w:jc w:val="both"/>
        <w:rPr>
          <w:rFonts w:ascii="Arial" w:hAnsi="Arial" w:cs="Arial"/>
          <w:bCs/>
          <w:lang w:val="en-US"/>
        </w:rPr>
      </w:pPr>
      <w:r w:rsidRPr="00D33821">
        <w:rPr>
          <w:rFonts w:ascii="Arial" w:hAnsi="Arial" w:cs="Arial"/>
          <w:bCs/>
          <w:lang w:val="en-US"/>
        </w:rPr>
        <w:t xml:space="preserve">Applications should be submitted electronically and include the </w:t>
      </w:r>
      <w:r w:rsidRPr="00B755B3">
        <w:rPr>
          <w:rFonts w:ascii="Arial" w:hAnsi="Arial" w:cs="Arial"/>
          <w:bCs/>
          <w:lang w:val="en-US"/>
        </w:rPr>
        <w:t xml:space="preserve">following documentation, which is outlined in greater detail in </w:t>
      </w:r>
      <w:proofErr w:type="gramStart"/>
      <w:r w:rsidRPr="00B755B3">
        <w:rPr>
          <w:rFonts w:ascii="Arial" w:hAnsi="Arial" w:cs="Arial"/>
          <w:bCs/>
          <w:lang w:val="en-US"/>
        </w:rPr>
        <w:t>Annex</w:t>
      </w:r>
      <w:proofErr w:type="gramEnd"/>
      <w:r w:rsidRPr="00B755B3">
        <w:rPr>
          <w:rFonts w:ascii="Arial" w:hAnsi="Arial" w:cs="Arial"/>
          <w:bCs/>
          <w:lang w:val="en-US"/>
        </w:rPr>
        <w:t xml:space="preserve"> A (Response Form):</w:t>
      </w:r>
    </w:p>
    <w:p w:rsidR="0001276C" w:rsidRPr="00F6201C" w:rsidRDefault="0001276C" w:rsidP="0001276C">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Pr>
          <w:rFonts w:ascii="Arial" w:hAnsi="Arial" w:cs="Arial"/>
          <w:b/>
          <w:bCs/>
        </w:rPr>
        <w:t xml:space="preserve">Section </w:t>
      </w:r>
      <w:proofErr w:type="gramStart"/>
      <w:r>
        <w:rPr>
          <w:rFonts w:ascii="Arial" w:hAnsi="Arial" w:cs="Arial"/>
          <w:b/>
          <w:bCs/>
        </w:rPr>
        <w:t>A</w:t>
      </w:r>
      <w:proofErr w:type="gramEnd"/>
      <w:r>
        <w:rPr>
          <w:rFonts w:ascii="Arial" w:hAnsi="Arial" w:cs="Arial"/>
          <w:b/>
          <w:bCs/>
        </w:rPr>
        <w:t xml:space="preserve"> – Expertise: </w:t>
      </w:r>
      <w:r w:rsidRPr="003B3796">
        <w:rPr>
          <w:rFonts w:ascii="Arial" w:hAnsi="Arial" w:cs="Arial"/>
          <w:bCs/>
        </w:rPr>
        <w:t xml:space="preserve">Supporting statement setting out </w:t>
      </w:r>
      <w:r>
        <w:rPr>
          <w:rFonts w:ascii="Arial" w:hAnsi="Arial" w:cs="Arial"/>
          <w:bCs/>
        </w:rPr>
        <w:t>experience, expertise and</w:t>
      </w:r>
      <w:r w:rsidRPr="003B3796">
        <w:rPr>
          <w:rFonts w:ascii="Arial" w:hAnsi="Arial" w:cs="Arial"/>
          <w:bCs/>
        </w:rPr>
        <w:t xml:space="preserve"> suitability to undertake the project, including evidence of </w:t>
      </w:r>
      <w:r>
        <w:rPr>
          <w:rFonts w:ascii="Arial" w:hAnsi="Arial" w:cs="Arial"/>
          <w:bCs/>
        </w:rPr>
        <w:t xml:space="preserve">previous relevant </w:t>
      </w:r>
      <w:r w:rsidRPr="003B3796">
        <w:rPr>
          <w:rFonts w:ascii="Arial" w:hAnsi="Arial" w:cs="Arial"/>
          <w:bCs/>
        </w:rPr>
        <w:t>work</w:t>
      </w:r>
      <w:r>
        <w:rPr>
          <w:rFonts w:ascii="Arial" w:hAnsi="Arial" w:cs="Arial"/>
          <w:bCs/>
        </w:rPr>
        <w:t xml:space="preserve"> and project team CVs.</w:t>
      </w:r>
      <w:r w:rsidRPr="003B3796">
        <w:rPr>
          <w:rFonts w:ascii="Arial" w:hAnsi="Arial" w:cs="Arial"/>
          <w:bCs/>
        </w:rPr>
        <w:t xml:space="preserve">  </w:t>
      </w:r>
    </w:p>
    <w:p w:rsidR="0001276C" w:rsidRPr="0044688E" w:rsidRDefault="0001276C" w:rsidP="0001276C">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Pr>
          <w:rFonts w:ascii="Arial" w:hAnsi="Arial" w:cs="Arial"/>
          <w:b/>
          <w:bCs/>
        </w:rPr>
        <w:t xml:space="preserve">Section B – Method statement: </w:t>
      </w:r>
      <w:r w:rsidRPr="0044688E">
        <w:rPr>
          <w:rFonts w:ascii="Arial" w:hAnsi="Arial" w:cs="Arial"/>
          <w:bCs/>
        </w:rPr>
        <w:t xml:space="preserve">Method statement including outline of work, </w:t>
      </w:r>
      <w:r w:rsidR="0082339C">
        <w:rPr>
          <w:rFonts w:ascii="Arial" w:hAnsi="Arial" w:cs="Arial"/>
          <w:bCs/>
        </w:rPr>
        <w:t>with reference to milestones, communications, implementation and how you will achieve key deliverables and outputs</w:t>
      </w:r>
      <w:r>
        <w:rPr>
          <w:rFonts w:ascii="Arial" w:hAnsi="Arial" w:cs="Arial"/>
          <w:bCs/>
        </w:rPr>
        <w:t xml:space="preserve">. </w:t>
      </w:r>
      <w:r w:rsidRPr="0044688E">
        <w:rPr>
          <w:rFonts w:ascii="Arial" w:hAnsi="Arial" w:cs="Arial"/>
          <w:bCs/>
        </w:rPr>
        <w:t xml:space="preserve">This should also include an outline of </w:t>
      </w:r>
      <w:r w:rsidR="0082339C">
        <w:rPr>
          <w:rFonts w:ascii="Arial" w:hAnsi="Arial" w:cs="Arial"/>
          <w:bCs/>
        </w:rPr>
        <w:t>how you will work</w:t>
      </w:r>
      <w:r w:rsidRPr="0044688E">
        <w:rPr>
          <w:rFonts w:ascii="Arial" w:hAnsi="Arial" w:cs="Arial"/>
          <w:bCs/>
        </w:rPr>
        <w:t xml:space="preserve"> with the project partners</w:t>
      </w:r>
      <w:r>
        <w:rPr>
          <w:rFonts w:ascii="Arial" w:hAnsi="Arial" w:cs="Arial"/>
          <w:bCs/>
        </w:rPr>
        <w:t xml:space="preserve"> and a summary of key risks.</w:t>
      </w:r>
    </w:p>
    <w:p w:rsidR="0001276C" w:rsidRPr="003B3796" w:rsidRDefault="0001276C" w:rsidP="0001276C">
      <w:pPr>
        <w:pStyle w:val="ListParagraph"/>
        <w:widowControl w:val="0"/>
        <w:numPr>
          <w:ilvl w:val="1"/>
          <w:numId w:val="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76" w:lineRule="auto"/>
        <w:ind w:left="851"/>
        <w:jc w:val="both"/>
        <w:rPr>
          <w:rFonts w:ascii="Arial" w:hAnsi="Arial" w:cs="Arial"/>
          <w:bCs/>
        </w:rPr>
      </w:pPr>
      <w:r w:rsidRPr="00DC2AE1">
        <w:rPr>
          <w:rFonts w:ascii="Arial" w:hAnsi="Arial" w:cs="Arial"/>
          <w:b/>
          <w:bCs/>
        </w:rPr>
        <w:t>Section C</w:t>
      </w:r>
      <w:r>
        <w:rPr>
          <w:rFonts w:ascii="Arial" w:hAnsi="Arial" w:cs="Arial"/>
          <w:bCs/>
        </w:rPr>
        <w:t xml:space="preserve"> – </w:t>
      </w:r>
      <w:r>
        <w:rPr>
          <w:rFonts w:ascii="Arial" w:hAnsi="Arial" w:cs="Arial"/>
          <w:b/>
          <w:bCs/>
        </w:rPr>
        <w:t xml:space="preserve">Price: </w:t>
      </w:r>
      <w:r w:rsidRPr="003B3796">
        <w:rPr>
          <w:rFonts w:ascii="Arial" w:hAnsi="Arial" w:cs="Arial"/>
          <w:bCs/>
        </w:rPr>
        <w:t>Budget (including breakdown of spend)</w:t>
      </w:r>
    </w:p>
    <w:p w:rsidR="00D33821" w:rsidRDefault="00071649" w:rsidP="00AE7685">
      <w:pPr>
        <w:jc w:val="both"/>
        <w:rPr>
          <w:rFonts w:ascii="Arial" w:hAnsi="Arial" w:cs="Arial"/>
          <w:bCs/>
          <w:lang w:val="en-US"/>
        </w:rPr>
      </w:pPr>
      <w:r w:rsidRPr="00D33821">
        <w:rPr>
          <w:rFonts w:ascii="Arial" w:hAnsi="Arial" w:cs="Arial"/>
          <w:bCs/>
          <w:lang w:val="en-US"/>
        </w:rPr>
        <w:lastRenderedPageBreak/>
        <w:t>Applications will be reviewed by a PHE panel and candidates will be informed electronically of the result.</w:t>
      </w:r>
    </w:p>
    <w:p w:rsidR="00071649" w:rsidRPr="00D33821" w:rsidRDefault="00071649" w:rsidP="00AE7685">
      <w:pPr>
        <w:jc w:val="both"/>
        <w:rPr>
          <w:rFonts w:ascii="Arial" w:hAnsi="Arial" w:cs="Arial"/>
          <w:bCs/>
          <w:lang w:val="en-US"/>
        </w:rPr>
      </w:pPr>
      <w:r w:rsidRPr="00D33821">
        <w:rPr>
          <w:rFonts w:ascii="Arial" w:hAnsi="Arial" w:cs="Arial"/>
          <w:bCs/>
          <w:lang w:val="en-US"/>
        </w:rPr>
        <w:t>If two applications are scored identically</w:t>
      </w:r>
      <w:r w:rsidR="00D33821">
        <w:rPr>
          <w:rFonts w:ascii="Arial" w:hAnsi="Arial" w:cs="Arial"/>
          <w:bCs/>
          <w:lang w:val="en-US"/>
        </w:rPr>
        <w:t>,</w:t>
      </w:r>
      <w:r w:rsidRPr="00D33821">
        <w:rPr>
          <w:rFonts w:ascii="Arial" w:hAnsi="Arial" w:cs="Arial"/>
          <w:bCs/>
          <w:lang w:val="en-US"/>
        </w:rPr>
        <w:t xml:space="preserve"> then both applica</w:t>
      </w:r>
      <w:r w:rsidR="00DE6018" w:rsidRPr="00D33821">
        <w:rPr>
          <w:rFonts w:ascii="Arial" w:hAnsi="Arial" w:cs="Arial"/>
          <w:bCs/>
          <w:lang w:val="en-US"/>
        </w:rPr>
        <w:t xml:space="preserve">nts will be invited to present to a panel drawn from the PHE </w:t>
      </w:r>
      <w:r w:rsidR="000B12BD">
        <w:rPr>
          <w:rFonts w:ascii="Arial" w:hAnsi="Arial" w:cs="Arial"/>
          <w:bCs/>
          <w:lang w:val="en-US"/>
        </w:rPr>
        <w:t>Global Public Health Division</w:t>
      </w:r>
      <w:r w:rsidR="00FD6F6D" w:rsidRPr="00D33821">
        <w:rPr>
          <w:rFonts w:ascii="Arial" w:hAnsi="Arial" w:cs="Arial"/>
          <w:bCs/>
          <w:lang w:val="en-US"/>
        </w:rPr>
        <w:t xml:space="preserve"> to decide the outcome</w:t>
      </w:r>
      <w:r w:rsidRPr="00D33821">
        <w:rPr>
          <w:rFonts w:ascii="Arial" w:hAnsi="Arial" w:cs="Arial"/>
          <w:bCs/>
          <w:lang w:val="en-US"/>
        </w:rPr>
        <w:t>.</w:t>
      </w:r>
    </w:p>
    <w:p w:rsidR="0001276C" w:rsidRPr="00DE6018" w:rsidRDefault="0001276C" w:rsidP="0001276C">
      <w:pPr>
        <w:spacing w:line="276" w:lineRule="auto"/>
        <w:rPr>
          <w:rFonts w:ascii="Arial" w:hAnsi="Arial" w:cs="Arial"/>
          <w:b/>
          <w:bCs/>
          <w:lang w:val="en-US"/>
        </w:rPr>
      </w:pPr>
      <w:r>
        <w:rPr>
          <w:rFonts w:ascii="Arial" w:hAnsi="Arial" w:cs="Arial"/>
          <w:b/>
          <w:bCs/>
          <w:lang w:val="en-US"/>
        </w:rPr>
        <w:t>Evaluation</w:t>
      </w:r>
      <w:r w:rsidRPr="00DE6018">
        <w:rPr>
          <w:rFonts w:ascii="Arial" w:hAnsi="Arial" w:cs="Arial"/>
          <w:b/>
          <w:bCs/>
          <w:lang w:val="en-US"/>
        </w:rPr>
        <w:t xml:space="preserve"> Criteria</w:t>
      </w:r>
    </w:p>
    <w:p w:rsidR="0001276C" w:rsidRDefault="0001276C" w:rsidP="0001276C">
      <w:pPr>
        <w:spacing w:line="276" w:lineRule="auto"/>
        <w:jc w:val="both"/>
        <w:rPr>
          <w:rFonts w:ascii="Arial" w:hAnsi="Arial" w:cs="Arial"/>
          <w:bCs/>
          <w:lang w:val="en-US"/>
        </w:rPr>
      </w:pPr>
      <w:r>
        <w:rPr>
          <w:rFonts w:ascii="Arial" w:hAnsi="Arial" w:cs="Arial"/>
          <w:bCs/>
          <w:lang w:val="en-US"/>
        </w:rPr>
        <w:t>The overall quality weighting is 70% and price weighting is 30%, with breakdown below:</w:t>
      </w:r>
    </w:p>
    <w:tbl>
      <w:tblPr>
        <w:tblStyle w:val="TableGrid"/>
        <w:tblW w:w="0" w:type="auto"/>
        <w:tblLook w:val="04A0" w:firstRow="1" w:lastRow="0" w:firstColumn="1" w:lastColumn="0" w:noHBand="0" w:noVBand="1"/>
      </w:tblPr>
      <w:tblGrid>
        <w:gridCol w:w="1384"/>
        <w:gridCol w:w="1280"/>
        <w:gridCol w:w="5241"/>
        <w:gridCol w:w="1337"/>
      </w:tblGrid>
      <w:tr w:rsidR="0001276C" w:rsidTr="006E03F9">
        <w:tc>
          <w:tcPr>
            <w:tcW w:w="1384"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Evaluation criteria</w:t>
            </w:r>
          </w:p>
        </w:tc>
        <w:tc>
          <w:tcPr>
            <w:tcW w:w="1280"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Weighting</w:t>
            </w:r>
          </w:p>
        </w:tc>
        <w:tc>
          <w:tcPr>
            <w:tcW w:w="5241"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Evaluation sub-criteria</w:t>
            </w:r>
          </w:p>
        </w:tc>
        <w:tc>
          <w:tcPr>
            <w:tcW w:w="1337"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Sub-criteria weighting</w:t>
            </w:r>
          </w:p>
        </w:tc>
      </w:tr>
      <w:tr w:rsidR="0001276C" w:rsidTr="006E03F9">
        <w:tc>
          <w:tcPr>
            <w:tcW w:w="1384"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Quality</w:t>
            </w:r>
          </w:p>
        </w:tc>
        <w:tc>
          <w:tcPr>
            <w:tcW w:w="1280"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70%</w:t>
            </w:r>
          </w:p>
        </w:tc>
        <w:tc>
          <w:tcPr>
            <w:tcW w:w="5241" w:type="dxa"/>
          </w:tcPr>
          <w:p w:rsidR="0001276C" w:rsidRPr="004E7E86" w:rsidRDefault="0001276C" w:rsidP="006E03F9">
            <w:pPr>
              <w:spacing w:line="276" w:lineRule="auto"/>
              <w:jc w:val="both"/>
              <w:rPr>
                <w:rFonts w:ascii="Arial" w:hAnsi="Arial" w:cs="Arial"/>
                <w:bCs/>
                <w:lang w:val="en-US"/>
              </w:rPr>
            </w:pPr>
            <w:r w:rsidRPr="004E7E86">
              <w:rPr>
                <w:rFonts w:ascii="Arial" w:hAnsi="Arial" w:cs="Arial"/>
                <w:b/>
                <w:bCs/>
                <w:lang w:val="en-US"/>
              </w:rPr>
              <w:t>Section A – EXPERTISE:</w:t>
            </w:r>
            <w:r w:rsidRPr="004E7E86">
              <w:rPr>
                <w:rFonts w:ascii="Arial" w:hAnsi="Arial" w:cs="Arial"/>
                <w:bCs/>
                <w:lang w:val="en-US"/>
              </w:rPr>
              <w:t xml:space="preserve"> </w:t>
            </w:r>
            <w:r>
              <w:rPr>
                <w:rFonts w:ascii="Arial" w:hAnsi="Arial" w:cs="Arial"/>
                <w:bCs/>
                <w:lang w:val="en-US"/>
              </w:rPr>
              <w:t>S</w:t>
            </w:r>
            <w:r w:rsidRPr="004E7E86">
              <w:rPr>
                <w:rFonts w:ascii="Arial" w:hAnsi="Arial" w:cs="Arial"/>
                <w:bCs/>
                <w:lang w:val="en-US"/>
              </w:rPr>
              <w:t>trength and suitability of the project team and organisation</w:t>
            </w:r>
          </w:p>
        </w:tc>
        <w:tc>
          <w:tcPr>
            <w:tcW w:w="1337" w:type="dxa"/>
          </w:tcPr>
          <w:p w:rsidR="0001276C" w:rsidRPr="004E7E86" w:rsidRDefault="0001276C" w:rsidP="006E03F9">
            <w:pPr>
              <w:spacing w:line="276" w:lineRule="auto"/>
              <w:jc w:val="both"/>
              <w:rPr>
                <w:rFonts w:ascii="Arial" w:hAnsi="Arial" w:cs="Arial"/>
                <w:bCs/>
                <w:lang w:val="en-US"/>
              </w:rPr>
            </w:pPr>
            <w:r w:rsidRPr="004E7E86">
              <w:rPr>
                <w:rFonts w:ascii="Arial" w:hAnsi="Arial" w:cs="Arial"/>
                <w:bCs/>
                <w:lang w:val="en-US"/>
              </w:rPr>
              <w:t>30%</w:t>
            </w:r>
          </w:p>
        </w:tc>
      </w:tr>
      <w:tr w:rsidR="0001276C" w:rsidTr="006E03F9">
        <w:tc>
          <w:tcPr>
            <w:tcW w:w="1384" w:type="dxa"/>
          </w:tcPr>
          <w:p w:rsidR="0001276C" w:rsidRPr="004E7E86" w:rsidRDefault="0001276C" w:rsidP="006E03F9">
            <w:pPr>
              <w:spacing w:line="276" w:lineRule="auto"/>
              <w:jc w:val="both"/>
              <w:rPr>
                <w:rFonts w:ascii="Arial" w:hAnsi="Arial" w:cs="Arial"/>
                <w:b/>
                <w:bCs/>
                <w:lang w:val="en-US"/>
              </w:rPr>
            </w:pPr>
          </w:p>
        </w:tc>
        <w:tc>
          <w:tcPr>
            <w:tcW w:w="1280" w:type="dxa"/>
          </w:tcPr>
          <w:p w:rsidR="0001276C" w:rsidRPr="004E7E86" w:rsidRDefault="0001276C" w:rsidP="006E03F9">
            <w:pPr>
              <w:spacing w:line="276" w:lineRule="auto"/>
              <w:jc w:val="both"/>
              <w:rPr>
                <w:rFonts w:ascii="Arial" w:hAnsi="Arial" w:cs="Arial"/>
                <w:b/>
                <w:bCs/>
                <w:lang w:val="en-US"/>
              </w:rPr>
            </w:pPr>
          </w:p>
        </w:tc>
        <w:tc>
          <w:tcPr>
            <w:tcW w:w="5241" w:type="dxa"/>
          </w:tcPr>
          <w:p w:rsidR="0001276C" w:rsidRPr="004E7E86" w:rsidRDefault="0001276C" w:rsidP="0082339C">
            <w:pPr>
              <w:spacing w:line="276" w:lineRule="auto"/>
              <w:jc w:val="both"/>
              <w:rPr>
                <w:rFonts w:ascii="Arial" w:hAnsi="Arial" w:cs="Arial"/>
                <w:bCs/>
                <w:lang w:val="en-US"/>
              </w:rPr>
            </w:pPr>
            <w:r w:rsidRPr="004E7E86">
              <w:rPr>
                <w:rFonts w:ascii="Arial" w:hAnsi="Arial" w:cs="Arial"/>
                <w:b/>
                <w:bCs/>
                <w:lang w:val="en-US"/>
              </w:rPr>
              <w:t xml:space="preserve">Section B – METHODOLOGY: </w:t>
            </w:r>
            <w:r w:rsidRPr="004E7E86">
              <w:rPr>
                <w:rFonts w:ascii="Arial" w:hAnsi="Arial" w:cs="Arial"/>
                <w:bCs/>
                <w:lang w:val="en-US"/>
              </w:rPr>
              <w:t xml:space="preserve">Quality of the </w:t>
            </w:r>
            <w:r>
              <w:rPr>
                <w:rFonts w:ascii="Arial" w:hAnsi="Arial" w:cs="Arial"/>
                <w:bCs/>
                <w:lang w:val="en-US"/>
              </w:rPr>
              <w:t xml:space="preserve">proposed </w:t>
            </w:r>
            <w:r w:rsidR="0082339C">
              <w:rPr>
                <w:rFonts w:ascii="Arial" w:hAnsi="Arial" w:cs="Arial"/>
                <w:bCs/>
                <w:lang w:val="en-US"/>
              </w:rPr>
              <w:t>methods</w:t>
            </w:r>
            <w:r w:rsidRPr="004E7E86">
              <w:rPr>
                <w:rFonts w:ascii="Arial" w:hAnsi="Arial" w:cs="Arial"/>
                <w:bCs/>
                <w:lang w:val="en-US"/>
              </w:rPr>
              <w:t>, work plan and management arrangements; Impact of the proposed work; Relevance of plan to the</w:t>
            </w:r>
            <w:r>
              <w:rPr>
                <w:rFonts w:ascii="Arial" w:hAnsi="Arial" w:cs="Arial"/>
                <w:bCs/>
                <w:lang w:val="en-US"/>
              </w:rPr>
              <w:t xml:space="preserve"> aims and</w:t>
            </w:r>
            <w:r w:rsidRPr="004E7E86">
              <w:rPr>
                <w:rFonts w:ascii="Arial" w:hAnsi="Arial" w:cs="Arial"/>
                <w:bCs/>
                <w:lang w:val="en-US"/>
              </w:rPr>
              <w:t xml:space="preserve"> objectives of the project</w:t>
            </w:r>
          </w:p>
        </w:tc>
        <w:tc>
          <w:tcPr>
            <w:tcW w:w="1337" w:type="dxa"/>
          </w:tcPr>
          <w:p w:rsidR="0001276C" w:rsidRPr="004E7E86" w:rsidRDefault="0001276C" w:rsidP="006E03F9">
            <w:pPr>
              <w:spacing w:line="276" w:lineRule="auto"/>
              <w:jc w:val="both"/>
              <w:rPr>
                <w:rFonts w:ascii="Arial" w:hAnsi="Arial" w:cs="Arial"/>
                <w:bCs/>
                <w:lang w:val="en-US"/>
              </w:rPr>
            </w:pPr>
            <w:r w:rsidRPr="004E7E86">
              <w:rPr>
                <w:rFonts w:ascii="Arial" w:hAnsi="Arial" w:cs="Arial"/>
                <w:bCs/>
                <w:lang w:val="en-US"/>
              </w:rPr>
              <w:t>40%</w:t>
            </w:r>
          </w:p>
        </w:tc>
      </w:tr>
      <w:tr w:rsidR="0001276C" w:rsidTr="006E03F9">
        <w:tc>
          <w:tcPr>
            <w:tcW w:w="1384"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Price</w:t>
            </w:r>
          </w:p>
        </w:tc>
        <w:tc>
          <w:tcPr>
            <w:tcW w:w="1280" w:type="dxa"/>
          </w:tcPr>
          <w:p w:rsidR="0001276C" w:rsidRPr="004E7E86" w:rsidRDefault="0001276C" w:rsidP="006E03F9">
            <w:pPr>
              <w:spacing w:line="276" w:lineRule="auto"/>
              <w:jc w:val="both"/>
              <w:rPr>
                <w:rFonts w:ascii="Arial" w:hAnsi="Arial" w:cs="Arial"/>
                <w:b/>
                <w:bCs/>
                <w:lang w:val="en-US"/>
              </w:rPr>
            </w:pPr>
            <w:r w:rsidRPr="004E7E86">
              <w:rPr>
                <w:rFonts w:ascii="Arial" w:hAnsi="Arial" w:cs="Arial"/>
                <w:b/>
                <w:bCs/>
                <w:lang w:val="en-US"/>
              </w:rPr>
              <w:t>30%</w:t>
            </w:r>
          </w:p>
        </w:tc>
        <w:tc>
          <w:tcPr>
            <w:tcW w:w="5241" w:type="dxa"/>
          </w:tcPr>
          <w:p w:rsidR="0001276C" w:rsidRPr="004E7E86" w:rsidRDefault="0001276C" w:rsidP="006E03F9">
            <w:pPr>
              <w:spacing w:line="276" w:lineRule="auto"/>
              <w:jc w:val="both"/>
              <w:rPr>
                <w:rFonts w:ascii="Arial" w:hAnsi="Arial" w:cs="Arial"/>
                <w:bCs/>
                <w:lang w:val="en-US"/>
              </w:rPr>
            </w:pPr>
            <w:r w:rsidRPr="004E7E86">
              <w:rPr>
                <w:rFonts w:ascii="Arial" w:hAnsi="Arial" w:cs="Arial"/>
                <w:b/>
                <w:bCs/>
                <w:lang w:val="en-US"/>
              </w:rPr>
              <w:t xml:space="preserve">Section C – PRICE: </w:t>
            </w:r>
            <w:r w:rsidRPr="004E7E86">
              <w:rPr>
                <w:rFonts w:ascii="Arial" w:hAnsi="Arial" w:cs="Arial"/>
                <w:bCs/>
                <w:lang w:val="en-US"/>
              </w:rPr>
              <w:t>The tenderer is required to prov</w:t>
            </w:r>
            <w:r>
              <w:rPr>
                <w:rFonts w:ascii="Arial" w:hAnsi="Arial" w:cs="Arial"/>
                <w:bCs/>
                <w:lang w:val="en-US"/>
              </w:rPr>
              <w:t>ide a fixed price in line with specification</w:t>
            </w:r>
            <w:r w:rsidRPr="004E7E86">
              <w:rPr>
                <w:rFonts w:ascii="Arial" w:hAnsi="Arial" w:cs="Arial"/>
                <w:bCs/>
                <w:lang w:val="en-US"/>
              </w:rPr>
              <w:t xml:space="preserve">. </w:t>
            </w:r>
          </w:p>
          <w:p w:rsidR="0001276C" w:rsidRPr="004E7E86" w:rsidRDefault="0001276C" w:rsidP="006E03F9">
            <w:pPr>
              <w:spacing w:line="276" w:lineRule="auto"/>
              <w:jc w:val="both"/>
              <w:rPr>
                <w:rFonts w:ascii="Arial" w:hAnsi="Arial" w:cs="Arial"/>
                <w:bCs/>
                <w:lang w:val="en-US"/>
              </w:rPr>
            </w:pPr>
            <w:r w:rsidRPr="004E7E86">
              <w:rPr>
                <w:rFonts w:ascii="Arial" w:hAnsi="Arial" w:cs="Arial"/>
                <w:bCs/>
                <w:lang w:val="en-US"/>
              </w:rPr>
              <w:t>Where there are options available within the proposal prices should be broken down to cover individual components.</w:t>
            </w:r>
            <w:r>
              <w:rPr>
                <w:rFonts w:ascii="Arial" w:hAnsi="Arial" w:cs="Arial"/>
                <w:bCs/>
                <w:lang w:val="en-US"/>
              </w:rPr>
              <w:t xml:space="preserve"> </w:t>
            </w:r>
            <w:r w:rsidRPr="004E7E86">
              <w:rPr>
                <w:rFonts w:ascii="Arial" w:hAnsi="Arial" w:cs="Arial"/>
                <w:bCs/>
                <w:lang w:val="en-US"/>
              </w:rPr>
              <w:t>The lowest fixed price fee proposed will receive the highest score</w:t>
            </w:r>
            <w:r>
              <w:rPr>
                <w:rFonts w:ascii="Arial" w:hAnsi="Arial" w:cs="Arial"/>
                <w:bCs/>
                <w:lang w:val="en-US"/>
              </w:rPr>
              <w:t xml:space="preserve"> as outlined below</w:t>
            </w:r>
            <w:r w:rsidRPr="004E7E86">
              <w:rPr>
                <w:rFonts w:ascii="Arial" w:hAnsi="Arial" w:cs="Arial"/>
                <w:bCs/>
                <w:lang w:val="en-US"/>
              </w:rPr>
              <w:t>.</w:t>
            </w:r>
          </w:p>
        </w:tc>
        <w:tc>
          <w:tcPr>
            <w:tcW w:w="1337" w:type="dxa"/>
          </w:tcPr>
          <w:p w:rsidR="0001276C" w:rsidRPr="004E7E86" w:rsidRDefault="0001276C" w:rsidP="006E03F9">
            <w:pPr>
              <w:spacing w:line="276" w:lineRule="auto"/>
              <w:jc w:val="both"/>
              <w:rPr>
                <w:rFonts w:ascii="Arial" w:hAnsi="Arial" w:cs="Arial"/>
                <w:bCs/>
                <w:lang w:val="en-US"/>
              </w:rPr>
            </w:pPr>
            <w:r w:rsidRPr="004E7E86">
              <w:rPr>
                <w:rFonts w:ascii="Arial" w:hAnsi="Arial" w:cs="Arial"/>
                <w:bCs/>
                <w:lang w:val="en-US"/>
              </w:rPr>
              <w:t>30%</w:t>
            </w:r>
          </w:p>
        </w:tc>
      </w:tr>
    </w:tbl>
    <w:p w:rsidR="0001276C" w:rsidRPr="00DC2AE1" w:rsidRDefault="0001276C" w:rsidP="0001276C">
      <w:pPr>
        <w:spacing w:before="240" w:line="276" w:lineRule="auto"/>
        <w:jc w:val="both"/>
        <w:rPr>
          <w:rFonts w:ascii="Arial" w:hAnsi="Arial" w:cs="Arial"/>
          <w:b/>
          <w:bCs/>
          <w:lang w:val="en-US"/>
        </w:rPr>
      </w:pPr>
      <w:r w:rsidRPr="00DC2AE1">
        <w:rPr>
          <w:rFonts w:ascii="Arial" w:hAnsi="Arial" w:cs="Arial"/>
          <w:b/>
          <w:bCs/>
          <w:lang w:val="en-US"/>
        </w:rPr>
        <w:t>Quality evaluation</w:t>
      </w:r>
    </w:p>
    <w:p w:rsidR="0001276C" w:rsidRDefault="0001276C" w:rsidP="0001276C">
      <w:pPr>
        <w:spacing w:line="276" w:lineRule="auto"/>
        <w:jc w:val="both"/>
        <w:rPr>
          <w:rFonts w:ascii="Arial" w:hAnsi="Arial" w:cs="Arial"/>
          <w:bCs/>
          <w:lang w:val="en-US"/>
        </w:rPr>
      </w:pPr>
      <w:r>
        <w:rPr>
          <w:rFonts w:ascii="Arial" w:hAnsi="Arial" w:cs="Arial"/>
          <w:bCs/>
          <w:lang w:val="en-US"/>
        </w:rPr>
        <w:t xml:space="preserve">For the Quality evaluation, the following will be used to score Section A and B on </w:t>
      </w:r>
      <w:r w:rsidRPr="00D21091">
        <w:rPr>
          <w:rFonts w:ascii="Arial" w:hAnsi="Arial" w:cs="Arial"/>
          <w:b/>
          <w:bCs/>
          <w:lang w:val="en-US"/>
        </w:rPr>
        <w:t>Expertise</w:t>
      </w:r>
      <w:r>
        <w:rPr>
          <w:rFonts w:ascii="Arial" w:hAnsi="Arial" w:cs="Arial"/>
          <w:bCs/>
          <w:lang w:val="en-US"/>
        </w:rPr>
        <w:t xml:space="preserve"> and </w:t>
      </w:r>
      <w:r w:rsidRPr="00D21091">
        <w:rPr>
          <w:rFonts w:ascii="Arial" w:hAnsi="Arial" w:cs="Arial"/>
          <w:b/>
          <w:bCs/>
          <w:lang w:val="en-US"/>
        </w:rPr>
        <w:t>Methodology</w:t>
      </w:r>
      <w:r>
        <w:rPr>
          <w:rFonts w:ascii="Arial" w:hAnsi="Arial" w:cs="Arial"/>
          <w:bCs/>
          <w:lang w:val="en-US"/>
        </w:rPr>
        <w:t>:</w:t>
      </w:r>
    </w:p>
    <w:tbl>
      <w:tblPr>
        <w:tblStyle w:val="TableGrid"/>
        <w:tblW w:w="0" w:type="auto"/>
        <w:tblLook w:val="04A0" w:firstRow="1" w:lastRow="0" w:firstColumn="1" w:lastColumn="0" w:noHBand="0" w:noVBand="1"/>
      </w:tblPr>
      <w:tblGrid>
        <w:gridCol w:w="828"/>
        <w:gridCol w:w="1842"/>
        <w:gridCol w:w="6572"/>
      </w:tblGrid>
      <w:tr w:rsidR="0001276C" w:rsidTr="006E03F9">
        <w:tc>
          <w:tcPr>
            <w:tcW w:w="817" w:type="dxa"/>
          </w:tcPr>
          <w:p w:rsidR="0001276C" w:rsidRPr="00433749" w:rsidRDefault="0001276C" w:rsidP="006E03F9">
            <w:pPr>
              <w:spacing w:line="276" w:lineRule="auto"/>
              <w:jc w:val="both"/>
              <w:rPr>
                <w:rFonts w:ascii="Arial" w:hAnsi="Arial" w:cs="Arial"/>
                <w:b/>
                <w:bCs/>
                <w:lang w:val="en-US"/>
              </w:rPr>
            </w:pPr>
            <w:r w:rsidRPr="00433749">
              <w:rPr>
                <w:rFonts w:ascii="Arial" w:hAnsi="Arial" w:cs="Arial"/>
                <w:b/>
                <w:bCs/>
                <w:lang w:val="en-US"/>
              </w:rPr>
              <w:t>Score</w:t>
            </w:r>
          </w:p>
        </w:tc>
        <w:tc>
          <w:tcPr>
            <w:tcW w:w="1843" w:type="dxa"/>
          </w:tcPr>
          <w:p w:rsidR="0001276C" w:rsidRPr="00433749" w:rsidRDefault="0001276C" w:rsidP="006E03F9">
            <w:pPr>
              <w:spacing w:line="276" w:lineRule="auto"/>
              <w:jc w:val="both"/>
              <w:rPr>
                <w:rFonts w:ascii="Arial" w:hAnsi="Arial" w:cs="Arial"/>
                <w:b/>
                <w:bCs/>
                <w:lang w:val="en-US"/>
              </w:rPr>
            </w:pPr>
            <w:r w:rsidRPr="00433749">
              <w:rPr>
                <w:rFonts w:ascii="Arial" w:hAnsi="Arial" w:cs="Arial"/>
                <w:b/>
                <w:bCs/>
                <w:lang w:val="en-US"/>
              </w:rPr>
              <w:t>Acceptability</w:t>
            </w:r>
          </w:p>
        </w:tc>
        <w:tc>
          <w:tcPr>
            <w:tcW w:w="6582" w:type="dxa"/>
          </w:tcPr>
          <w:p w:rsidR="0001276C" w:rsidRPr="00433749" w:rsidRDefault="0001276C" w:rsidP="006E03F9">
            <w:pPr>
              <w:spacing w:line="276" w:lineRule="auto"/>
              <w:jc w:val="both"/>
              <w:rPr>
                <w:rFonts w:ascii="Arial" w:hAnsi="Arial" w:cs="Arial"/>
                <w:b/>
                <w:bCs/>
                <w:lang w:val="en-US"/>
              </w:rPr>
            </w:pPr>
            <w:r w:rsidRPr="00433749">
              <w:rPr>
                <w:rFonts w:ascii="Arial" w:hAnsi="Arial" w:cs="Arial"/>
                <w:b/>
                <w:bCs/>
                <w:lang w:val="en-US"/>
              </w:rPr>
              <w:t xml:space="preserve">Bidder response demonstrates: </w:t>
            </w:r>
          </w:p>
        </w:tc>
      </w:tr>
      <w:tr w:rsidR="0001276C" w:rsidTr="006E03F9">
        <w:tc>
          <w:tcPr>
            <w:tcW w:w="817" w:type="dxa"/>
          </w:tcPr>
          <w:p w:rsidR="0001276C" w:rsidRDefault="0001276C" w:rsidP="006E03F9">
            <w:pPr>
              <w:spacing w:line="276" w:lineRule="auto"/>
              <w:jc w:val="both"/>
              <w:rPr>
                <w:rFonts w:ascii="Arial" w:hAnsi="Arial" w:cs="Arial"/>
                <w:bCs/>
                <w:lang w:val="en-US"/>
              </w:rPr>
            </w:pPr>
            <w:r>
              <w:rPr>
                <w:rFonts w:ascii="Arial" w:hAnsi="Arial" w:cs="Arial"/>
                <w:bCs/>
                <w:lang w:val="en-US"/>
              </w:rPr>
              <w:t>0</w:t>
            </w:r>
          </w:p>
        </w:tc>
        <w:tc>
          <w:tcPr>
            <w:tcW w:w="1843"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Unacceptable</w:t>
            </w:r>
          </w:p>
        </w:tc>
        <w:tc>
          <w:tcPr>
            <w:tcW w:w="6582"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No response provided / fails to meet the requirements</w:t>
            </w:r>
          </w:p>
        </w:tc>
      </w:tr>
      <w:tr w:rsidR="0001276C" w:rsidTr="006E03F9">
        <w:tc>
          <w:tcPr>
            <w:tcW w:w="817" w:type="dxa"/>
          </w:tcPr>
          <w:p w:rsidR="0001276C" w:rsidRDefault="0001276C" w:rsidP="006E03F9">
            <w:pPr>
              <w:spacing w:line="276" w:lineRule="auto"/>
              <w:jc w:val="both"/>
              <w:rPr>
                <w:rFonts w:ascii="Arial" w:hAnsi="Arial" w:cs="Arial"/>
                <w:bCs/>
                <w:lang w:val="en-US"/>
              </w:rPr>
            </w:pPr>
            <w:r>
              <w:rPr>
                <w:rFonts w:ascii="Arial" w:hAnsi="Arial" w:cs="Arial"/>
                <w:bCs/>
                <w:lang w:val="en-US"/>
              </w:rPr>
              <w:t>1</w:t>
            </w:r>
          </w:p>
        </w:tc>
        <w:tc>
          <w:tcPr>
            <w:tcW w:w="1843"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Major Reservations</w:t>
            </w:r>
          </w:p>
        </w:tc>
        <w:tc>
          <w:tcPr>
            <w:tcW w:w="6582"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The information submitted has insufficient evidence that the specified requirements can be met and/or there are significant omissions, serious and/or many concerns</w:t>
            </w:r>
          </w:p>
        </w:tc>
      </w:tr>
      <w:tr w:rsidR="0001276C" w:rsidTr="006E03F9">
        <w:tc>
          <w:tcPr>
            <w:tcW w:w="817" w:type="dxa"/>
          </w:tcPr>
          <w:p w:rsidR="0001276C" w:rsidRDefault="0001276C" w:rsidP="006E03F9">
            <w:pPr>
              <w:spacing w:line="276" w:lineRule="auto"/>
              <w:jc w:val="both"/>
              <w:rPr>
                <w:rFonts w:ascii="Arial" w:hAnsi="Arial" w:cs="Arial"/>
                <w:bCs/>
                <w:lang w:val="en-US"/>
              </w:rPr>
            </w:pPr>
            <w:r>
              <w:rPr>
                <w:rFonts w:ascii="Arial" w:hAnsi="Arial" w:cs="Arial"/>
                <w:bCs/>
                <w:lang w:val="en-US"/>
              </w:rPr>
              <w:t>2</w:t>
            </w:r>
          </w:p>
        </w:tc>
        <w:tc>
          <w:tcPr>
            <w:tcW w:w="1843"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Some Reservations</w:t>
            </w:r>
          </w:p>
        </w:tc>
        <w:tc>
          <w:tcPr>
            <w:tcW w:w="6582"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The information submitted has some minor omissions against the specified requirements</w:t>
            </w:r>
          </w:p>
        </w:tc>
      </w:tr>
      <w:tr w:rsidR="0001276C" w:rsidTr="006E03F9">
        <w:tc>
          <w:tcPr>
            <w:tcW w:w="817" w:type="dxa"/>
          </w:tcPr>
          <w:p w:rsidR="0001276C" w:rsidRDefault="0001276C" w:rsidP="006E03F9">
            <w:pPr>
              <w:spacing w:line="276" w:lineRule="auto"/>
              <w:jc w:val="both"/>
              <w:rPr>
                <w:rFonts w:ascii="Arial" w:hAnsi="Arial" w:cs="Arial"/>
                <w:bCs/>
                <w:lang w:val="en-US"/>
              </w:rPr>
            </w:pPr>
            <w:r>
              <w:rPr>
                <w:rFonts w:ascii="Arial" w:hAnsi="Arial" w:cs="Arial"/>
                <w:bCs/>
                <w:lang w:val="en-US"/>
              </w:rPr>
              <w:t>3</w:t>
            </w:r>
          </w:p>
        </w:tc>
        <w:tc>
          <w:tcPr>
            <w:tcW w:w="1843"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Satisfactory</w:t>
            </w:r>
          </w:p>
        </w:tc>
        <w:tc>
          <w:tcPr>
            <w:tcW w:w="6582"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The information submitted meets PHE’s requirements and is acceptable in most respects, and there are no major concerns</w:t>
            </w:r>
          </w:p>
        </w:tc>
      </w:tr>
      <w:tr w:rsidR="0001276C" w:rsidTr="006E03F9">
        <w:tc>
          <w:tcPr>
            <w:tcW w:w="817" w:type="dxa"/>
          </w:tcPr>
          <w:p w:rsidR="0001276C" w:rsidRDefault="0001276C" w:rsidP="006E03F9">
            <w:pPr>
              <w:spacing w:line="276" w:lineRule="auto"/>
              <w:jc w:val="both"/>
              <w:rPr>
                <w:rFonts w:ascii="Arial" w:hAnsi="Arial" w:cs="Arial"/>
                <w:bCs/>
                <w:lang w:val="en-US"/>
              </w:rPr>
            </w:pPr>
            <w:r>
              <w:rPr>
                <w:rFonts w:ascii="Arial" w:hAnsi="Arial" w:cs="Arial"/>
                <w:bCs/>
                <w:lang w:val="en-US"/>
              </w:rPr>
              <w:t>4</w:t>
            </w:r>
          </w:p>
        </w:tc>
        <w:tc>
          <w:tcPr>
            <w:tcW w:w="1843"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Good</w:t>
            </w:r>
          </w:p>
        </w:tc>
        <w:tc>
          <w:tcPr>
            <w:tcW w:w="6582"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 xml:space="preserve">The information submitted provides good evidence that the specified requirements can be met. It is a full and robust response, and any concerns are addressed so that the proposal </w:t>
            </w:r>
            <w:r w:rsidRPr="00DC2AE1">
              <w:rPr>
                <w:rFonts w:ascii="Arial" w:hAnsi="Arial" w:cs="Arial"/>
                <w:bCs/>
                <w:lang w:val="en-US"/>
              </w:rPr>
              <w:lastRenderedPageBreak/>
              <w:t>gives confidence</w:t>
            </w:r>
          </w:p>
        </w:tc>
      </w:tr>
      <w:tr w:rsidR="0001276C" w:rsidTr="006E03F9">
        <w:tc>
          <w:tcPr>
            <w:tcW w:w="817" w:type="dxa"/>
          </w:tcPr>
          <w:p w:rsidR="0001276C" w:rsidRDefault="0001276C" w:rsidP="006E03F9">
            <w:pPr>
              <w:spacing w:line="276" w:lineRule="auto"/>
              <w:jc w:val="both"/>
              <w:rPr>
                <w:rFonts w:ascii="Arial" w:hAnsi="Arial" w:cs="Arial"/>
                <w:bCs/>
                <w:lang w:val="en-US"/>
              </w:rPr>
            </w:pPr>
            <w:r>
              <w:rPr>
                <w:rFonts w:ascii="Arial" w:hAnsi="Arial" w:cs="Arial"/>
                <w:bCs/>
                <w:lang w:val="en-US"/>
              </w:rPr>
              <w:lastRenderedPageBreak/>
              <w:t>5</w:t>
            </w:r>
          </w:p>
        </w:tc>
        <w:tc>
          <w:tcPr>
            <w:tcW w:w="1843"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Exceed</w:t>
            </w:r>
          </w:p>
        </w:tc>
        <w:tc>
          <w:tcPr>
            <w:tcW w:w="6582" w:type="dxa"/>
          </w:tcPr>
          <w:p w:rsidR="0001276C" w:rsidRDefault="0001276C" w:rsidP="006E03F9">
            <w:pPr>
              <w:spacing w:line="276" w:lineRule="auto"/>
              <w:jc w:val="both"/>
              <w:rPr>
                <w:rFonts w:ascii="Arial" w:hAnsi="Arial" w:cs="Arial"/>
                <w:bCs/>
                <w:lang w:val="en-US"/>
              </w:rPr>
            </w:pPr>
            <w:r w:rsidRPr="00DC2AE1">
              <w:rPr>
                <w:rFonts w:ascii="Arial" w:hAnsi="Arial" w:cs="Arial"/>
                <w:bCs/>
                <w:lang w:val="en-US"/>
              </w:rPr>
              <w:t>The information exceeds the tender requirements and provides additional benefits of significant value to Public Health England</w:t>
            </w:r>
          </w:p>
        </w:tc>
      </w:tr>
    </w:tbl>
    <w:p w:rsidR="0001276C" w:rsidRDefault="0001276C" w:rsidP="0001276C">
      <w:pPr>
        <w:spacing w:line="276" w:lineRule="auto"/>
        <w:jc w:val="both"/>
        <w:rPr>
          <w:rFonts w:ascii="Arial" w:hAnsi="Arial" w:cs="Arial"/>
          <w:b/>
          <w:bCs/>
          <w:lang w:val="en-US"/>
        </w:rPr>
      </w:pPr>
    </w:p>
    <w:p w:rsidR="0001276C" w:rsidRDefault="0001276C" w:rsidP="0001276C">
      <w:pPr>
        <w:spacing w:line="276" w:lineRule="auto"/>
        <w:jc w:val="both"/>
        <w:rPr>
          <w:rFonts w:ascii="Arial" w:hAnsi="Arial" w:cs="Arial"/>
          <w:b/>
          <w:bCs/>
          <w:lang w:val="en-US"/>
        </w:rPr>
      </w:pPr>
      <w:r>
        <w:rPr>
          <w:rFonts w:ascii="Arial" w:hAnsi="Arial" w:cs="Arial"/>
          <w:b/>
          <w:bCs/>
          <w:lang w:val="en-US"/>
        </w:rPr>
        <w:t>Price evaluation</w:t>
      </w:r>
    </w:p>
    <w:p w:rsidR="0001276C" w:rsidRDefault="0001276C" w:rsidP="0001276C">
      <w:pPr>
        <w:spacing w:line="276" w:lineRule="auto"/>
        <w:jc w:val="both"/>
        <w:rPr>
          <w:rFonts w:ascii="Arial" w:hAnsi="Arial" w:cs="Arial"/>
          <w:bCs/>
          <w:lang w:val="en-US"/>
        </w:rPr>
      </w:pPr>
      <w:r>
        <w:rPr>
          <w:rFonts w:ascii="Arial" w:hAnsi="Arial" w:cs="Arial"/>
          <w:bCs/>
          <w:lang w:val="en-US"/>
        </w:rPr>
        <w:t xml:space="preserve">Price will represent 30% of the overall evaluation weightings. </w:t>
      </w:r>
      <w:r w:rsidRPr="00DC2AE1">
        <w:rPr>
          <w:rFonts w:ascii="Arial" w:hAnsi="Arial" w:cs="Arial"/>
          <w:bCs/>
          <w:lang w:val="en-US"/>
        </w:rPr>
        <w:t xml:space="preserve">The lowest fixed price fee proposed </w:t>
      </w:r>
      <w:r>
        <w:rPr>
          <w:rFonts w:ascii="Arial" w:hAnsi="Arial" w:cs="Arial"/>
          <w:bCs/>
          <w:lang w:val="en-US"/>
        </w:rPr>
        <w:t xml:space="preserve">will receive the highest score. </w:t>
      </w:r>
    </w:p>
    <w:p w:rsidR="0001276C" w:rsidRDefault="0001276C" w:rsidP="0001276C">
      <w:pPr>
        <w:spacing w:line="276" w:lineRule="auto"/>
        <w:jc w:val="both"/>
        <w:rPr>
          <w:rFonts w:ascii="Arial" w:hAnsi="Arial" w:cs="Arial"/>
          <w:bCs/>
          <w:lang w:val="en-US"/>
        </w:rPr>
      </w:pPr>
      <w:r w:rsidRPr="003A5C9B">
        <w:rPr>
          <w:rFonts w:ascii="Arial" w:hAnsi="Arial" w:cs="Arial"/>
          <w:bCs/>
          <w:lang w:val="en-US"/>
        </w:rPr>
        <w:t>Each Bidder will be scored based on its relationship with the lowest priced quote. The worked example below gives a notional example of how the price evaluation will be scored: For example, based upon a notional figure of £100,000</w:t>
      </w:r>
      <w:r>
        <w:rPr>
          <w:rFonts w:ascii="Arial" w:hAnsi="Arial" w:cs="Arial"/>
          <w:bCs/>
          <w:lang w:val="en-US"/>
        </w:rPr>
        <w:t>.</w:t>
      </w:r>
    </w:p>
    <w:tbl>
      <w:tblPr>
        <w:tblStyle w:val="TableGrid"/>
        <w:tblW w:w="0" w:type="auto"/>
        <w:tblLook w:val="04A0" w:firstRow="1" w:lastRow="0" w:firstColumn="1" w:lastColumn="0" w:noHBand="0" w:noVBand="1"/>
      </w:tblPr>
      <w:tblGrid>
        <w:gridCol w:w="1384"/>
        <w:gridCol w:w="1701"/>
        <w:gridCol w:w="3402"/>
        <w:gridCol w:w="1134"/>
        <w:gridCol w:w="1621"/>
      </w:tblGrid>
      <w:tr w:rsidR="0001276C" w:rsidTr="006E03F9">
        <w:tc>
          <w:tcPr>
            <w:tcW w:w="1384" w:type="dxa"/>
          </w:tcPr>
          <w:p w:rsidR="0001276C" w:rsidRPr="003A5C9B" w:rsidRDefault="0001276C" w:rsidP="006E03F9">
            <w:pPr>
              <w:spacing w:line="276" w:lineRule="auto"/>
              <w:rPr>
                <w:rFonts w:ascii="Arial" w:hAnsi="Arial" w:cs="Arial"/>
                <w:b/>
                <w:bCs/>
                <w:lang w:val="en-US"/>
              </w:rPr>
            </w:pPr>
            <w:r>
              <w:rPr>
                <w:rFonts w:ascii="Arial" w:hAnsi="Arial" w:cs="Arial"/>
                <w:b/>
                <w:bCs/>
                <w:lang w:val="en-US"/>
              </w:rPr>
              <w:t>Supplier</w:t>
            </w:r>
          </w:p>
        </w:tc>
        <w:tc>
          <w:tcPr>
            <w:tcW w:w="1701" w:type="dxa"/>
          </w:tcPr>
          <w:p w:rsidR="0001276C" w:rsidRPr="003A5C9B" w:rsidRDefault="0001276C" w:rsidP="006E03F9">
            <w:pPr>
              <w:spacing w:line="276" w:lineRule="auto"/>
              <w:rPr>
                <w:rFonts w:ascii="Arial" w:hAnsi="Arial" w:cs="Arial"/>
                <w:b/>
                <w:bCs/>
                <w:lang w:val="en-US"/>
              </w:rPr>
            </w:pPr>
            <w:r w:rsidRPr="003A5C9B">
              <w:rPr>
                <w:rFonts w:ascii="Arial" w:hAnsi="Arial" w:cs="Arial"/>
                <w:b/>
                <w:bCs/>
                <w:lang w:val="en-US"/>
              </w:rPr>
              <w:t>Price</w:t>
            </w:r>
          </w:p>
        </w:tc>
        <w:tc>
          <w:tcPr>
            <w:tcW w:w="3402" w:type="dxa"/>
          </w:tcPr>
          <w:p w:rsidR="0001276C" w:rsidRPr="003A5C9B" w:rsidRDefault="0001276C" w:rsidP="006E03F9">
            <w:pPr>
              <w:spacing w:line="276" w:lineRule="auto"/>
              <w:rPr>
                <w:rFonts w:ascii="Arial" w:hAnsi="Arial" w:cs="Arial"/>
                <w:b/>
                <w:bCs/>
                <w:lang w:val="en-US"/>
              </w:rPr>
            </w:pPr>
            <w:r w:rsidRPr="003A5C9B">
              <w:rPr>
                <w:rFonts w:ascii="Arial" w:hAnsi="Arial" w:cs="Arial"/>
                <w:b/>
                <w:bCs/>
                <w:lang w:val="en-US"/>
              </w:rPr>
              <w:t xml:space="preserve">Percentage score calculation </w:t>
            </w:r>
          </w:p>
        </w:tc>
        <w:tc>
          <w:tcPr>
            <w:tcW w:w="1134" w:type="dxa"/>
          </w:tcPr>
          <w:p w:rsidR="0001276C" w:rsidRPr="003A5C9B" w:rsidRDefault="0001276C" w:rsidP="006E03F9">
            <w:pPr>
              <w:spacing w:line="276" w:lineRule="auto"/>
              <w:rPr>
                <w:rFonts w:ascii="Arial" w:hAnsi="Arial" w:cs="Arial"/>
                <w:b/>
                <w:bCs/>
                <w:lang w:val="en-US"/>
              </w:rPr>
            </w:pPr>
            <w:r w:rsidRPr="003A5C9B">
              <w:rPr>
                <w:rFonts w:ascii="Arial" w:hAnsi="Arial" w:cs="Arial"/>
                <w:b/>
                <w:bCs/>
                <w:lang w:val="en-US"/>
              </w:rPr>
              <w:t>Score</w:t>
            </w:r>
          </w:p>
        </w:tc>
        <w:tc>
          <w:tcPr>
            <w:tcW w:w="1621" w:type="dxa"/>
          </w:tcPr>
          <w:p w:rsidR="0001276C" w:rsidRPr="003A5C9B" w:rsidRDefault="0001276C" w:rsidP="006E03F9">
            <w:pPr>
              <w:spacing w:line="276" w:lineRule="auto"/>
              <w:rPr>
                <w:rFonts w:ascii="Arial" w:hAnsi="Arial" w:cs="Arial"/>
                <w:b/>
                <w:bCs/>
                <w:lang w:val="en-US"/>
              </w:rPr>
            </w:pPr>
            <w:r w:rsidRPr="003A5C9B">
              <w:rPr>
                <w:rFonts w:ascii="Arial" w:hAnsi="Arial" w:cs="Arial"/>
                <w:b/>
                <w:bCs/>
                <w:lang w:val="en-US"/>
              </w:rPr>
              <w:t>Weighted score (30%)</w:t>
            </w:r>
          </w:p>
        </w:tc>
      </w:tr>
      <w:tr w:rsidR="0001276C" w:rsidTr="006E03F9">
        <w:tc>
          <w:tcPr>
            <w:tcW w:w="1384" w:type="dxa"/>
          </w:tcPr>
          <w:p w:rsidR="0001276C" w:rsidRDefault="0001276C" w:rsidP="006E03F9">
            <w:pPr>
              <w:spacing w:line="276" w:lineRule="auto"/>
              <w:rPr>
                <w:rFonts w:ascii="Arial" w:hAnsi="Arial" w:cs="Arial"/>
                <w:bCs/>
                <w:lang w:val="en-US"/>
              </w:rPr>
            </w:pPr>
            <w:r>
              <w:rPr>
                <w:rFonts w:ascii="Arial" w:hAnsi="Arial" w:cs="Arial"/>
                <w:bCs/>
                <w:lang w:val="en-US"/>
              </w:rPr>
              <w:t>Supplier A</w:t>
            </w:r>
          </w:p>
        </w:tc>
        <w:tc>
          <w:tcPr>
            <w:tcW w:w="1701" w:type="dxa"/>
          </w:tcPr>
          <w:p w:rsidR="0001276C" w:rsidRDefault="0001276C" w:rsidP="006E03F9">
            <w:pPr>
              <w:spacing w:line="276" w:lineRule="auto"/>
              <w:rPr>
                <w:rFonts w:ascii="Arial" w:hAnsi="Arial" w:cs="Arial"/>
                <w:bCs/>
                <w:lang w:val="en-US"/>
              </w:rPr>
            </w:pPr>
            <w:r>
              <w:rPr>
                <w:rFonts w:ascii="Arial" w:hAnsi="Arial" w:cs="Arial"/>
                <w:bCs/>
                <w:lang w:val="en-US"/>
              </w:rPr>
              <w:t>£150,000</w:t>
            </w:r>
          </w:p>
        </w:tc>
        <w:tc>
          <w:tcPr>
            <w:tcW w:w="3402" w:type="dxa"/>
          </w:tcPr>
          <w:p w:rsidR="0001276C" w:rsidRDefault="0001276C" w:rsidP="006E03F9">
            <w:pPr>
              <w:spacing w:line="276" w:lineRule="auto"/>
              <w:rPr>
                <w:rFonts w:ascii="Arial" w:hAnsi="Arial" w:cs="Arial"/>
                <w:bCs/>
                <w:lang w:val="en-US"/>
              </w:rPr>
            </w:pPr>
            <w:r>
              <w:rPr>
                <w:rFonts w:ascii="Arial" w:hAnsi="Arial" w:cs="Arial"/>
                <w:bCs/>
                <w:lang w:val="en-US"/>
              </w:rPr>
              <w:t>£100,000 / £150,000  x  100</w:t>
            </w:r>
          </w:p>
        </w:tc>
        <w:tc>
          <w:tcPr>
            <w:tcW w:w="1134" w:type="dxa"/>
          </w:tcPr>
          <w:p w:rsidR="0001276C" w:rsidRDefault="0001276C" w:rsidP="006E03F9">
            <w:pPr>
              <w:spacing w:line="276" w:lineRule="auto"/>
              <w:rPr>
                <w:rFonts w:ascii="Arial" w:hAnsi="Arial" w:cs="Arial"/>
                <w:bCs/>
                <w:lang w:val="en-US"/>
              </w:rPr>
            </w:pPr>
            <w:r>
              <w:rPr>
                <w:rFonts w:ascii="Arial" w:hAnsi="Arial" w:cs="Arial"/>
                <w:bCs/>
                <w:lang w:val="en-US"/>
              </w:rPr>
              <w:t>66.7%</w:t>
            </w:r>
          </w:p>
        </w:tc>
        <w:tc>
          <w:tcPr>
            <w:tcW w:w="1621" w:type="dxa"/>
          </w:tcPr>
          <w:p w:rsidR="0001276C" w:rsidRDefault="0001276C" w:rsidP="006E03F9">
            <w:pPr>
              <w:spacing w:line="276" w:lineRule="auto"/>
              <w:rPr>
                <w:rFonts w:ascii="Arial" w:hAnsi="Arial" w:cs="Arial"/>
                <w:bCs/>
                <w:lang w:val="en-US"/>
              </w:rPr>
            </w:pPr>
            <w:r>
              <w:rPr>
                <w:rFonts w:ascii="Arial" w:hAnsi="Arial" w:cs="Arial"/>
                <w:bCs/>
                <w:lang w:val="en-US"/>
              </w:rPr>
              <w:t>20%</w:t>
            </w:r>
          </w:p>
        </w:tc>
      </w:tr>
      <w:tr w:rsidR="0001276C" w:rsidTr="006E03F9">
        <w:tc>
          <w:tcPr>
            <w:tcW w:w="1384" w:type="dxa"/>
          </w:tcPr>
          <w:p w:rsidR="0001276C" w:rsidRDefault="0001276C" w:rsidP="006E03F9">
            <w:pPr>
              <w:spacing w:line="276" w:lineRule="auto"/>
              <w:rPr>
                <w:rFonts w:ascii="Arial" w:hAnsi="Arial" w:cs="Arial"/>
                <w:bCs/>
                <w:lang w:val="en-US"/>
              </w:rPr>
            </w:pPr>
            <w:r>
              <w:rPr>
                <w:rFonts w:ascii="Arial" w:hAnsi="Arial" w:cs="Arial"/>
                <w:bCs/>
                <w:lang w:val="en-US"/>
              </w:rPr>
              <w:t>Supplier B</w:t>
            </w:r>
          </w:p>
        </w:tc>
        <w:tc>
          <w:tcPr>
            <w:tcW w:w="1701" w:type="dxa"/>
          </w:tcPr>
          <w:p w:rsidR="0001276C" w:rsidRDefault="0001276C" w:rsidP="006E03F9">
            <w:pPr>
              <w:spacing w:line="276" w:lineRule="auto"/>
              <w:rPr>
                <w:rFonts w:ascii="Arial" w:hAnsi="Arial" w:cs="Arial"/>
                <w:bCs/>
                <w:lang w:val="en-US"/>
              </w:rPr>
            </w:pPr>
            <w:r>
              <w:rPr>
                <w:rFonts w:ascii="Arial" w:hAnsi="Arial" w:cs="Arial"/>
                <w:bCs/>
                <w:lang w:val="en-US"/>
              </w:rPr>
              <w:t>£125,000</w:t>
            </w:r>
          </w:p>
        </w:tc>
        <w:tc>
          <w:tcPr>
            <w:tcW w:w="3402" w:type="dxa"/>
          </w:tcPr>
          <w:p w:rsidR="0001276C" w:rsidRDefault="0001276C" w:rsidP="006E03F9">
            <w:pPr>
              <w:spacing w:line="276" w:lineRule="auto"/>
              <w:rPr>
                <w:rFonts w:ascii="Arial" w:hAnsi="Arial" w:cs="Arial"/>
                <w:bCs/>
                <w:lang w:val="en-US"/>
              </w:rPr>
            </w:pPr>
            <w:r>
              <w:rPr>
                <w:rFonts w:ascii="Arial" w:hAnsi="Arial" w:cs="Arial"/>
                <w:bCs/>
                <w:lang w:val="en-US"/>
              </w:rPr>
              <w:t>£100,000 / £125,000  x  100</w:t>
            </w:r>
          </w:p>
        </w:tc>
        <w:tc>
          <w:tcPr>
            <w:tcW w:w="1134" w:type="dxa"/>
          </w:tcPr>
          <w:p w:rsidR="0001276C" w:rsidRDefault="0001276C" w:rsidP="006E03F9">
            <w:pPr>
              <w:spacing w:line="276" w:lineRule="auto"/>
              <w:rPr>
                <w:rFonts w:ascii="Arial" w:hAnsi="Arial" w:cs="Arial"/>
                <w:bCs/>
                <w:lang w:val="en-US"/>
              </w:rPr>
            </w:pPr>
            <w:r>
              <w:rPr>
                <w:rFonts w:ascii="Arial" w:hAnsi="Arial" w:cs="Arial"/>
                <w:bCs/>
                <w:lang w:val="en-US"/>
              </w:rPr>
              <w:t>80.0%</w:t>
            </w:r>
          </w:p>
        </w:tc>
        <w:tc>
          <w:tcPr>
            <w:tcW w:w="1621" w:type="dxa"/>
          </w:tcPr>
          <w:p w:rsidR="0001276C" w:rsidRDefault="0001276C" w:rsidP="006E03F9">
            <w:pPr>
              <w:spacing w:line="276" w:lineRule="auto"/>
              <w:rPr>
                <w:rFonts w:ascii="Arial" w:hAnsi="Arial" w:cs="Arial"/>
                <w:bCs/>
                <w:lang w:val="en-US"/>
              </w:rPr>
            </w:pPr>
            <w:r>
              <w:rPr>
                <w:rFonts w:ascii="Arial" w:hAnsi="Arial" w:cs="Arial"/>
                <w:bCs/>
                <w:lang w:val="en-US"/>
              </w:rPr>
              <w:t>24%</w:t>
            </w:r>
          </w:p>
        </w:tc>
      </w:tr>
      <w:tr w:rsidR="0001276C" w:rsidTr="006E03F9">
        <w:tc>
          <w:tcPr>
            <w:tcW w:w="1384" w:type="dxa"/>
          </w:tcPr>
          <w:p w:rsidR="0001276C" w:rsidRDefault="0001276C" w:rsidP="006E03F9">
            <w:pPr>
              <w:spacing w:line="276" w:lineRule="auto"/>
              <w:rPr>
                <w:rFonts w:ascii="Arial" w:hAnsi="Arial" w:cs="Arial"/>
                <w:bCs/>
                <w:lang w:val="en-US"/>
              </w:rPr>
            </w:pPr>
            <w:r>
              <w:rPr>
                <w:rFonts w:ascii="Arial" w:hAnsi="Arial" w:cs="Arial"/>
                <w:bCs/>
                <w:lang w:val="en-US"/>
              </w:rPr>
              <w:t>Supplier C</w:t>
            </w:r>
          </w:p>
        </w:tc>
        <w:tc>
          <w:tcPr>
            <w:tcW w:w="1701" w:type="dxa"/>
          </w:tcPr>
          <w:p w:rsidR="0001276C" w:rsidRDefault="0001276C" w:rsidP="006E03F9">
            <w:pPr>
              <w:spacing w:line="276" w:lineRule="auto"/>
              <w:rPr>
                <w:rFonts w:ascii="Arial" w:hAnsi="Arial" w:cs="Arial"/>
                <w:bCs/>
                <w:lang w:val="en-US"/>
              </w:rPr>
            </w:pPr>
            <w:r>
              <w:rPr>
                <w:rFonts w:ascii="Arial" w:hAnsi="Arial" w:cs="Arial"/>
                <w:bCs/>
                <w:lang w:val="en-US"/>
              </w:rPr>
              <w:t>£100,000</w:t>
            </w:r>
          </w:p>
        </w:tc>
        <w:tc>
          <w:tcPr>
            <w:tcW w:w="3402" w:type="dxa"/>
          </w:tcPr>
          <w:p w:rsidR="0001276C" w:rsidRDefault="0001276C" w:rsidP="006E03F9">
            <w:pPr>
              <w:spacing w:line="276" w:lineRule="auto"/>
              <w:rPr>
                <w:rFonts w:ascii="Arial" w:hAnsi="Arial" w:cs="Arial"/>
                <w:bCs/>
                <w:lang w:val="en-US"/>
              </w:rPr>
            </w:pPr>
            <w:r>
              <w:rPr>
                <w:rFonts w:ascii="Arial" w:hAnsi="Arial" w:cs="Arial"/>
                <w:bCs/>
                <w:lang w:val="en-US"/>
              </w:rPr>
              <w:t>£100,000 / £100,000  x  100</w:t>
            </w:r>
          </w:p>
        </w:tc>
        <w:tc>
          <w:tcPr>
            <w:tcW w:w="1134" w:type="dxa"/>
          </w:tcPr>
          <w:p w:rsidR="0001276C" w:rsidRDefault="0001276C" w:rsidP="006E03F9">
            <w:pPr>
              <w:spacing w:line="276" w:lineRule="auto"/>
              <w:rPr>
                <w:rFonts w:ascii="Arial" w:hAnsi="Arial" w:cs="Arial"/>
                <w:bCs/>
                <w:lang w:val="en-US"/>
              </w:rPr>
            </w:pPr>
            <w:r>
              <w:rPr>
                <w:rFonts w:ascii="Arial" w:hAnsi="Arial" w:cs="Arial"/>
                <w:bCs/>
                <w:lang w:val="en-US"/>
              </w:rPr>
              <w:t>100.0%</w:t>
            </w:r>
          </w:p>
        </w:tc>
        <w:tc>
          <w:tcPr>
            <w:tcW w:w="1621" w:type="dxa"/>
          </w:tcPr>
          <w:p w:rsidR="0001276C" w:rsidRDefault="0001276C" w:rsidP="006E03F9">
            <w:pPr>
              <w:spacing w:line="276" w:lineRule="auto"/>
              <w:rPr>
                <w:rFonts w:ascii="Arial" w:hAnsi="Arial" w:cs="Arial"/>
                <w:bCs/>
                <w:lang w:val="en-US"/>
              </w:rPr>
            </w:pPr>
            <w:r>
              <w:rPr>
                <w:rFonts w:ascii="Arial" w:hAnsi="Arial" w:cs="Arial"/>
                <w:bCs/>
                <w:lang w:val="en-US"/>
              </w:rPr>
              <w:t>30%</w:t>
            </w:r>
          </w:p>
        </w:tc>
      </w:tr>
    </w:tbl>
    <w:p w:rsidR="0001276C" w:rsidRPr="003A5C9B" w:rsidRDefault="0001276C" w:rsidP="0001276C">
      <w:pPr>
        <w:spacing w:line="276" w:lineRule="auto"/>
        <w:rPr>
          <w:rFonts w:ascii="Arial" w:hAnsi="Arial" w:cs="Arial"/>
          <w:bCs/>
          <w:lang w:val="en-US"/>
        </w:rPr>
      </w:pPr>
    </w:p>
    <w:p w:rsidR="0001276C" w:rsidRPr="00D21091" w:rsidRDefault="0001276C" w:rsidP="0001276C">
      <w:pPr>
        <w:spacing w:line="276" w:lineRule="auto"/>
        <w:jc w:val="both"/>
        <w:rPr>
          <w:rFonts w:ascii="Arial" w:hAnsi="Arial" w:cs="Arial"/>
          <w:b/>
          <w:bCs/>
          <w:lang w:val="en-US"/>
        </w:rPr>
      </w:pPr>
      <w:r w:rsidRPr="00D21091">
        <w:rPr>
          <w:rFonts w:ascii="Arial" w:hAnsi="Arial" w:cs="Arial"/>
          <w:b/>
          <w:bCs/>
          <w:lang w:val="en-US"/>
        </w:rPr>
        <w:t>Please note that the figures shown above are examples and are not an indication of the contract value</w:t>
      </w:r>
      <w:r>
        <w:rPr>
          <w:rFonts w:ascii="Arial" w:hAnsi="Arial" w:cs="Arial"/>
          <w:b/>
          <w:bCs/>
          <w:lang w:val="en-US"/>
        </w:rPr>
        <w:t xml:space="preserve">. </w:t>
      </w:r>
      <w:r w:rsidRPr="00D21091">
        <w:rPr>
          <w:rFonts w:ascii="Arial" w:hAnsi="Arial" w:cs="Arial"/>
          <w:b/>
          <w:bCs/>
          <w:lang w:val="en-US"/>
        </w:rPr>
        <w:t>Your pricing must be realistic and consistent with a credible approach to the (timely) delivery of the specification which you must address in your proposals to PHE.</w:t>
      </w:r>
    </w:p>
    <w:p w:rsidR="0001276C" w:rsidRPr="00D21091" w:rsidRDefault="0001276C" w:rsidP="0001276C">
      <w:pPr>
        <w:spacing w:line="276" w:lineRule="auto"/>
        <w:jc w:val="both"/>
        <w:rPr>
          <w:rFonts w:ascii="Arial" w:hAnsi="Arial" w:cs="Arial"/>
          <w:bCs/>
          <w:lang w:val="en-US"/>
        </w:rPr>
      </w:pPr>
      <w:r w:rsidRPr="00D21091">
        <w:rPr>
          <w:rFonts w:ascii="Arial" w:hAnsi="Arial" w:cs="Arial"/>
          <w:bCs/>
          <w:lang w:val="en-US"/>
        </w:rPr>
        <w:t>A high proportion of the points to be awarded in the tender evaluation will be for factors other than price. After the initial evaluation, it is anticipated that there may be a need to clarify details of the staff requirements and PHE may enter into a series of discussions with one or more tenderers. However, it should be noted that PHE is not bound to seek clarifications, hold such discussions with all or any of the tenderers and, thus, tenderers must not look upon such clarifications as an opportunity to correct deficiencies in their tenders.</w:t>
      </w:r>
    </w:p>
    <w:p w:rsidR="0001276C" w:rsidRPr="003A5C9B" w:rsidRDefault="0001276C" w:rsidP="0001276C">
      <w:pPr>
        <w:spacing w:line="276" w:lineRule="auto"/>
        <w:jc w:val="both"/>
        <w:rPr>
          <w:rFonts w:ascii="Arial" w:hAnsi="Arial" w:cs="Arial"/>
          <w:bCs/>
          <w:lang w:val="en-US"/>
        </w:rPr>
      </w:pPr>
      <w:r w:rsidRPr="00D21091">
        <w:rPr>
          <w:rFonts w:ascii="Arial" w:hAnsi="Arial" w:cs="Arial"/>
          <w:bCs/>
          <w:lang w:val="en-US"/>
        </w:rPr>
        <w:t>The basis of the contract award shall be the most economically advantageous tender determined by the evaluation criteria.</w:t>
      </w:r>
    </w:p>
    <w:p w:rsidR="0001276C" w:rsidRPr="00DE6018" w:rsidRDefault="0001276C" w:rsidP="0001276C">
      <w:pPr>
        <w:spacing w:line="276" w:lineRule="auto"/>
        <w:rPr>
          <w:rFonts w:ascii="Arial" w:hAnsi="Arial" w:cs="Arial"/>
          <w:b/>
          <w:bCs/>
          <w:lang w:val="en-US"/>
        </w:rPr>
      </w:pPr>
      <w:r w:rsidRPr="00DE6018">
        <w:rPr>
          <w:rFonts w:ascii="Arial" w:hAnsi="Arial" w:cs="Arial"/>
          <w:b/>
          <w:bCs/>
          <w:lang w:val="en-US"/>
        </w:rPr>
        <w:t>Commissioning Timetable</w:t>
      </w:r>
    </w:p>
    <w:p w:rsidR="0001276C" w:rsidRPr="00DE6018" w:rsidRDefault="0001276C" w:rsidP="0001276C">
      <w:pPr>
        <w:spacing w:line="276" w:lineRule="auto"/>
        <w:jc w:val="both"/>
        <w:rPr>
          <w:rFonts w:ascii="Arial" w:hAnsi="Arial" w:cs="Arial"/>
          <w:bCs/>
          <w:lang w:val="en-US"/>
        </w:rPr>
      </w:pPr>
      <w:r w:rsidRPr="00DE6018">
        <w:rPr>
          <w:rFonts w:ascii="Arial" w:hAnsi="Arial" w:cs="Arial"/>
          <w:bCs/>
          <w:lang w:val="en-US"/>
        </w:rPr>
        <w:t>It is anticipated that commissioning of this project will occur to the following approximate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01276C" w:rsidRPr="0060144B" w:rsidTr="006E03F9">
        <w:tc>
          <w:tcPr>
            <w:tcW w:w="2410" w:type="dxa"/>
            <w:shd w:val="clear" w:color="auto" w:fill="BFBFBF"/>
          </w:tcPr>
          <w:p w:rsidR="0001276C" w:rsidRPr="0060144B" w:rsidRDefault="0001276C" w:rsidP="006E03F9">
            <w:pPr>
              <w:spacing w:line="276" w:lineRule="auto"/>
              <w:rPr>
                <w:rFonts w:ascii="Arial" w:hAnsi="Arial" w:cs="Arial"/>
                <w:b/>
              </w:rPr>
            </w:pPr>
            <w:r w:rsidRPr="0060144B">
              <w:rPr>
                <w:rFonts w:ascii="Arial" w:hAnsi="Arial" w:cs="Arial"/>
                <w:b/>
              </w:rPr>
              <w:t>Date</w:t>
            </w:r>
          </w:p>
        </w:tc>
        <w:tc>
          <w:tcPr>
            <w:tcW w:w="6804" w:type="dxa"/>
            <w:shd w:val="clear" w:color="auto" w:fill="BFBFBF"/>
          </w:tcPr>
          <w:p w:rsidR="0001276C" w:rsidRPr="0060144B" w:rsidRDefault="0001276C" w:rsidP="006E03F9">
            <w:pPr>
              <w:spacing w:line="276" w:lineRule="auto"/>
              <w:rPr>
                <w:rFonts w:ascii="Arial" w:hAnsi="Arial" w:cs="Arial"/>
                <w:b/>
              </w:rPr>
            </w:pPr>
            <w:r w:rsidRPr="0060144B">
              <w:rPr>
                <w:rFonts w:ascii="Arial" w:hAnsi="Arial" w:cs="Arial"/>
                <w:b/>
              </w:rPr>
              <w:t>Action</w:t>
            </w:r>
          </w:p>
        </w:tc>
      </w:tr>
      <w:tr w:rsidR="0001276C" w:rsidRPr="0060144B" w:rsidTr="006E03F9">
        <w:tc>
          <w:tcPr>
            <w:tcW w:w="2410" w:type="dxa"/>
            <w:shd w:val="clear" w:color="auto" w:fill="auto"/>
            <w:vAlign w:val="center"/>
          </w:tcPr>
          <w:p w:rsidR="0001276C" w:rsidRPr="00DB60FD" w:rsidRDefault="0001276C" w:rsidP="006E03F9">
            <w:pPr>
              <w:spacing w:after="0" w:line="360" w:lineRule="auto"/>
              <w:rPr>
                <w:rFonts w:ascii="Arial" w:hAnsi="Arial" w:cs="Arial"/>
              </w:rPr>
            </w:pPr>
            <w:r>
              <w:rPr>
                <w:rFonts w:ascii="Arial" w:hAnsi="Arial" w:cs="Arial"/>
              </w:rPr>
              <w:t>13</w:t>
            </w:r>
            <w:r w:rsidRPr="00DB60FD">
              <w:rPr>
                <w:rFonts w:ascii="Arial" w:hAnsi="Arial" w:cs="Arial"/>
                <w:vertAlign w:val="superscript"/>
              </w:rPr>
              <w:t>th</w:t>
            </w:r>
            <w:r w:rsidRPr="00DB60FD">
              <w:rPr>
                <w:rFonts w:ascii="Arial" w:hAnsi="Arial" w:cs="Arial"/>
              </w:rPr>
              <w:t xml:space="preserve"> February 2018</w:t>
            </w:r>
          </w:p>
        </w:tc>
        <w:tc>
          <w:tcPr>
            <w:tcW w:w="6804" w:type="dxa"/>
            <w:shd w:val="clear" w:color="auto" w:fill="auto"/>
            <w:vAlign w:val="center"/>
          </w:tcPr>
          <w:p w:rsidR="0001276C" w:rsidRPr="0060144B" w:rsidRDefault="0001276C" w:rsidP="006E03F9">
            <w:pPr>
              <w:spacing w:after="0" w:line="360" w:lineRule="auto"/>
              <w:rPr>
                <w:rFonts w:ascii="Arial" w:hAnsi="Arial" w:cs="Arial"/>
                <w:lang w:val="en-US"/>
              </w:rPr>
            </w:pPr>
            <w:r>
              <w:rPr>
                <w:rFonts w:ascii="Arial" w:hAnsi="Arial" w:cs="Arial"/>
                <w:lang w:val="en-US"/>
              </w:rPr>
              <w:t xml:space="preserve">Issue of </w:t>
            </w:r>
            <w:r w:rsidRPr="0060144B">
              <w:rPr>
                <w:rFonts w:ascii="Arial" w:hAnsi="Arial" w:cs="Arial"/>
                <w:lang w:val="en-US"/>
              </w:rPr>
              <w:t>invitation to tender via BRAVO</w:t>
            </w:r>
          </w:p>
        </w:tc>
      </w:tr>
      <w:tr w:rsidR="0001276C" w:rsidRPr="0060144B" w:rsidTr="006E03F9">
        <w:tc>
          <w:tcPr>
            <w:tcW w:w="2410" w:type="dxa"/>
            <w:shd w:val="clear" w:color="auto" w:fill="auto"/>
            <w:vAlign w:val="center"/>
          </w:tcPr>
          <w:p w:rsidR="0001276C" w:rsidRPr="00DB60FD" w:rsidRDefault="0001276C" w:rsidP="006E03F9">
            <w:pPr>
              <w:spacing w:after="0" w:line="360" w:lineRule="auto"/>
              <w:rPr>
                <w:rFonts w:ascii="Arial" w:hAnsi="Arial" w:cs="Arial"/>
              </w:rPr>
            </w:pPr>
            <w:r>
              <w:rPr>
                <w:rFonts w:ascii="Arial" w:hAnsi="Arial" w:cs="Arial"/>
              </w:rPr>
              <w:t>1</w:t>
            </w:r>
            <w:r w:rsidRPr="00134A9B">
              <w:rPr>
                <w:rFonts w:ascii="Arial" w:hAnsi="Arial" w:cs="Arial"/>
                <w:vertAlign w:val="superscript"/>
              </w:rPr>
              <w:t>st</w:t>
            </w:r>
            <w:r>
              <w:rPr>
                <w:rFonts w:ascii="Arial" w:hAnsi="Arial" w:cs="Arial"/>
              </w:rPr>
              <w:t xml:space="preserve"> </w:t>
            </w:r>
            <w:r w:rsidRPr="00DB60FD">
              <w:rPr>
                <w:rFonts w:ascii="Arial" w:hAnsi="Arial" w:cs="Arial"/>
              </w:rPr>
              <w:t>March 2018</w:t>
            </w:r>
          </w:p>
        </w:tc>
        <w:tc>
          <w:tcPr>
            <w:tcW w:w="6804" w:type="dxa"/>
            <w:shd w:val="clear" w:color="auto" w:fill="auto"/>
            <w:vAlign w:val="center"/>
          </w:tcPr>
          <w:p w:rsidR="0001276C" w:rsidRPr="0060144B" w:rsidRDefault="0001276C" w:rsidP="006E03F9">
            <w:pPr>
              <w:spacing w:after="0" w:line="360" w:lineRule="auto"/>
              <w:rPr>
                <w:rFonts w:ascii="Arial" w:hAnsi="Arial" w:cs="Arial"/>
              </w:rPr>
            </w:pPr>
            <w:r w:rsidRPr="0060144B">
              <w:rPr>
                <w:rFonts w:ascii="Arial" w:hAnsi="Arial" w:cs="Arial"/>
              </w:rPr>
              <w:t>Deadline for receipt of applications</w:t>
            </w:r>
          </w:p>
        </w:tc>
      </w:tr>
      <w:tr w:rsidR="0001276C" w:rsidRPr="0060144B" w:rsidTr="006E03F9">
        <w:tc>
          <w:tcPr>
            <w:tcW w:w="2410" w:type="dxa"/>
            <w:shd w:val="clear" w:color="auto" w:fill="auto"/>
            <w:vAlign w:val="center"/>
          </w:tcPr>
          <w:p w:rsidR="0001276C" w:rsidRPr="00DB60FD" w:rsidRDefault="0001276C" w:rsidP="006E03F9">
            <w:pPr>
              <w:spacing w:after="0" w:line="360" w:lineRule="auto"/>
              <w:rPr>
                <w:rFonts w:ascii="Arial" w:hAnsi="Arial" w:cs="Arial"/>
              </w:rPr>
            </w:pPr>
            <w:r>
              <w:rPr>
                <w:rFonts w:ascii="Arial" w:hAnsi="Arial" w:cs="Arial"/>
              </w:rPr>
              <w:lastRenderedPageBreak/>
              <w:t>5</w:t>
            </w:r>
            <w:r w:rsidRPr="00134A9B">
              <w:rPr>
                <w:rFonts w:ascii="Arial" w:hAnsi="Arial" w:cs="Arial"/>
                <w:vertAlign w:val="superscript"/>
              </w:rPr>
              <w:t>th</w:t>
            </w:r>
            <w:r>
              <w:rPr>
                <w:rFonts w:ascii="Arial" w:hAnsi="Arial" w:cs="Arial"/>
              </w:rPr>
              <w:t xml:space="preserve"> </w:t>
            </w:r>
            <w:r w:rsidRPr="00DB60FD">
              <w:rPr>
                <w:rFonts w:ascii="Arial" w:hAnsi="Arial" w:cs="Arial"/>
              </w:rPr>
              <w:t>March 2018</w:t>
            </w:r>
          </w:p>
        </w:tc>
        <w:tc>
          <w:tcPr>
            <w:tcW w:w="6804" w:type="dxa"/>
            <w:shd w:val="clear" w:color="auto" w:fill="auto"/>
            <w:vAlign w:val="center"/>
          </w:tcPr>
          <w:p w:rsidR="0001276C" w:rsidRPr="0060144B" w:rsidRDefault="0001276C" w:rsidP="006E03F9">
            <w:pPr>
              <w:spacing w:after="0" w:line="360" w:lineRule="auto"/>
              <w:rPr>
                <w:rFonts w:ascii="Arial" w:hAnsi="Arial" w:cs="Arial"/>
              </w:rPr>
            </w:pPr>
            <w:r w:rsidRPr="0060144B">
              <w:rPr>
                <w:rFonts w:ascii="Arial" w:hAnsi="Arial" w:cs="Arial"/>
              </w:rPr>
              <w:t>Notification of outcome of applications review</w:t>
            </w:r>
          </w:p>
        </w:tc>
      </w:tr>
      <w:tr w:rsidR="0001276C" w:rsidRPr="0060144B" w:rsidTr="006E03F9">
        <w:trPr>
          <w:trHeight w:val="333"/>
        </w:trPr>
        <w:tc>
          <w:tcPr>
            <w:tcW w:w="2410" w:type="dxa"/>
            <w:shd w:val="clear" w:color="auto" w:fill="auto"/>
            <w:vAlign w:val="center"/>
          </w:tcPr>
          <w:p w:rsidR="0001276C" w:rsidRPr="00DB60FD" w:rsidRDefault="0001276C" w:rsidP="006E03F9">
            <w:pPr>
              <w:spacing w:after="0" w:line="360" w:lineRule="auto"/>
              <w:rPr>
                <w:rFonts w:ascii="Arial" w:hAnsi="Arial" w:cs="Arial"/>
              </w:rPr>
            </w:pPr>
            <w:r>
              <w:rPr>
                <w:rFonts w:ascii="Arial" w:hAnsi="Arial" w:cs="Arial"/>
              </w:rPr>
              <w:t>15</w:t>
            </w:r>
            <w:r w:rsidRPr="00134A9B">
              <w:rPr>
                <w:rFonts w:ascii="Arial" w:hAnsi="Arial" w:cs="Arial"/>
                <w:vertAlign w:val="superscript"/>
              </w:rPr>
              <w:t>th</w:t>
            </w:r>
            <w:r>
              <w:rPr>
                <w:rFonts w:ascii="Arial" w:hAnsi="Arial" w:cs="Arial"/>
              </w:rPr>
              <w:t xml:space="preserve"> </w:t>
            </w:r>
            <w:r w:rsidRPr="00DB60FD">
              <w:rPr>
                <w:rFonts w:ascii="Arial" w:hAnsi="Arial" w:cs="Arial"/>
              </w:rPr>
              <w:t>March 2018</w:t>
            </w:r>
          </w:p>
        </w:tc>
        <w:tc>
          <w:tcPr>
            <w:tcW w:w="6804" w:type="dxa"/>
            <w:shd w:val="clear" w:color="auto" w:fill="auto"/>
            <w:vAlign w:val="center"/>
          </w:tcPr>
          <w:p w:rsidR="0001276C" w:rsidRPr="0060144B" w:rsidRDefault="0001276C" w:rsidP="006E03F9">
            <w:pPr>
              <w:spacing w:after="0" w:line="360" w:lineRule="auto"/>
              <w:rPr>
                <w:rFonts w:ascii="Arial" w:hAnsi="Arial" w:cs="Arial"/>
              </w:rPr>
            </w:pPr>
            <w:r w:rsidRPr="0060144B">
              <w:rPr>
                <w:rFonts w:ascii="Arial" w:hAnsi="Arial" w:cs="Arial"/>
              </w:rPr>
              <w:t>Award of contract</w:t>
            </w:r>
          </w:p>
        </w:tc>
      </w:tr>
    </w:tbl>
    <w:p w:rsidR="00071649" w:rsidRPr="0001276C" w:rsidRDefault="00071649" w:rsidP="000A166D">
      <w:pPr>
        <w:spacing w:line="276" w:lineRule="auto"/>
        <w:rPr>
          <w:rFonts w:ascii="Arial" w:hAnsi="Arial" w:cs="Arial"/>
          <w:b/>
        </w:rPr>
      </w:pPr>
      <w:bookmarkStart w:id="0" w:name="_GoBack"/>
      <w:bookmarkEnd w:id="0"/>
    </w:p>
    <w:sectPr w:rsidR="00071649" w:rsidRPr="0001276C">
      <w:headerReference w:type="default" r:id="rId9"/>
      <w:footerReference w:type="default" r:id="rId10"/>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6AD68" w15:done="0"/>
  <w15:commentEx w15:paraId="346FC651" w15:done="0"/>
  <w15:commentEx w15:paraId="320DFC55" w15:paraIdParent="346FC651" w15:done="0"/>
  <w15:commentEx w15:paraId="5DEDDD95" w15:done="0"/>
  <w15:commentEx w15:paraId="1F20E57E" w15:done="0"/>
  <w15:commentEx w15:paraId="1D18064C" w15:done="0"/>
  <w15:commentEx w15:paraId="7569CF7B" w15:done="0"/>
  <w15:commentEx w15:paraId="2098CF0E" w15:done="0"/>
  <w15:commentEx w15:paraId="47FE60F6" w15:paraIdParent="2098CF0E" w15:done="0"/>
  <w15:commentEx w15:paraId="3B9234F5" w15:done="0"/>
  <w15:commentEx w15:paraId="0FDA18B9" w15:done="0"/>
  <w15:commentEx w15:paraId="5CF6411B" w15:paraIdParent="0FDA18B9" w15:done="0"/>
  <w15:commentEx w15:paraId="38025C55" w15:done="0"/>
  <w15:commentEx w15:paraId="4D9CF8D4" w15:paraIdParent="38025C55" w15:done="0"/>
  <w15:commentEx w15:paraId="31E49729" w15:done="0"/>
  <w15:commentEx w15:paraId="634F7CCF" w15:done="0"/>
  <w15:commentEx w15:paraId="2D70AC20" w15:paraIdParent="634F7CCF" w15:done="0"/>
  <w15:commentEx w15:paraId="1BF4A589" w15:done="0"/>
  <w15:commentEx w15:paraId="02CE0960" w15:done="0"/>
  <w15:commentEx w15:paraId="4BB15A2F" w15:done="0"/>
  <w15:commentEx w15:paraId="5AF036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08" w:rsidRDefault="00485308" w:rsidP="000D6E1B">
      <w:pPr>
        <w:spacing w:after="0" w:line="240" w:lineRule="auto"/>
      </w:pPr>
      <w:r>
        <w:separator/>
      </w:r>
    </w:p>
  </w:endnote>
  <w:endnote w:type="continuationSeparator" w:id="0">
    <w:p w:rsidR="00485308" w:rsidRDefault="00485308"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rsidR="00EB5104" w:rsidRDefault="00EB5104">
        <w:pPr>
          <w:pStyle w:val="Footer"/>
          <w:jc w:val="right"/>
        </w:pPr>
        <w:r>
          <w:fldChar w:fldCharType="begin"/>
        </w:r>
        <w:r>
          <w:instrText xml:space="preserve"> PAGE   \* MERGEFORMAT </w:instrText>
        </w:r>
        <w:r>
          <w:fldChar w:fldCharType="separate"/>
        </w:r>
        <w:r w:rsidR="000A166D">
          <w:rPr>
            <w:noProof/>
          </w:rPr>
          <w:t>9</w:t>
        </w:r>
        <w:r>
          <w:rPr>
            <w:noProof/>
          </w:rPr>
          <w:fldChar w:fldCharType="end"/>
        </w:r>
      </w:p>
    </w:sdtContent>
  </w:sdt>
  <w:p w:rsidR="00EB5104" w:rsidRDefault="00E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08" w:rsidRDefault="00485308" w:rsidP="000D6E1B">
      <w:pPr>
        <w:spacing w:after="0" w:line="240" w:lineRule="auto"/>
      </w:pPr>
      <w:r>
        <w:separator/>
      </w:r>
    </w:p>
  </w:footnote>
  <w:footnote w:type="continuationSeparator" w:id="0">
    <w:p w:rsidR="00485308" w:rsidRDefault="00485308" w:rsidP="000D6E1B">
      <w:pPr>
        <w:spacing w:after="0" w:line="240" w:lineRule="auto"/>
      </w:pPr>
      <w:r>
        <w:continuationSeparator/>
      </w:r>
    </w:p>
  </w:footnote>
  <w:footnote w:id="1">
    <w:p w:rsidR="00AE7685" w:rsidRPr="00AE7685" w:rsidRDefault="00AE7685" w:rsidP="00AE7685">
      <w:pPr>
        <w:pStyle w:val="FootnoteText"/>
        <w:jc w:val="both"/>
        <w:rPr>
          <w:rFonts w:ascii="Arial" w:hAnsi="Arial" w:cs="Arial"/>
        </w:rPr>
      </w:pPr>
      <w:r w:rsidRPr="00AE7685">
        <w:rPr>
          <w:rStyle w:val="FootnoteReference"/>
          <w:rFonts w:ascii="Arial" w:hAnsi="Arial" w:cs="Arial"/>
        </w:rPr>
        <w:footnoteRef/>
      </w:r>
      <w:r w:rsidRPr="00AE7685">
        <w:rPr>
          <w:rFonts w:ascii="Arial" w:hAnsi="Arial" w:cs="Arial"/>
        </w:rPr>
        <w:t xml:space="preserve"> </w:t>
      </w:r>
      <w:proofErr w:type="gramStart"/>
      <w:r w:rsidRPr="00AE7685">
        <w:rPr>
          <w:rFonts w:ascii="Arial" w:hAnsi="Arial" w:cs="Arial"/>
        </w:rPr>
        <w:t>Moon, S. et al., 2015.</w:t>
      </w:r>
      <w:proofErr w:type="gramEnd"/>
      <w:r w:rsidRPr="00AE7685">
        <w:rPr>
          <w:rFonts w:ascii="Arial" w:hAnsi="Arial" w:cs="Arial"/>
        </w:rPr>
        <w:t xml:space="preserve"> Will Ebola change the game? </w:t>
      </w:r>
      <w:proofErr w:type="gramStart"/>
      <w:r w:rsidRPr="00AE7685">
        <w:rPr>
          <w:rFonts w:ascii="Arial" w:hAnsi="Arial" w:cs="Arial"/>
        </w:rPr>
        <w:t>Ten essential reforms before the next pandemic.</w:t>
      </w:r>
      <w:proofErr w:type="gramEnd"/>
      <w:r w:rsidRPr="00AE7685">
        <w:rPr>
          <w:rFonts w:ascii="Arial" w:hAnsi="Arial" w:cs="Arial"/>
        </w:rPr>
        <w:t xml:space="preserve"> </w:t>
      </w:r>
      <w:proofErr w:type="gramStart"/>
      <w:r w:rsidRPr="00AE7685">
        <w:rPr>
          <w:rFonts w:ascii="Arial" w:hAnsi="Arial" w:cs="Arial"/>
        </w:rPr>
        <w:t>The report of the Harvard-LSHTM Independent Panel on the Global Response to Ebola.</w:t>
      </w:r>
      <w:proofErr w:type="gramEnd"/>
      <w:r w:rsidRPr="00AE7685">
        <w:rPr>
          <w:rFonts w:ascii="Arial" w:hAnsi="Arial" w:cs="Arial"/>
        </w:rPr>
        <w:t xml:space="preserve"> </w:t>
      </w:r>
      <w:proofErr w:type="gramStart"/>
      <w:r w:rsidRPr="00AE7685">
        <w:rPr>
          <w:rFonts w:ascii="Arial" w:hAnsi="Arial" w:cs="Arial"/>
        </w:rPr>
        <w:t>The Lancet, 386(10009), pp.2204–2221.</w:t>
      </w:r>
      <w:proofErr w:type="gramEnd"/>
    </w:p>
  </w:footnote>
  <w:footnote w:id="2">
    <w:p w:rsidR="00AE7685" w:rsidRPr="00AE7685" w:rsidRDefault="00AE7685" w:rsidP="00AE7685">
      <w:pPr>
        <w:pStyle w:val="FootnoteText"/>
        <w:jc w:val="both"/>
        <w:rPr>
          <w:rFonts w:ascii="Arial" w:hAnsi="Arial" w:cs="Arial"/>
        </w:rPr>
      </w:pPr>
      <w:r w:rsidRPr="00AE7685">
        <w:rPr>
          <w:rStyle w:val="FootnoteReference"/>
          <w:rFonts w:ascii="Arial" w:hAnsi="Arial" w:cs="Arial"/>
        </w:rPr>
        <w:footnoteRef/>
      </w:r>
      <w:r w:rsidRPr="00AE7685">
        <w:rPr>
          <w:rFonts w:ascii="Arial" w:hAnsi="Arial" w:cs="Arial"/>
        </w:rPr>
        <w:t xml:space="preserve"> Heymann, D.L. et al., 2015. Global health security: the wider lessons from the </w:t>
      </w:r>
      <w:proofErr w:type="gramStart"/>
      <w:r w:rsidRPr="00AE7685">
        <w:rPr>
          <w:rFonts w:ascii="Arial" w:hAnsi="Arial" w:cs="Arial"/>
        </w:rPr>
        <w:t>west</w:t>
      </w:r>
      <w:proofErr w:type="gramEnd"/>
      <w:r w:rsidRPr="00AE7685">
        <w:rPr>
          <w:rFonts w:ascii="Arial" w:hAnsi="Arial" w:cs="Arial"/>
        </w:rPr>
        <w:t xml:space="preserve"> African Ebola virus disease epidemic. </w:t>
      </w:r>
      <w:proofErr w:type="gramStart"/>
      <w:r w:rsidRPr="00AE7685">
        <w:rPr>
          <w:rFonts w:ascii="Arial" w:hAnsi="Arial" w:cs="Arial"/>
        </w:rPr>
        <w:t>The Lancet, 385(9980), pp.1884–1901.</w:t>
      </w:r>
      <w:proofErr w:type="gramEnd"/>
    </w:p>
  </w:footnote>
  <w:footnote w:id="3">
    <w:p w:rsidR="00AE7685" w:rsidRDefault="00AE7685" w:rsidP="00AE7685">
      <w:pPr>
        <w:pStyle w:val="FootnoteText"/>
        <w:jc w:val="both"/>
      </w:pPr>
      <w:r w:rsidRPr="00AE7685">
        <w:rPr>
          <w:rStyle w:val="FootnoteReference"/>
          <w:rFonts w:ascii="Arial" w:hAnsi="Arial" w:cs="Arial"/>
        </w:rPr>
        <w:footnoteRef/>
      </w:r>
      <w:r w:rsidRPr="00AE7685">
        <w:rPr>
          <w:rFonts w:ascii="Arial" w:hAnsi="Arial" w:cs="Arial"/>
        </w:rPr>
        <w:t xml:space="preserve"> </w:t>
      </w:r>
      <w:proofErr w:type="spellStart"/>
      <w:proofErr w:type="gramStart"/>
      <w:r w:rsidRPr="00AE7685">
        <w:rPr>
          <w:rFonts w:ascii="Arial" w:hAnsi="Arial" w:cs="Arial"/>
        </w:rPr>
        <w:t>Gostin</w:t>
      </w:r>
      <w:proofErr w:type="spellEnd"/>
      <w:r w:rsidRPr="00AE7685">
        <w:rPr>
          <w:rFonts w:ascii="Arial" w:hAnsi="Arial" w:cs="Arial"/>
        </w:rPr>
        <w:t>, L.O., DeBartolo, M.C. &amp; Friedman, E.A., 2016.</w:t>
      </w:r>
      <w:proofErr w:type="gramEnd"/>
      <w:r w:rsidRPr="00AE7685">
        <w:rPr>
          <w:rFonts w:ascii="Arial" w:hAnsi="Arial" w:cs="Arial"/>
        </w:rPr>
        <w:t xml:space="preserve"> The International Health Regulations 10 years on: the governing framework for global health security. </w:t>
      </w:r>
      <w:proofErr w:type="gramStart"/>
      <w:r w:rsidRPr="00AE7685">
        <w:rPr>
          <w:rFonts w:ascii="Arial" w:hAnsi="Arial" w:cs="Arial"/>
        </w:rPr>
        <w:t>The Lancet, 386(10009), pp.2222–2226.</w:t>
      </w:r>
      <w:proofErr w:type="gramEnd"/>
      <w:r w:rsidRPr="00AE7685">
        <w:rPr>
          <w:rFonts w:ascii="Arial" w:hAnsi="Arial" w:cs="Arial"/>
        </w:rPr>
        <w:t xml:space="preserve"> Available at: </w:t>
      </w:r>
      <w:hyperlink r:id="rId1" w:history="1">
        <w:r w:rsidRPr="00AE7685">
          <w:rPr>
            <w:rStyle w:val="Hyperlink"/>
            <w:rFonts w:ascii="Arial" w:hAnsi="Arial" w:cs="Arial"/>
          </w:rPr>
          <w:t>http://dx.doi.org/10.1016/S0140-6736(15)00948-4</w:t>
        </w:r>
      </w:hyperlink>
      <w:r w:rsidRPr="00AE7685">
        <w:rPr>
          <w:rFonts w:ascii="Arial" w:hAnsi="Arial" w:cs="Arial"/>
        </w:rPr>
        <w:t>.</w:t>
      </w:r>
      <w:r>
        <w:t xml:space="preserve"> </w:t>
      </w:r>
    </w:p>
  </w:footnote>
  <w:footnote w:id="4">
    <w:p w:rsidR="00AE7685" w:rsidRPr="00AE7685" w:rsidRDefault="00AE7685" w:rsidP="00AE7685">
      <w:pPr>
        <w:pStyle w:val="FootnoteText"/>
        <w:jc w:val="both"/>
        <w:rPr>
          <w:rFonts w:ascii="Arial" w:hAnsi="Arial" w:cs="Arial"/>
        </w:rPr>
      </w:pPr>
      <w:r w:rsidRPr="00AE7685">
        <w:rPr>
          <w:rStyle w:val="FootnoteReference"/>
          <w:rFonts w:ascii="Arial" w:hAnsi="Arial" w:cs="Arial"/>
        </w:rPr>
        <w:footnoteRef/>
      </w:r>
      <w:r w:rsidRPr="00AE7685">
        <w:rPr>
          <w:rFonts w:ascii="Arial" w:hAnsi="Arial" w:cs="Arial"/>
        </w:rPr>
        <w:t xml:space="preserve"> </w:t>
      </w:r>
      <w:proofErr w:type="gramStart"/>
      <w:r w:rsidRPr="00AE7685">
        <w:rPr>
          <w:rFonts w:ascii="Arial" w:hAnsi="Arial" w:cs="Arial"/>
        </w:rPr>
        <w:t>WHO, 2016.</w:t>
      </w:r>
      <w:proofErr w:type="gramEnd"/>
      <w:r w:rsidRPr="00AE7685">
        <w:rPr>
          <w:rFonts w:ascii="Arial" w:hAnsi="Arial" w:cs="Arial"/>
        </w:rPr>
        <w:t xml:space="preserve"> Joint external evaluation tool: International Health Regulations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04" w:rsidRDefault="00677EB2">
    <w:pPr>
      <w:pStyle w:val="Header"/>
    </w:pPr>
    <w:r>
      <w:rPr>
        <w:noProof/>
        <w:lang w:eastAsia="en-GB"/>
      </w:rPr>
      <w:drawing>
        <wp:anchor distT="0" distB="0" distL="114300" distR="114300" simplePos="0" relativeHeight="251657216" behindDoc="0" locked="0" layoutInCell="1" allowOverlap="1" wp14:anchorId="56B0AA97" wp14:editId="528D519A">
          <wp:simplePos x="0" y="0"/>
          <wp:positionH relativeFrom="column">
            <wp:posOffset>-647065</wp:posOffset>
          </wp:positionH>
          <wp:positionV relativeFrom="paragraph">
            <wp:posOffset>-432435</wp:posOffset>
          </wp:positionV>
          <wp:extent cx="3510280" cy="173355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280" cy="17335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456137343"/>
        <w:docPartObj>
          <w:docPartGallery w:val="Watermarks"/>
          <w:docPartUnique/>
        </w:docPartObj>
      </w:sdtPr>
      <w:sdtEndPr/>
      <w:sdtContent>
        <w:r w:rsidR="000A166D">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D47"/>
    <w:multiLevelType w:val="hybridMultilevel"/>
    <w:tmpl w:val="04CC8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12CD5"/>
    <w:multiLevelType w:val="hybridMultilevel"/>
    <w:tmpl w:val="33B0780A"/>
    <w:lvl w:ilvl="0" w:tplc="02D877D2">
      <w:start w:val="1"/>
      <w:numFmt w:val="bullet"/>
      <w:lvlText w:val="-"/>
      <w:lvlJc w:val="left"/>
      <w:pPr>
        <w:ind w:left="72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152905"/>
    <w:multiLevelType w:val="hybridMultilevel"/>
    <w:tmpl w:val="BBC8820E"/>
    <w:lvl w:ilvl="0" w:tplc="2B3E7488">
      <w:start w:val="24"/>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E814B2"/>
    <w:multiLevelType w:val="hybridMultilevel"/>
    <w:tmpl w:val="40C2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5910FE"/>
    <w:multiLevelType w:val="hybridMultilevel"/>
    <w:tmpl w:val="C8B2F7CA"/>
    <w:lvl w:ilvl="0" w:tplc="3AEE4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36575A"/>
    <w:multiLevelType w:val="hybridMultilevel"/>
    <w:tmpl w:val="DC1E2B4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7">
      <w:start w:val="1"/>
      <w:numFmt w:val="lowerLetter"/>
      <w:lvlText w:val="%3)"/>
      <w:lvlJc w:val="lef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4897302"/>
    <w:multiLevelType w:val="hybridMultilevel"/>
    <w:tmpl w:val="0BCE62CA"/>
    <w:lvl w:ilvl="0" w:tplc="91BA28AE">
      <w:start w:val="22"/>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2B6899"/>
    <w:multiLevelType w:val="hybridMultilevel"/>
    <w:tmpl w:val="1F1E18D2"/>
    <w:lvl w:ilvl="0" w:tplc="2AAE9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EE5B14"/>
    <w:multiLevelType w:val="hybridMultilevel"/>
    <w:tmpl w:val="8A8C8850"/>
    <w:lvl w:ilvl="0" w:tplc="163A1D3A">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336D67"/>
    <w:multiLevelType w:val="hybridMultilevel"/>
    <w:tmpl w:val="AA0613B0"/>
    <w:lvl w:ilvl="0" w:tplc="6AE43FB0">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9E30FB"/>
    <w:multiLevelType w:val="hybridMultilevel"/>
    <w:tmpl w:val="1B669356"/>
    <w:lvl w:ilvl="0" w:tplc="E7F68F74">
      <w:start w:val="5"/>
      <w:numFmt w:val="decimal"/>
      <w:lvlText w:val="%1."/>
      <w:lvlJc w:val="left"/>
      <w:pPr>
        <w:ind w:left="360" w:hanging="360"/>
      </w:pPr>
      <w:rPr>
        <w:rFonts w:hint="default"/>
        <w:b w:val="0"/>
      </w:rPr>
    </w:lvl>
    <w:lvl w:ilvl="1" w:tplc="08090001">
      <w:start w:val="1"/>
      <w:numFmt w:val="bullet"/>
      <w:lvlText w:val=""/>
      <w:lvlJc w:val="left"/>
      <w:pPr>
        <w:ind w:left="1080" w:hanging="360"/>
      </w:pPr>
      <w:rPr>
        <w:rFonts w:ascii="Symbol" w:hAnsi="Symbol" w:hint="default"/>
      </w:rPr>
    </w:lvl>
    <w:lvl w:ilvl="2" w:tplc="08090017">
      <w:start w:val="1"/>
      <w:numFmt w:val="lowerLetter"/>
      <w:lvlText w:val="%3)"/>
      <w:lvlJc w:val="lef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79C16E8"/>
    <w:multiLevelType w:val="hybridMultilevel"/>
    <w:tmpl w:val="06485952"/>
    <w:lvl w:ilvl="0" w:tplc="8C88B0BC">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7A4453"/>
    <w:multiLevelType w:val="hybridMultilevel"/>
    <w:tmpl w:val="156C51F8"/>
    <w:lvl w:ilvl="0" w:tplc="B97665F8">
      <w:start w:val="2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D24791"/>
    <w:multiLevelType w:val="hybridMultilevel"/>
    <w:tmpl w:val="B7C49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E60F92"/>
    <w:multiLevelType w:val="hybridMultilevel"/>
    <w:tmpl w:val="EB081FD0"/>
    <w:lvl w:ilvl="0" w:tplc="B36835AC">
      <w:start w:val="2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5F604F"/>
    <w:multiLevelType w:val="hybridMultilevel"/>
    <w:tmpl w:val="2658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BC40C5"/>
    <w:multiLevelType w:val="hybridMultilevel"/>
    <w:tmpl w:val="E9D4ED58"/>
    <w:lvl w:ilvl="0" w:tplc="3AEE4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FA687D"/>
    <w:multiLevelType w:val="hybridMultilevel"/>
    <w:tmpl w:val="8B9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16433F"/>
    <w:multiLevelType w:val="hybridMultilevel"/>
    <w:tmpl w:val="1B72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A73993"/>
    <w:multiLevelType w:val="hybridMultilevel"/>
    <w:tmpl w:val="0102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956453"/>
    <w:multiLevelType w:val="hybridMultilevel"/>
    <w:tmpl w:val="5C0CAAF4"/>
    <w:lvl w:ilvl="0" w:tplc="BFA4A90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FA51311"/>
    <w:multiLevelType w:val="hybridMultilevel"/>
    <w:tmpl w:val="0FFED6B4"/>
    <w:lvl w:ilvl="0" w:tplc="163A1D3A">
      <w:start w:val="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4F472B"/>
    <w:multiLevelType w:val="hybridMultilevel"/>
    <w:tmpl w:val="EBAC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6339D5"/>
    <w:multiLevelType w:val="hybridMultilevel"/>
    <w:tmpl w:val="1E643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68915E71"/>
    <w:multiLevelType w:val="hybridMultilevel"/>
    <w:tmpl w:val="E19C97D8"/>
    <w:lvl w:ilvl="0" w:tplc="80188DD0">
      <w:start w:val="2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3AA10E9"/>
    <w:multiLevelType w:val="hybridMultilevel"/>
    <w:tmpl w:val="F2E28F6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437477"/>
    <w:multiLevelType w:val="hybridMultilevel"/>
    <w:tmpl w:val="9678EF92"/>
    <w:lvl w:ilvl="0" w:tplc="E7F68F74">
      <w:start w:val="5"/>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8F815EC"/>
    <w:multiLevelType w:val="hybridMultilevel"/>
    <w:tmpl w:val="37F8B294"/>
    <w:lvl w:ilvl="0" w:tplc="5C940244">
      <w:start w:val="3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25"/>
  </w:num>
  <w:num w:numId="3">
    <w:abstractNumId w:val="10"/>
  </w:num>
  <w:num w:numId="4">
    <w:abstractNumId w:val="20"/>
  </w:num>
  <w:num w:numId="5">
    <w:abstractNumId w:val="6"/>
  </w:num>
  <w:num w:numId="6">
    <w:abstractNumId w:val="2"/>
  </w:num>
  <w:num w:numId="7">
    <w:abstractNumId w:val="14"/>
  </w:num>
  <w:num w:numId="8">
    <w:abstractNumId w:val="28"/>
  </w:num>
  <w:num w:numId="9">
    <w:abstractNumId w:val="5"/>
  </w:num>
  <w:num w:numId="10">
    <w:abstractNumId w:val="24"/>
  </w:num>
  <w:num w:numId="11">
    <w:abstractNumId w:val="12"/>
  </w:num>
  <w:num w:numId="12">
    <w:abstractNumId w:val="21"/>
  </w:num>
  <w:num w:numId="13">
    <w:abstractNumId w:val="9"/>
  </w:num>
  <w:num w:numId="14">
    <w:abstractNumId w:val="11"/>
  </w:num>
  <w:num w:numId="15">
    <w:abstractNumId w:val="8"/>
  </w:num>
  <w:num w:numId="16">
    <w:abstractNumId w:val="27"/>
  </w:num>
  <w:num w:numId="17">
    <w:abstractNumId w:val="23"/>
  </w:num>
  <w:num w:numId="18">
    <w:abstractNumId w:val="18"/>
  </w:num>
  <w:num w:numId="19">
    <w:abstractNumId w:val="22"/>
  </w:num>
  <w:num w:numId="20">
    <w:abstractNumId w:val="15"/>
  </w:num>
  <w:num w:numId="21">
    <w:abstractNumId w:val="17"/>
  </w:num>
  <w:num w:numId="22">
    <w:abstractNumId w:val="3"/>
  </w:num>
  <w:num w:numId="23">
    <w:abstractNumId w:val="19"/>
  </w:num>
  <w:num w:numId="24">
    <w:abstractNumId w:val="13"/>
  </w:num>
  <w:num w:numId="25">
    <w:abstractNumId w:val="26"/>
  </w:num>
  <w:num w:numId="26">
    <w:abstractNumId w:val="7"/>
  </w:num>
  <w:num w:numId="27">
    <w:abstractNumId w:val="4"/>
  </w:num>
  <w:num w:numId="28">
    <w:abstractNumId w:val="1"/>
  </w:num>
  <w:num w:numId="29">
    <w:abstractNumId w:val="16"/>
  </w:num>
  <w:num w:numId="30">
    <w:abstractNumId w:val="0"/>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sden, John">
    <w15:presenceInfo w15:providerId="None" w15:userId="Marsden,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Formatting/>
  <w:defaultTabStop w:val="720"/>
  <w:characterSpacingControl w:val="doNotCompress"/>
  <w:hdrShapeDefaults>
    <o:shapedefaults v:ext="edit" spidmax="6146"/>
    <o:shapelayout v:ext="edit">
      <o:idmap v:ext="edit" data="6"/>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423"/>
    <w:rsid w:val="00001642"/>
    <w:rsid w:val="0000262A"/>
    <w:rsid w:val="00006702"/>
    <w:rsid w:val="0001276C"/>
    <w:rsid w:val="000256D2"/>
    <w:rsid w:val="00044057"/>
    <w:rsid w:val="000512CF"/>
    <w:rsid w:val="00051B14"/>
    <w:rsid w:val="00055A03"/>
    <w:rsid w:val="00062A83"/>
    <w:rsid w:val="00066768"/>
    <w:rsid w:val="00067E8C"/>
    <w:rsid w:val="00071649"/>
    <w:rsid w:val="0008318C"/>
    <w:rsid w:val="00084547"/>
    <w:rsid w:val="0008516D"/>
    <w:rsid w:val="0008763D"/>
    <w:rsid w:val="00090464"/>
    <w:rsid w:val="000A166D"/>
    <w:rsid w:val="000A2909"/>
    <w:rsid w:val="000A61BA"/>
    <w:rsid w:val="000B12BD"/>
    <w:rsid w:val="000B33B2"/>
    <w:rsid w:val="000B4476"/>
    <w:rsid w:val="000C0D06"/>
    <w:rsid w:val="000C1183"/>
    <w:rsid w:val="000C35B2"/>
    <w:rsid w:val="000C428E"/>
    <w:rsid w:val="000C757F"/>
    <w:rsid w:val="000D4791"/>
    <w:rsid w:val="000D6E1B"/>
    <w:rsid w:val="000E0421"/>
    <w:rsid w:val="000E1C2C"/>
    <w:rsid w:val="000E266F"/>
    <w:rsid w:val="000E3728"/>
    <w:rsid w:val="000E3966"/>
    <w:rsid w:val="000F01E6"/>
    <w:rsid w:val="000F0925"/>
    <w:rsid w:val="000F4C0E"/>
    <w:rsid w:val="000F66E8"/>
    <w:rsid w:val="0010303A"/>
    <w:rsid w:val="00106080"/>
    <w:rsid w:val="00107571"/>
    <w:rsid w:val="00115AA5"/>
    <w:rsid w:val="001238F3"/>
    <w:rsid w:val="001241C9"/>
    <w:rsid w:val="00124C56"/>
    <w:rsid w:val="001253AF"/>
    <w:rsid w:val="00132554"/>
    <w:rsid w:val="0013549B"/>
    <w:rsid w:val="00135739"/>
    <w:rsid w:val="00146141"/>
    <w:rsid w:val="00153245"/>
    <w:rsid w:val="00156FBF"/>
    <w:rsid w:val="00163633"/>
    <w:rsid w:val="00167CD7"/>
    <w:rsid w:val="00180679"/>
    <w:rsid w:val="00180BFF"/>
    <w:rsid w:val="00184528"/>
    <w:rsid w:val="00184F67"/>
    <w:rsid w:val="00185445"/>
    <w:rsid w:val="00190C77"/>
    <w:rsid w:val="001929FE"/>
    <w:rsid w:val="00193EFC"/>
    <w:rsid w:val="00194F60"/>
    <w:rsid w:val="001952EA"/>
    <w:rsid w:val="001A6908"/>
    <w:rsid w:val="001B0C33"/>
    <w:rsid w:val="001B182F"/>
    <w:rsid w:val="001B4380"/>
    <w:rsid w:val="001B694C"/>
    <w:rsid w:val="001C4B24"/>
    <w:rsid w:val="001C6391"/>
    <w:rsid w:val="001C72EB"/>
    <w:rsid w:val="001C7752"/>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3518B"/>
    <w:rsid w:val="00240ACB"/>
    <w:rsid w:val="002555BA"/>
    <w:rsid w:val="002655FD"/>
    <w:rsid w:val="002662B4"/>
    <w:rsid w:val="00270CD7"/>
    <w:rsid w:val="00273F87"/>
    <w:rsid w:val="00275CAC"/>
    <w:rsid w:val="00276410"/>
    <w:rsid w:val="00277A5A"/>
    <w:rsid w:val="0028237B"/>
    <w:rsid w:val="0029413D"/>
    <w:rsid w:val="002A0B58"/>
    <w:rsid w:val="002A643E"/>
    <w:rsid w:val="002A72C6"/>
    <w:rsid w:val="002B1392"/>
    <w:rsid w:val="002B22FC"/>
    <w:rsid w:val="002B7431"/>
    <w:rsid w:val="002B7906"/>
    <w:rsid w:val="002C48EA"/>
    <w:rsid w:val="002C561D"/>
    <w:rsid w:val="002D247D"/>
    <w:rsid w:val="002D6B74"/>
    <w:rsid w:val="002D70E8"/>
    <w:rsid w:val="002D726B"/>
    <w:rsid w:val="002D7898"/>
    <w:rsid w:val="002E3156"/>
    <w:rsid w:val="002E4E05"/>
    <w:rsid w:val="002E601A"/>
    <w:rsid w:val="002F477B"/>
    <w:rsid w:val="002F4EEB"/>
    <w:rsid w:val="00315071"/>
    <w:rsid w:val="00316C8D"/>
    <w:rsid w:val="00320158"/>
    <w:rsid w:val="003212F2"/>
    <w:rsid w:val="003326DA"/>
    <w:rsid w:val="00332B1C"/>
    <w:rsid w:val="00342B7E"/>
    <w:rsid w:val="0034339C"/>
    <w:rsid w:val="00345DEA"/>
    <w:rsid w:val="00346C05"/>
    <w:rsid w:val="00347249"/>
    <w:rsid w:val="00357695"/>
    <w:rsid w:val="00361DE1"/>
    <w:rsid w:val="00363324"/>
    <w:rsid w:val="00365DBD"/>
    <w:rsid w:val="00376B8B"/>
    <w:rsid w:val="00383E92"/>
    <w:rsid w:val="00384BAB"/>
    <w:rsid w:val="003850F8"/>
    <w:rsid w:val="00385459"/>
    <w:rsid w:val="00390D60"/>
    <w:rsid w:val="003A3FB1"/>
    <w:rsid w:val="003A5947"/>
    <w:rsid w:val="003B0E2E"/>
    <w:rsid w:val="003B3796"/>
    <w:rsid w:val="003B67F5"/>
    <w:rsid w:val="003D2BB2"/>
    <w:rsid w:val="003D7FAA"/>
    <w:rsid w:val="003E77A6"/>
    <w:rsid w:val="003F29AC"/>
    <w:rsid w:val="003F5065"/>
    <w:rsid w:val="003F7216"/>
    <w:rsid w:val="00400C6E"/>
    <w:rsid w:val="00402856"/>
    <w:rsid w:val="0041176A"/>
    <w:rsid w:val="004125A9"/>
    <w:rsid w:val="00417F74"/>
    <w:rsid w:val="00417FC3"/>
    <w:rsid w:val="00420845"/>
    <w:rsid w:val="0042716F"/>
    <w:rsid w:val="00433A29"/>
    <w:rsid w:val="004349D1"/>
    <w:rsid w:val="00434C3A"/>
    <w:rsid w:val="004461A9"/>
    <w:rsid w:val="004515CA"/>
    <w:rsid w:val="00454A8C"/>
    <w:rsid w:val="00457805"/>
    <w:rsid w:val="00460EF3"/>
    <w:rsid w:val="0046126C"/>
    <w:rsid w:val="004626F9"/>
    <w:rsid w:val="00465F12"/>
    <w:rsid w:val="00470CC8"/>
    <w:rsid w:val="004764DA"/>
    <w:rsid w:val="00481DBE"/>
    <w:rsid w:val="0048274B"/>
    <w:rsid w:val="00484543"/>
    <w:rsid w:val="00484803"/>
    <w:rsid w:val="00485308"/>
    <w:rsid w:val="00490FA2"/>
    <w:rsid w:val="00491D86"/>
    <w:rsid w:val="00494961"/>
    <w:rsid w:val="004964F2"/>
    <w:rsid w:val="004B32EA"/>
    <w:rsid w:val="004B3D6B"/>
    <w:rsid w:val="004B75FC"/>
    <w:rsid w:val="004B7ABA"/>
    <w:rsid w:val="004D1CD7"/>
    <w:rsid w:val="004D6666"/>
    <w:rsid w:val="004D6A37"/>
    <w:rsid w:val="004E18A3"/>
    <w:rsid w:val="004E3DD8"/>
    <w:rsid w:val="004E7C9A"/>
    <w:rsid w:val="004F3A7D"/>
    <w:rsid w:val="004F72EF"/>
    <w:rsid w:val="004F7B24"/>
    <w:rsid w:val="0050131F"/>
    <w:rsid w:val="00501D59"/>
    <w:rsid w:val="00502AB1"/>
    <w:rsid w:val="005108B9"/>
    <w:rsid w:val="005116B3"/>
    <w:rsid w:val="00512193"/>
    <w:rsid w:val="0051459F"/>
    <w:rsid w:val="005241E7"/>
    <w:rsid w:val="00534DC9"/>
    <w:rsid w:val="005366F4"/>
    <w:rsid w:val="00545B9D"/>
    <w:rsid w:val="0054612C"/>
    <w:rsid w:val="00546628"/>
    <w:rsid w:val="00553CE7"/>
    <w:rsid w:val="00557A6B"/>
    <w:rsid w:val="00560575"/>
    <w:rsid w:val="005649DF"/>
    <w:rsid w:val="00565A5A"/>
    <w:rsid w:val="00570EB7"/>
    <w:rsid w:val="00570F79"/>
    <w:rsid w:val="00572ECC"/>
    <w:rsid w:val="00574AA3"/>
    <w:rsid w:val="00581AEA"/>
    <w:rsid w:val="00587CFD"/>
    <w:rsid w:val="00591E08"/>
    <w:rsid w:val="00591F4A"/>
    <w:rsid w:val="00593BC5"/>
    <w:rsid w:val="00593E3A"/>
    <w:rsid w:val="00594AF7"/>
    <w:rsid w:val="005A2E81"/>
    <w:rsid w:val="005A5F23"/>
    <w:rsid w:val="005B178A"/>
    <w:rsid w:val="005B1A3A"/>
    <w:rsid w:val="005B6148"/>
    <w:rsid w:val="005C638B"/>
    <w:rsid w:val="005D1216"/>
    <w:rsid w:val="005E15B9"/>
    <w:rsid w:val="005E30D6"/>
    <w:rsid w:val="005E3FCF"/>
    <w:rsid w:val="0060144B"/>
    <w:rsid w:val="00601BC9"/>
    <w:rsid w:val="0060748F"/>
    <w:rsid w:val="00612D60"/>
    <w:rsid w:val="006153C4"/>
    <w:rsid w:val="00626EFB"/>
    <w:rsid w:val="00631347"/>
    <w:rsid w:val="00633D5D"/>
    <w:rsid w:val="00651D69"/>
    <w:rsid w:val="00653A4D"/>
    <w:rsid w:val="00654D38"/>
    <w:rsid w:val="00667AE3"/>
    <w:rsid w:val="0067239D"/>
    <w:rsid w:val="00676BC2"/>
    <w:rsid w:val="00677B3F"/>
    <w:rsid w:val="00677EB2"/>
    <w:rsid w:val="006921F3"/>
    <w:rsid w:val="00694AA8"/>
    <w:rsid w:val="006A57E5"/>
    <w:rsid w:val="006B0689"/>
    <w:rsid w:val="006B6556"/>
    <w:rsid w:val="006C2058"/>
    <w:rsid w:val="006C6351"/>
    <w:rsid w:val="006D2225"/>
    <w:rsid w:val="006D2804"/>
    <w:rsid w:val="006E167B"/>
    <w:rsid w:val="006E44E9"/>
    <w:rsid w:val="006E4E94"/>
    <w:rsid w:val="006E52EA"/>
    <w:rsid w:val="006F056E"/>
    <w:rsid w:val="006F0D47"/>
    <w:rsid w:val="006F2D00"/>
    <w:rsid w:val="006F7214"/>
    <w:rsid w:val="00701617"/>
    <w:rsid w:val="00701B57"/>
    <w:rsid w:val="0071352A"/>
    <w:rsid w:val="00726439"/>
    <w:rsid w:val="007327F4"/>
    <w:rsid w:val="00743D68"/>
    <w:rsid w:val="007475FD"/>
    <w:rsid w:val="0075158B"/>
    <w:rsid w:val="00753DFE"/>
    <w:rsid w:val="00755D6A"/>
    <w:rsid w:val="007570EF"/>
    <w:rsid w:val="007645BD"/>
    <w:rsid w:val="007748D8"/>
    <w:rsid w:val="00781276"/>
    <w:rsid w:val="0078798E"/>
    <w:rsid w:val="0079260C"/>
    <w:rsid w:val="007A3021"/>
    <w:rsid w:val="007B7E55"/>
    <w:rsid w:val="007C0DDE"/>
    <w:rsid w:val="007C1243"/>
    <w:rsid w:val="007C1576"/>
    <w:rsid w:val="007C1E16"/>
    <w:rsid w:val="007C254A"/>
    <w:rsid w:val="007C3763"/>
    <w:rsid w:val="007C3F93"/>
    <w:rsid w:val="007D0E90"/>
    <w:rsid w:val="007D32BC"/>
    <w:rsid w:val="007D3748"/>
    <w:rsid w:val="007F3EC5"/>
    <w:rsid w:val="007F5390"/>
    <w:rsid w:val="007F6334"/>
    <w:rsid w:val="00801C5D"/>
    <w:rsid w:val="0080432B"/>
    <w:rsid w:val="008162F4"/>
    <w:rsid w:val="008204D6"/>
    <w:rsid w:val="00820D56"/>
    <w:rsid w:val="008214BA"/>
    <w:rsid w:val="00823150"/>
    <w:rsid w:val="0082339C"/>
    <w:rsid w:val="00824A16"/>
    <w:rsid w:val="00827D6F"/>
    <w:rsid w:val="008316B7"/>
    <w:rsid w:val="00834BD9"/>
    <w:rsid w:val="00837B7C"/>
    <w:rsid w:val="008502B9"/>
    <w:rsid w:val="008528ED"/>
    <w:rsid w:val="00852B04"/>
    <w:rsid w:val="00854E68"/>
    <w:rsid w:val="00865853"/>
    <w:rsid w:val="00867AAE"/>
    <w:rsid w:val="008705A5"/>
    <w:rsid w:val="00872A0D"/>
    <w:rsid w:val="00874247"/>
    <w:rsid w:val="00890E26"/>
    <w:rsid w:val="008A5BB9"/>
    <w:rsid w:val="008B55C8"/>
    <w:rsid w:val="008C01A6"/>
    <w:rsid w:val="008C27D3"/>
    <w:rsid w:val="008C3553"/>
    <w:rsid w:val="008C3F93"/>
    <w:rsid w:val="008D2688"/>
    <w:rsid w:val="008D3AA8"/>
    <w:rsid w:val="008D6442"/>
    <w:rsid w:val="008D7F38"/>
    <w:rsid w:val="008E339C"/>
    <w:rsid w:val="008E35EE"/>
    <w:rsid w:val="008F12DC"/>
    <w:rsid w:val="009004E1"/>
    <w:rsid w:val="00905667"/>
    <w:rsid w:val="00907343"/>
    <w:rsid w:val="0090767C"/>
    <w:rsid w:val="00911E58"/>
    <w:rsid w:val="00913484"/>
    <w:rsid w:val="0091477F"/>
    <w:rsid w:val="00916408"/>
    <w:rsid w:val="009166E8"/>
    <w:rsid w:val="009275A6"/>
    <w:rsid w:val="00931DB4"/>
    <w:rsid w:val="00931F24"/>
    <w:rsid w:val="0093358C"/>
    <w:rsid w:val="00935069"/>
    <w:rsid w:val="009409F5"/>
    <w:rsid w:val="00941952"/>
    <w:rsid w:val="0095157A"/>
    <w:rsid w:val="00955A3A"/>
    <w:rsid w:val="00962E25"/>
    <w:rsid w:val="00971303"/>
    <w:rsid w:val="0097305F"/>
    <w:rsid w:val="0098201E"/>
    <w:rsid w:val="00984315"/>
    <w:rsid w:val="0099072C"/>
    <w:rsid w:val="009924D2"/>
    <w:rsid w:val="00992B2A"/>
    <w:rsid w:val="00993FF1"/>
    <w:rsid w:val="009956FA"/>
    <w:rsid w:val="00997CC3"/>
    <w:rsid w:val="009A25EB"/>
    <w:rsid w:val="009A7965"/>
    <w:rsid w:val="009B0341"/>
    <w:rsid w:val="009B0BF1"/>
    <w:rsid w:val="009B10E1"/>
    <w:rsid w:val="009B6EAA"/>
    <w:rsid w:val="009D16C5"/>
    <w:rsid w:val="009D6627"/>
    <w:rsid w:val="009E44F6"/>
    <w:rsid w:val="00A025AB"/>
    <w:rsid w:val="00A04E98"/>
    <w:rsid w:val="00A17585"/>
    <w:rsid w:val="00A206BD"/>
    <w:rsid w:val="00A21F7A"/>
    <w:rsid w:val="00A24118"/>
    <w:rsid w:val="00A30A02"/>
    <w:rsid w:val="00A377E5"/>
    <w:rsid w:val="00A42F01"/>
    <w:rsid w:val="00A44545"/>
    <w:rsid w:val="00A458F2"/>
    <w:rsid w:val="00A46F17"/>
    <w:rsid w:val="00A55215"/>
    <w:rsid w:val="00A557A9"/>
    <w:rsid w:val="00A566E2"/>
    <w:rsid w:val="00A56E29"/>
    <w:rsid w:val="00A57E00"/>
    <w:rsid w:val="00A6555B"/>
    <w:rsid w:val="00A6593D"/>
    <w:rsid w:val="00A704CF"/>
    <w:rsid w:val="00A738CB"/>
    <w:rsid w:val="00A80A07"/>
    <w:rsid w:val="00A90D8E"/>
    <w:rsid w:val="00A960BA"/>
    <w:rsid w:val="00A966C7"/>
    <w:rsid w:val="00AA2E61"/>
    <w:rsid w:val="00AA6F1B"/>
    <w:rsid w:val="00AB43B1"/>
    <w:rsid w:val="00AB79D8"/>
    <w:rsid w:val="00AC07B1"/>
    <w:rsid w:val="00AC3F65"/>
    <w:rsid w:val="00AC4AE4"/>
    <w:rsid w:val="00AD48E3"/>
    <w:rsid w:val="00AD704C"/>
    <w:rsid w:val="00AE2AEF"/>
    <w:rsid w:val="00AE3278"/>
    <w:rsid w:val="00AE7685"/>
    <w:rsid w:val="00AF03C8"/>
    <w:rsid w:val="00AF3CAB"/>
    <w:rsid w:val="00AF4A8D"/>
    <w:rsid w:val="00B01457"/>
    <w:rsid w:val="00B0650C"/>
    <w:rsid w:val="00B1110E"/>
    <w:rsid w:val="00B11C85"/>
    <w:rsid w:val="00B2042A"/>
    <w:rsid w:val="00B2480C"/>
    <w:rsid w:val="00B24903"/>
    <w:rsid w:val="00B3013D"/>
    <w:rsid w:val="00B43B8A"/>
    <w:rsid w:val="00B46675"/>
    <w:rsid w:val="00B620A4"/>
    <w:rsid w:val="00B72335"/>
    <w:rsid w:val="00B74B40"/>
    <w:rsid w:val="00B76423"/>
    <w:rsid w:val="00B7675E"/>
    <w:rsid w:val="00B82F78"/>
    <w:rsid w:val="00B8394B"/>
    <w:rsid w:val="00B85F13"/>
    <w:rsid w:val="00B9417D"/>
    <w:rsid w:val="00B97B53"/>
    <w:rsid w:val="00BB36F2"/>
    <w:rsid w:val="00BC10FA"/>
    <w:rsid w:val="00BC121F"/>
    <w:rsid w:val="00BC245C"/>
    <w:rsid w:val="00BD32B8"/>
    <w:rsid w:val="00BE4D3A"/>
    <w:rsid w:val="00BE61C5"/>
    <w:rsid w:val="00BF0A72"/>
    <w:rsid w:val="00BF3F8D"/>
    <w:rsid w:val="00C002F9"/>
    <w:rsid w:val="00C021E1"/>
    <w:rsid w:val="00C125DC"/>
    <w:rsid w:val="00C147D8"/>
    <w:rsid w:val="00C261DD"/>
    <w:rsid w:val="00C26FEC"/>
    <w:rsid w:val="00C2721F"/>
    <w:rsid w:val="00C35BC8"/>
    <w:rsid w:val="00C503C9"/>
    <w:rsid w:val="00C56888"/>
    <w:rsid w:val="00C67DF2"/>
    <w:rsid w:val="00C73AF8"/>
    <w:rsid w:val="00C8058C"/>
    <w:rsid w:val="00C809DE"/>
    <w:rsid w:val="00C82697"/>
    <w:rsid w:val="00C872DC"/>
    <w:rsid w:val="00C912F7"/>
    <w:rsid w:val="00C915C3"/>
    <w:rsid w:val="00C939AD"/>
    <w:rsid w:val="00CA7B7F"/>
    <w:rsid w:val="00CB378B"/>
    <w:rsid w:val="00CC07F8"/>
    <w:rsid w:val="00CC2BF7"/>
    <w:rsid w:val="00CC36DF"/>
    <w:rsid w:val="00CC3D5A"/>
    <w:rsid w:val="00CC41AD"/>
    <w:rsid w:val="00CC77A8"/>
    <w:rsid w:val="00CC78E8"/>
    <w:rsid w:val="00CC7EF7"/>
    <w:rsid w:val="00CD740A"/>
    <w:rsid w:val="00CE0652"/>
    <w:rsid w:val="00CE3B32"/>
    <w:rsid w:val="00CE531E"/>
    <w:rsid w:val="00CF080C"/>
    <w:rsid w:val="00CF2338"/>
    <w:rsid w:val="00D04086"/>
    <w:rsid w:val="00D10F2B"/>
    <w:rsid w:val="00D12AF1"/>
    <w:rsid w:val="00D16D7B"/>
    <w:rsid w:val="00D2456C"/>
    <w:rsid w:val="00D33821"/>
    <w:rsid w:val="00D345AD"/>
    <w:rsid w:val="00D36963"/>
    <w:rsid w:val="00D41F46"/>
    <w:rsid w:val="00D426A1"/>
    <w:rsid w:val="00D50293"/>
    <w:rsid w:val="00D50CFA"/>
    <w:rsid w:val="00D5442F"/>
    <w:rsid w:val="00D611FF"/>
    <w:rsid w:val="00D61A68"/>
    <w:rsid w:val="00D631E1"/>
    <w:rsid w:val="00D700A8"/>
    <w:rsid w:val="00D72CEB"/>
    <w:rsid w:val="00D73C7A"/>
    <w:rsid w:val="00D73D6F"/>
    <w:rsid w:val="00D742F0"/>
    <w:rsid w:val="00D81F44"/>
    <w:rsid w:val="00D847C9"/>
    <w:rsid w:val="00D84D23"/>
    <w:rsid w:val="00D92855"/>
    <w:rsid w:val="00D9431D"/>
    <w:rsid w:val="00D95245"/>
    <w:rsid w:val="00D95D85"/>
    <w:rsid w:val="00DB144D"/>
    <w:rsid w:val="00DB66EE"/>
    <w:rsid w:val="00DC0374"/>
    <w:rsid w:val="00DC0AD1"/>
    <w:rsid w:val="00DC251D"/>
    <w:rsid w:val="00DC3EDC"/>
    <w:rsid w:val="00DC67D7"/>
    <w:rsid w:val="00DC79CC"/>
    <w:rsid w:val="00DD022B"/>
    <w:rsid w:val="00DD43A8"/>
    <w:rsid w:val="00DD4F48"/>
    <w:rsid w:val="00DE47F4"/>
    <w:rsid w:val="00DE4E4B"/>
    <w:rsid w:val="00DE6018"/>
    <w:rsid w:val="00DE648D"/>
    <w:rsid w:val="00DF17BB"/>
    <w:rsid w:val="00DF2D0C"/>
    <w:rsid w:val="00E02383"/>
    <w:rsid w:val="00E02AC9"/>
    <w:rsid w:val="00E02FB3"/>
    <w:rsid w:val="00E04EC9"/>
    <w:rsid w:val="00E060D5"/>
    <w:rsid w:val="00E073DA"/>
    <w:rsid w:val="00E2041C"/>
    <w:rsid w:val="00E35663"/>
    <w:rsid w:val="00E44D32"/>
    <w:rsid w:val="00E47130"/>
    <w:rsid w:val="00E47E0F"/>
    <w:rsid w:val="00E530A2"/>
    <w:rsid w:val="00E6058C"/>
    <w:rsid w:val="00E662D1"/>
    <w:rsid w:val="00E705DE"/>
    <w:rsid w:val="00E72583"/>
    <w:rsid w:val="00E7296B"/>
    <w:rsid w:val="00E821B1"/>
    <w:rsid w:val="00E8588D"/>
    <w:rsid w:val="00E86049"/>
    <w:rsid w:val="00E916B6"/>
    <w:rsid w:val="00EA2339"/>
    <w:rsid w:val="00EA3D50"/>
    <w:rsid w:val="00EB0E85"/>
    <w:rsid w:val="00EB49D3"/>
    <w:rsid w:val="00EB5104"/>
    <w:rsid w:val="00EC0351"/>
    <w:rsid w:val="00EC31C2"/>
    <w:rsid w:val="00EC43BC"/>
    <w:rsid w:val="00EC618E"/>
    <w:rsid w:val="00ED1845"/>
    <w:rsid w:val="00ED4F61"/>
    <w:rsid w:val="00ED6984"/>
    <w:rsid w:val="00EE2E0A"/>
    <w:rsid w:val="00EF360F"/>
    <w:rsid w:val="00F06BE3"/>
    <w:rsid w:val="00F1535D"/>
    <w:rsid w:val="00F17566"/>
    <w:rsid w:val="00F179B6"/>
    <w:rsid w:val="00F230E9"/>
    <w:rsid w:val="00F434C7"/>
    <w:rsid w:val="00F43531"/>
    <w:rsid w:val="00F62CC4"/>
    <w:rsid w:val="00F66C4E"/>
    <w:rsid w:val="00F6783F"/>
    <w:rsid w:val="00F73C4B"/>
    <w:rsid w:val="00F7758D"/>
    <w:rsid w:val="00F80A07"/>
    <w:rsid w:val="00F81A48"/>
    <w:rsid w:val="00F82551"/>
    <w:rsid w:val="00F82713"/>
    <w:rsid w:val="00F8435A"/>
    <w:rsid w:val="00F846A9"/>
    <w:rsid w:val="00F85354"/>
    <w:rsid w:val="00F951D5"/>
    <w:rsid w:val="00FA1388"/>
    <w:rsid w:val="00FA229D"/>
    <w:rsid w:val="00FA58E8"/>
    <w:rsid w:val="00FB36BA"/>
    <w:rsid w:val="00FB5352"/>
    <w:rsid w:val="00FB7B30"/>
    <w:rsid w:val="00FC2FB7"/>
    <w:rsid w:val="00FC336E"/>
    <w:rsid w:val="00FC4059"/>
    <w:rsid w:val="00FC74B7"/>
    <w:rsid w:val="00FD6F6D"/>
    <w:rsid w:val="00FD7340"/>
    <w:rsid w:val="00FD7500"/>
    <w:rsid w:val="00FE3963"/>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016/S0140-6736(15)0094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D179A-86CF-4E5A-B0B7-D2EBD3D8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3</cp:revision>
  <cp:lastPrinted>2018-02-12T14:09:00Z</cp:lastPrinted>
  <dcterms:created xsi:type="dcterms:W3CDTF">2018-02-12T14:17:00Z</dcterms:created>
  <dcterms:modified xsi:type="dcterms:W3CDTF">2018-02-12T14:18:00Z</dcterms:modified>
</cp:coreProperties>
</file>