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2">
      <w:pPr>
        <w:spacing w:line="240" w:lineRule="auto"/>
        <w:rPr>
          <w:rFonts w:ascii="Cambria" w:cs="Cambria" w:eastAsia="Cambria" w:hAnsi="Cambria"/>
          <w:b w:val="1"/>
          <w:sz w:val="24"/>
          <w:szCs w:val="24"/>
        </w:rPr>
      </w:pPr>
      <w:r w:rsidDel="00000000" w:rsidR="00000000" w:rsidRPr="00000000">
        <w:rPr>
          <w:rtl w:val="0"/>
        </w:rPr>
      </w:r>
    </w:p>
    <w:tbl>
      <w:tblPr>
        <w:tblStyle w:val="Table1"/>
        <w:tblW w:w="940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5"/>
        <w:tblGridChange w:id="0">
          <w:tblGrid>
            <w:gridCol w:w="94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shd w:fill="ffffff" w:val="clear"/>
              <w:spacing w:line="240" w:lineRule="auto"/>
              <w:ind w:left="360" w:firstLine="0"/>
              <w:rPr>
                <w:rFonts w:ascii="Calibri" w:cs="Calibri" w:eastAsia="Calibri" w:hAnsi="Calibri"/>
                <w:b w:val="1"/>
                <w:color w:val="1f497d"/>
              </w:rPr>
            </w:pPr>
            <w:r w:rsidDel="00000000" w:rsidR="00000000" w:rsidRPr="00000000">
              <w:rPr>
                <w:rtl w:val="0"/>
              </w:rPr>
            </w:r>
          </w:p>
          <w:p w:rsidR="00000000" w:rsidDel="00000000" w:rsidP="00000000" w:rsidRDefault="00000000" w:rsidRPr="00000000" w14:paraId="00000004">
            <w:pPr>
              <w:widowControl w:val="0"/>
              <w:shd w:fill="ffffff" w:val="clear"/>
              <w:spacing w:line="240" w:lineRule="auto"/>
              <w:ind w:left="36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This Framework Agreement </w:t>
            </w:r>
            <w:r w:rsidDel="00000000" w:rsidR="00000000" w:rsidRPr="00000000">
              <w:rPr>
                <w:rFonts w:ascii="Calibri" w:cs="Calibri" w:eastAsia="Calibri" w:hAnsi="Calibri"/>
                <w:b w:val="1"/>
                <w:color w:val="1f497d"/>
                <w:rtl w:val="0"/>
              </w:rPr>
              <w:t xml:space="preserve">RM6251 Supply of Energy 2 is for use by Contracting Authorities in the United Kingdom, British Overseas Territories, and Crown Dependencies that exist on 7th September 2022 and which fall into one or more of the following categories:</w:t>
            </w:r>
          </w:p>
          <w:p w:rsidR="00000000" w:rsidDel="00000000" w:rsidP="00000000" w:rsidRDefault="00000000" w:rsidRPr="00000000" w14:paraId="00000005">
            <w:pPr>
              <w:widowControl w:val="0"/>
              <w:shd w:fill="ffffff" w:val="clear"/>
              <w:spacing w:line="240" w:lineRule="auto"/>
              <w:ind w:left="72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 </w:t>
            </w:r>
          </w:p>
          <w:p w:rsidR="00000000" w:rsidDel="00000000" w:rsidP="00000000" w:rsidRDefault="00000000" w:rsidRPr="00000000" w14:paraId="00000006">
            <w:pPr>
              <w:widowControl w:val="0"/>
              <w:shd w:fill="ffffff" w:val="clear"/>
              <w:spacing w:line="240" w:lineRule="auto"/>
              <w:ind w:left="108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1.</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Any of the following:</w:t>
            </w:r>
          </w:p>
          <w:p w:rsidR="00000000" w:rsidDel="00000000" w:rsidP="00000000" w:rsidRDefault="00000000" w:rsidRPr="00000000" w14:paraId="00000007">
            <w:pPr>
              <w:widowControl w:val="0"/>
              <w:shd w:fill="ffffff" w:val="clear"/>
              <w:spacing w:line="240" w:lineRule="auto"/>
              <w:ind w:left="36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 </w:t>
            </w:r>
          </w:p>
          <w:p w:rsidR="00000000" w:rsidDel="00000000" w:rsidP="00000000" w:rsidRDefault="00000000" w:rsidRPr="00000000" w14:paraId="00000008">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(a)</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Ministerial government departments;</w:t>
            </w:r>
          </w:p>
          <w:p w:rsidR="00000000" w:rsidDel="00000000" w:rsidP="00000000" w:rsidRDefault="00000000" w:rsidRPr="00000000" w14:paraId="00000009">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(b)</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Non ministerial government departments;</w:t>
            </w:r>
          </w:p>
          <w:p w:rsidR="00000000" w:rsidDel="00000000" w:rsidP="00000000" w:rsidRDefault="00000000" w:rsidRPr="00000000" w14:paraId="0000000A">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(c)</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Executive agencies of government;</w:t>
            </w:r>
          </w:p>
          <w:p w:rsidR="00000000" w:rsidDel="00000000" w:rsidP="00000000" w:rsidRDefault="00000000" w:rsidRPr="00000000" w14:paraId="0000000B">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(d)</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Non-Departmental Public Bodies (NDPBs), including advisory NDPBs, executive NDPBs, and tribunal NDPBs;</w:t>
            </w:r>
          </w:p>
          <w:p w:rsidR="00000000" w:rsidDel="00000000" w:rsidP="00000000" w:rsidRDefault="00000000" w:rsidRPr="00000000" w14:paraId="0000000C">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(e)</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Assembly Sponsored Public Bodies (ASPBs);</w:t>
            </w:r>
          </w:p>
          <w:p w:rsidR="00000000" w:rsidDel="00000000" w:rsidP="00000000" w:rsidRDefault="00000000" w:rsidRPr="00000000" w14:paraId="0000000D">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(f)</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Police forces;</w:t>
            </w:r>
          </w:p>
          <w:p w:rsidR="00000000" w:rsidDel="00000000" w:rsidP="00000000" w:rsidRDefault="00000000" w:rsidRPr="00000000" w14:paraId="0000000E">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(g)</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Fire and rescue services;</w:t>
            </w:r>
          </w:p>
          <w:p w:rsidR="00000000" w:rsidDel="00000000" w:rsidP="00000000" w:rsidRDefault="00000000" w:rsidRPr="00000000" w14:paraId="0000000F">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(h)</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Ambulance services;</w:t>
            </w:r>
          </w:p>
          <w:p w:rsidR="00000000" w:rsidDel="00000000" w:rsidP="00000000" w:rsidRDefault="00000000" w:rsidRPr="00000000" w14:paraId="00000010">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(i)</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Maritime and coastguard agency services;</w:t>
            </w:r>
          </w:p>
          <w:p w:rsidR="00000000" w:rsidDel="00000000" w:rsidP="00000000" w:rsidRDefault="00000000" w:rsidRPr="00000000" w14:paraId="00000011">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(j)</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NHS bodies;</w:t>
            </w:r>
          </w:p>
          <w:p w:rsidR="00000000" w:rsidDel="00000000" w:rsidP="00000000" w:rsidRDefault="00000000" w:rsidRPr="00000000" w14:paraId="00000012">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(k)</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Educational bodies or establishments including state schools (nursery schools, primary schools, middle or high schools, secondary schools, special schools), academies, colleges, Pupil Referral Unit (PRU), further education colleges and universities;</w:t>
            </w:r>
          </w:p>
          <w:p w:rsidR="00000000" w:rsidDel="00000000" w:rsidP="00000000" w:rsidRDefault="00000000" w:rsidRPr="00000000" w14:paraId="00000013">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(l)</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Hospices;</w:t>
            </w:r>
          </w:p>
          <w:p w:rsidR="00000000" w:rsidDel="00000000" w:rsidP="00000000" w:rsidRDefault="00000000" w:rsidRPr="00000000" w14:paraId="00000014">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(m)</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National Parks;</w:t>
            </w:r>
          </w:p>
          <w:p w:rsidR="00000000" w:rsidDel="00000000" w:rsidP="00000000" w:rsidRDefault="00000000" w:rsidRPr="00000000" w14:paraId="00000015">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(n)</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Housing associations, including registered social landlords;</w:t>
            </w:r>
          </w:p>
          <w:p w:rsidR="00000000" w:rsidDel="00000000" w:rsidP="00000000" w:rsidRDefault="00000000" w:rsidRPr="00000000" w14:paraId="00000016">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(o)</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Third sector and charities;</w:t>
            </w:r>
          </w:p>
          <w:p w:rsidR="00000000" w:rsidDel="00000000" w:rsidP="00000000" w:rsidRDefault="00000000" w:rsidRPr="00000000" w14:paraId="00000017">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(p)</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Citizens advice bodies;</w:t>
            </w:r>
          </w:p>
          <w:p w:rsidR="00000000" w:rsidDel="00000000" w:rsidP="00000000" w:rsidRDefault="00000000" w:rsidRPr="00000000" w14:paraId="00000018">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(q)</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Councils, including county councils, district councils, county borough councils, community councils, London borough councils, unitary councils, metropolitan councils, parish councils;</w:t>
            </w:r>
          </w:p>
          <w:p w:rsidR="00000000" w:rsidDel="00000000" w:rsidP="00000000" w:rsidRDefault="00000000" w:rsidRPr="00000000" w14:paraId="00000019">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(r)</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Public corporations;</w:t>
            </w:r>
          </w:p>
          <w:p w:rsidR="00000000" w:rsidDel="00000000" w:rsidP="00000000" w:rsidRDefault="00000000" w:rsidRPr="00000000" w14:paraId="0000001A">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(s)</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Public financial bodies or institutions;</w:t>
            </w:r>
          </w:p>
          <w:p w:rsidR="00000000" w:rsidDel="00000000" w:rsidP="00000000" w:rsidRDefault="00000000" w:rsidRPr="00000000" w14:paraId="0000001B">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(t)</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Public pension funds;</w:t>
            </w:r>
          </w:p>
          <w:p w:rsidR="00000000" w:rsidDel="00000000" w:rsidP="00000000" w:rsidRDefault="00000000" w:rsidRPr="00000000" w14:paraId="0000001C">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(u)</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Central banks; and</w:t>
            </w:r>
          </w:p>
          <w:p w:rsidR="00000000" w:rsidDel="00000000" w:rsidP="00000000" w:rsidRDefault="00000000" w:rsidRPr="00000000" w14:paraId="0000001D">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(v)</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Civil service bodies, including public sector buying organisations.</w:t>
            </w:r>
          </w:p>
          <w:p w:rsidR="00000000" w:rsidDel="00000000" w:rsidP="00000000" w:rsidRDefault="00000000" w:rsidRPr="00000000" w14:paraId="0000001E">
            <w:pPr>
              <w:widowControl w:val="0"/>
              <w:shd w:fill="ffffff" w:val="clear"/>
              <w:spacing w:line="240" w:lineRule="auto"/>
              <w:ind w:left="36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 </w:t>
            </w:r>
          </w:p>
          <w:p w:rsidR="00000000" w:rsidDel="00000000" w:rsidP="00000000" w:rsidRDefault="00000000" w:rsidRPr="00000000" w14:paraId="0000001F">
            <w:pPr>
              <w:widowControl w:val="0"/>
              <w:shd w:fill="ffffff" w:val="clear"/>
              <w:spacing w:line="240" w:lineRule="auto"/>
              <w:ind w:left="108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2.</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Those listed and maintained by the Government on their website at </w:t>
            </w:r>
            <w:hyperlink r:id="rId7">
              <w:r w:rsidDel="00000000" w:rsidR="00000000" w:rsidRPr="00000000">
                <w:rPr>
                  <w:rFonts w:ascii="Calibri" w:cs="Calibri" w:eastAsia="Calibri" w:hAnsi="Calibri"/>
                  <w:b w:val="1"/>
                  <w:color w:val="1155cc"/>
                  <w:u w:val="single"/>
                  <w:rtl w:val="0"/>
                </w:rPr>
                <w:t xml:space="preserve">https://www.gov.uk/government/organisations</w:t>
              </w:r>
            </w:hyperlink>
            <w:r w:rsidDel="00000000" w:rsidR="00000000" w:rsidRPr="00000000">
              <w:rPr>
                <w:rFonts w:ascii="Calibri" w:cs="Calibri" w:eastAsia="Calibri" w:hAnsi="Calibri"/>
                <w:b w:val="1"/>
                <w:color w:val="1f497d"/>
                <w:rtl w:val="0"/>
              </w:rPr>
              <w:t xml:space="preserve"> or any replacement or updated web-link.</w:t>
            </w:r>
          </w:p>
          <w:p w:rsidR="00000000" w:rsidDel="00000000" w:rsidP="00000000" w:rsidRDefault="00000000" w:rsidRPr="00000000" w14:paraId="00000020">
            <w:pPr>
              <w:widowControl w:val="0"/>
              <w:shd w:fill="ffffff" w:val="clear"/>
              <w:spacing w:line="240" w:lineRule="auto"/>
              <w:ind w:left="108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 </w:t>
            </w:r>
          </w:p>
          <w:p w:rsidR="00000000" w:rsidDel="00000000" w:rsidP="00000000" w:rsidRDefault="00000000" w:rsidRPr="00000000" w14:paraId="00000021">
            <w:pPr>
              <w:widowControl w:val="0"/>
              <w:shd w:fill="ffffff" w:val="clear"/>
              <w:spacing w:line="240" w:lineRule="auto"/>
              <w:ind w:left="108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3.</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Those listed and maintained by the Office of National Statistics (ONS) at </w:t>
            </w:r>
            <w:hyperlink r:id="rId8">
              <w:r w:rsidDel="00000000" w:rsidR="00000000" w:rsidRPr="00000000">
                <w:rPr>
                  <w:rFonts w:ascii="Calibri" w:cs="Calibri" w:eastAsia="Calibri" w:hAnsi="Calibri"/>
                  <w:b w:val="1"/>
                  <w:color w:val="1155cc"/>
                  <w:u w:val="single"/>
                  <w:rtl w:val="0"/>
                </w:rPr>
                <w:t xml:space="preserve">https://www.ons.gov.uk/economy/nationalaccounts/uksectoraccounts/datasets/publicsectorclassificationguide</w:t>
              </w:r>
            </w:hyperlink>
            <w:r w:rsidDel="00000000" w:rsidR="00000000" w:rsidRPr="00000000">
              <w:rPr>
                <w:rFonts w:ascii="Calibri" w:cs="Calibri" w:eastAsia="Calibri" w:hAnsi="Calibri"/>
                <w:b w:val="1"/>
                <w:color w:val="1f497d"/>
                <w:rtl w:val="0"/>
              </w:rPr>
              <w:t xml:space="preserve"> or any replacement or updated web-link.</w:t>
            </w:r>
          </w:p>
          <w:p w:rsidR="00000000" w:rsidDel="00000000" w:rsidP="00000000" w:rsidRDefault="00000000" w:rsidRPr="00000000" w14:paraId="00000022">
            <w:pPr>
              <w:widowControl w:val="0"/>
              <w:shd w:fill="ffffff" w:val="clear"/>
              <w:spacing w:line="240" w:lineRule="auto"/>
              <w:ind w:left="108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 </w:t>
            </w:r>
          </w:p>
          <w:p w:rsidR="00000000" w:rsidDel="00000000" w:rsidP="00000000" w:rsidRDefault="00000000" w:rsidRPr="00000000" w14:paraId="00000023">
            <w:pPr>
              <w:widowControl w:val="0"/>
              <w:shd w:fill="ffffff" w:val="clear"/>
              <w:spacing w:line="240" w:lineRule="auto"/>
              <w:ind w:left="108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4.</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Those bodies in England, Wales or Northern Ireland which are within the scope of  the definition of “Contracting Authority” in regulation 2(1) of the Public Contracts Regulations 2015 (PCR) and/or Schedule 1 PCR.</w:t>
            </w:r>
          </w:p>
          <w:p w:rsidR="00000000" w:rsidDel="00000000" w:rsidP="00000000" w:rsidRDefault="00000000" w:rsidRPr="00000000" w14:paraId="00000024">
            <w:pPr>
              <w:widowControl w:val="0"/>
              <w:shd w:fill="ffffff" w:val="clear"/>
              <w:spacing w:line="240" w:lineRule="auto"/>
              <w:ind w:left="108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 </w:t>
            </w:r>
          </w:p>
          <w:p w:rsidR="00000000" w:rsidDel="00000000" w:rsidP="00000000" w:rsidRDefault="00000000" w:rsidRPr="00000000" w14:paraId="00000025">
            <w:pPr>
              <w:widowControl w:val="0"/>
              <w:shd w:fill="ffffff" w:val="clear"/>
              <w:spacing w:line="240" w:lineRule="auto"/>
              <w:ind w:left="1440" w:firstLine="0"/>
              <w:rPr>
                <w:rFonts w:ascii="Calibri" w:cs="Calibri" w:eastAsia="Calibri" w:hAnsi="Calibri"/>
                <w:b w:val="1"/>
                <w:color w:val="1f497d"/>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1440" w:firstLine="0"/>
              <w:rPr>
                <w:rFonts w:ascii="Calibri" w:cs="Calibri" w:eastAsia="Calibri" w:hAnsi="Calibri"/>
                <w:b w:val="1"/>
                <w:color w:val="1f497d"/>
                <w:sz w:val="24"/>
                <w:szCs w:val="24"/>
              </w:rPr>
            </w:pPr>
            <w:r w:rsidDel="00000000" w:rsidR="00000000" w:rsidRPr="00000000">
              <w:rPr>
                <w:rtl w:val="0"/>
              </w:rPr>
            </w:r>
          </w:p>
        </w:tc>
      </w:tr>
    </w:tbl>
    <w:p w:rsidR="00000000" w:rsidDel="00000000" w:rsidP="00000000" w:rsidRDefault="00000000" w:rsidRPr="00000000" w14:paraId="00000027">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8">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color w:val="444444"/>
          <w:highlight w:val="white"/>
        </w:rPr>
      </w:pPr>
      <w:r w:rsidDel="00000000" w:rsidR="00000000" w:rsidRPr="00000000">
        <w:rPr>
          <w:rtl w:val="0"/>
        </w:rPr>
      </w:r>
    </w:p>
    <w:sectPr>
      <w:headerReference r:id="rId9" w:type="default"/>
      <w:footerReference r:id="rId10"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color w:val="666666"/>
      </w:rPr>
    </w:pPr>
    <w:r w:rsidDel="00000000" w:rsidR="00000000" w:rsidRPr="00000000">
      <w:rPr>
        <w:color w:val="666666"/>
        <w:rtl w:val="0"/>
      </w:rPr>
      <w:t xml:space="preserve">Version FINAL 2.1</w:t>
    </w:r>
  </w:p>
  <w:p w:rsidR="00000000" w:rsidDel="00000000" w:rsidP="00000000" w:rsidRDefault="00000000" w:rsidRPr="00000000" w14:paraId="0000002D">
    <w:pPr>
      <w:rPr>
        <w:color w:val="666666"/>
      </w:rPr>
    </w:pPr>
    <w:r w:rsidDel="00000000" w:rsidR="00000000" w:rsidRPr="00000000">
      <w:rPr>
        <w:color w:val="666666"/>
        <w:rtl w:val="0"/>
      </w:rPr>
      <w:t xml:space="preserve">11</w:t>
    </w:r>
    <w:r w:rsidDel="00000000" w:rsidR="00000000" w:rsidRPr="00000000">
      <w:rPr>
        <w:color w:val="666666"/>
        <w:vertAlign w:val="superscript"/>
        <w:rtl w:val="0"/>
      </w:rPr>
      <w:t xml:space="preserve">th</w:t>
    </w:r>
    <w:r w:rsidDel="00000000" w:rsidR="00000000" w:rsidRPr="00000000">
      <w:rPr>
        <w:color w:val="666666"/>
        <w:rtl w:val="0"/>
      </w:rPr>
      <w:t xml:space="preserve"> December 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tabs>
        <w:tab w:val="center" w:pos="4320"/>
        <w:tab w:val="right" w:pos="8640"/>
      </w:tabs>
      <w:spacing w:before="708" w:line="240" w:lineRule="auto"/>
      <w:rPr>
        <w:rFonts w:ascii="Cambria" w:cs="Cambria" w:eastAsia="Cambria" w:hAnsi="Cambria"/>
        <w:color w:val="666666"/>
        <w:sz w:val="24"/>
        <w:szCs w:val="24"/>
      </w:rPr>
    </w:pPr>
    <w:r w:rsidDel="00000000" w:rsidR="00000000" w:rsidRPr="00000000">
      <w:rPr>
        <w:rFonts w:ascii="Cambria" w:cs="Cambria" w:eastAsia="Cambria" w:hAnsi="Cambria"/>
        <w:b w:val="1"/>
        <w:color w:val="666666"/>
        <w:sz w:val="24"/>
        <w:szCs w:val="24"/>
        <w:rtl w:val="0"/>
      </w:rPr>
      <w:t xml:space="preserve">CCS COMMERCIAL PRACTICE NOTE: NOTICE SCOPE </w:t>
    </w:r>
    <w:r w:rsidDel="00000000" w:rsidR="00000000" w:rsidRPr="00000000">
      <w:rPr>
        <w:rFonts w:ascii="Cambria" w:cs="Cambria" w:eastAsia="Cambria" w:hAnsi="Cambria"/>
        <w:color w:val="666666"/>
        <w:sz w:val="24"/>
        <w:szCs w:val="24"/>
        <w:rtl w:val="0"/>
      </w:rPr>
      <w:t xml:space="preserve"> </w:t>
    </w:r>
  </w:p>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6B3526"/>
    <w:pPr>
      <w:spacing w:after="100" w:afterAutospacing="1" w:before="100" w:beforeAutospacing="1" w:line="240" w:lineRule="auto"/>
    </w:pPr>
    <w:rPr>
      <w:rFonts w:ascii="Times New Roman" w:cs="Times New Roman" w:hAnsi="Times New Roman" w:eastAsiaTheme="minorHAnsi"/>
      <w:sz w:val="24"/>
      <w:szCs w:val="24"/>
    </w:rPr>
  </w:style>
  <w:style w:type="character" w:styleId="CommentReference">
    <w:name w:val="annotation reference"/>
    <w:basedOn w:val="DefaultParagraphFont"/>
    <w:uiPriority w:val="99"/>
    <w:semiHidden w:val="1"/>
    <w:unhideWhenUsed w:val="1"/>
    <w:rsid w:val="006B3526"/>
    <w:rPr>
      <w:sz w:val="16"/>
      <w:szCs w:val="16"/>
    </w:rPr>
  </w:style>
  <w:style w:type="paragraph" w:styleId="CommentText">
    <w:name w:val="annotation text"/>
    <w:basedOn w:val="Normal"/>
    <w:link w:val="CommentTextChar"/>
    <w:uiPriority w:val="99"/>
    <w:semiHidden w:val="1"/>
    <w:unhideWhenUsed w:val="1"/>
    <w:rsid w:val="006B3526"/>
    <w:pPr>
      <w:spacing w:line="240" w:lineRule="auto"/>
    </w:pPr>
    <w:rPr>
      <w:sz w:val="20"/>
      <w:szCs w:val="20"/>
    </w:rPr>
  </w:style>
  <w:style w:type="character" w:styleId="CommentTextChar" w:customStyle="1">
    <w:name w:val="Comment Text Char"/>
    <w:basedOn w:val="DefaultParagraphFont"/>
    <w:link w:val="CommentText"/>
    <w:uiPriority w:val="99"/>
    <w:semiHidden w:val="1"/>
    <w:rsid w:val="006B3526"/>
    <w:rPr>
      <w:sz w:val="20"/>
      <w:szCs w:val="20"/>
    </w:rPr>
  </w:style>
  <w:style w:type="paragraph" w:styleId="CommentSubject">
    <w:name w:val="annotation subject"/>
    <w:basedOn w:val="CommentText"/>
    <w:next w:val="CommentText"/>
    <w:link w:val="CommentSubjectChar"/>
    <w:uiPriority w:val="99"/>
    <w:semiHidden w:val="1"/>
    <w:unhideWhenUsed w:val="1"/>
    <w:rsid w:val="006B3526"/>
    <w:rPr>
      <w:b w:val="1"/>
      <w:bCs w:val="1"/>
    </w:rPr>
  </w:style>
  <w:style w:type="character" w:styleId="CommentSubjectChar" w:customStyle="1">
    <w:name w:val="Comment Subject Char"/>
    <w:basedOn w:val="CommentTextChar"/>
    <w:link w:val="CommentSubject"/>
    <w:uiPriority w:val="99"/>
    <w:semiHidden w:val="1"/>
    <w:rsid w:val="006B3526"/>
    <w:rPr>
      <w:b w:val="1"/>
      <w:bCs w:val="1"/>
      <w:sz w:val="20"/>
      <w:szCs w:val="20"/>
    </w:rPr>
  </w:style>
  <w:style w:type="paragraph" w:styleId="BalloonText">
    <w:name w:val="Balloon Text"/>
    <w:basedOn w:val="Normal"/>
    <w:link w:val="BalloonTextChar"/>
    <w:uiPriority w:val="99"/>
    <w:semiHidden w:val="1"/>
    <w:unhideWhenUsed w:val="1"/>
    <w:rsid w:val="006B352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B3526"/>
    <w:rPr>
      <w:rFonts w:ascii="Segoe UI" w:cs="Segoe UI" w:hAnsi="Segoe UI"/>
      <w:sz w:val="18"/>
      <w:szCs w:val="18"/>
    </w:rPr>
  </w:style>
  <w:style w:type="character" w:styleId="Hyperlink">
    <w:name w:val="Hyperlink"/>
    <w:basedOn w:val="DefaultParagraphFont"/>
    <w:uiPriority w:val="99"/>
    <w:semiHidden w:val="1"/>
    <w:unhideWhenUsed w:val="1"/>
    <w:rsid w:val="002751F1"/>
    <w:rPr>
      <w:color w:val="0000ff"/>
      <w:u w:val="single"/>
    </w:rPr>
  </w:style>
  <w:style w:type="character" w:styleId="FollowedHyperlink">
    <w:name w:val="FollowedHyperlink"/>
    <w:basedOn w:val="DefaultParagraphFont"/>
    <w:uiPriority w:val="99"/>
    <w:semiHidden w:val="1"/>
    <w:unhideWhenUsed w:val="1"/>
    <w:rsid w:val="002751F1"/>
    <w:rPr>
      <w:color w:val="800080" w:themeColor="followedHyperlink"/>
      <w:u w:val="single"/>
    </w:rPr>
  </w:style>
  <w:style w:type="paragraph" w:styleId="Header">
    <w:name w:val="header"/>
    <w:basedOn w:val="Normal"/>
    <w:link w:val="HeaderChar"/>
    <w:uiPriority w:val="99"/>
    <w:unhideWhenUsed w:val="1"/>
    <w:rsid w:val="00320505"/>
    <w:pPr>
      <w:tabs>
        <w:tab w:val="center" w:pos="4513"/>
        <w:tab w:val="right" w:pos="9026"/>
      </w:tabs>
      <w:spacing w:line="240" w:lineRule="auto"/>
    </w:pPr>
  </w:style>
  <w:style w:type="character" w:styleId="HeaderChar" w:customStyle="1">
    <w:name w:val="Header Char"/>
    <w:basedOn w:val="DefaultParagraphFont"/>
    <w:link w:val="Header"/>
    <w:uiPriority w:val="99"/>
    <w:rsid w:val="00320505"/>
  </w:style>
  <w:style w:type="paragraph" w:styleId="Footer">
    <w:name w:val="footer"/>
    <w:basedOn w:val="Normal"/>
    <w:link w:val="FooterChar"/>
    <w:uiPriority w:val="99"/>
    <w:unhideWhenUsed w:val="1"/>
    <w:rsid w:val="00320505"/>
    <w:pPr>
      <w:tabs>
        <w:tab w:val="center" w:pos="4513"/>
        <w:tab w:val="right" w:pos="9026"/>
      </w:tabs>
      <w:spacing w:line="240" w:lineRule="auto"/>
    </w:pPr>
  </w:style>
  <w:style w:type="character" w:styleId="FooterChar" w:customStyle="1">
    <w:name w:val="Footer Char"/>
    <w:basedOn w:val="DefaultParagraphFont"/>
    <w:link w:val="Footer"/>
    <w:uiPriority w:val="99"/>
    <w:rsid w:val="00320505"/>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organisations" TargetMode="External"/><Relationship Id="rId8" Type="http://schemas.openxmlformats.org/officeDocument/2006/relationships/hyperlink" Target="https://www.ons.gov.uk/economy/nationalaccounts/uksectoraccounts/datasets/publicsectorclassifica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9PQqr25gyUP4oWoTtdSvW44wg==">AMUW2mVlegUwWoU3rUGQIRgec/VJjUg/AcEC12p8j+zrhkccmQq3jz1MFPwVjcMz2lL56njUYxpp6hMrx9XLcXrmYWyvz0TR0Lgx/8LOieJITAadqkykqT4=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2020-12-14T13:04:00Z</dcterms:created>
  <dc:creator>Ashutosh Paul</dc:creator>
</cp:coreProperties>
</file>