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9C16" w14:textId="77777777" w:rsidR="002978EA" w:rsidRDefault="002978EA" w:rsidP="00540BB6">
      <w:pPr>
        <w:rPr>
          <w:b/>
          <w:sz w:val="36"/>
          <w:szCs w:val="12"/>
        </w:rPr>
      </w:pPr>
    </w:p>
    <w:p w14:paraId="126B3A10" w14:textId="34588B62" w:rsidR="00C34B35" w:rsidRPr="00540BB6" w:rsidRDefault="002978EA" w:rsidP="00540BB6">
      <w:pPr>
        <w:rPr>
          <w:b/>
          <w:sz w:val="36"/>
          <w:szCs w:val="12"/>
        </w:rPr>
      </w:pPr>
      <w:r>
        <w:rPr>
          <w:b/>
          <w:sz w:val="36"/>
          <w:szCs w:val="12"/>
        </w:rPr>
        <w:t xml:space="preserve">Soft </w:t>
      </w:r>
      <w:r w:rsidR="00C34B35" w:rsidRPr="00540BB6">
        <w:rPr>
          <w:b/>
          <w:sz w:val="36"/>
          <w:szCs w:val="12"/>
        </w:rPr>
        <w:t>Market Engagement</w:t>
      </w:r>
      <w:r>
        <w:rPr>
          <w:b/>
          <w:sz w:val="36"/>
          <w:szCs w:val="12"/>
        </w:rPr>
        <w:t xml:space="preserve"> </w:t>
      </w:r>
      <w:r w:rsidR="00245F6A">
        <w:rPr>
          <w:b/>
          <w:sz w:val="36"/>
          <w:szCs w:val="12"/>
        </w:rPr>
        <w:t>–</w:t>
      </w:r>
      <w:r>
        <w:rPr>
          <w:b/>
          <w:sz w:val="36"/>
          <w:szCs w:val="12"/>
        </w:rPr>
        <w:t xml:space="preserve"> </w:t>
      </w:r>
      <w:r w:rsidR="00245F6A">
        <w:rPr>
          <w:b/>
          <w:sz w:val="36"/>
          <w:szCs w:val="12"/>
        </w:rPr>
        <w:t>Textile Reuse/</w:t>
      </w:r>
      <w:r w:rsidR="00C34B35" w:rsidRPr="00540BB6">
        <w:rPr>
          <w:b/>
          <w:sz w:val="36"/>
          <w:szCs w:val="12"/>
        </w:rPr>
        <w:t>Recycling</w:t>
      </w:r>
      <w:r w:rsidR="00414C53" w:rsidRPr="00540BB6">
        <w:rPr>
          <w:b/>
          <w:sz w:val="36"/>
          <w:szCs w:val="12"/>
        </w:rPr>
        <w:t xml:space="preserve"> Services</w:t>
      </w:r>
    </w:p>
    <w:p w14:paraId="369F3BC6" w14:textId="6B9D8AF9" w:rsidR="00C34B35" w:rsidRDefault="00C34B35" w:rsidP="00C34B35">
      <w:pPr>
        <w:jc w:val="center"/>
        <w:rPr>
          <w:szCs w:val="20"/>
        </w:rPr>
      </w:pPr>
    </w:p>
    <w:p w14:paraId="15E95C09" w14:textId="77777777" w:rsidR="00540BB6" w:rsidRPr="00540BB6" w:rsidRDefault="00540BB6" w:rsidP="00C34B35">
      <w:pPr>
        <w:jc w:val="center"/>
        <w:rPr>
          <w:szCs w:val="20"/>
        </w:rPr>
      </w:pPr>
    </w:p>
    <w:p w14:paraId="3A3A1E02" w14:textId="09891955" w:rsidR="00965711" w:rsidRPr="00540BB6" w:rsidRDefault="00965711" w:rsidP="00540BB6">
      <w:pPr>
        <w:spacing w:after="200" w:line="276" w:lineRule="auto"/>
        <w:rPr>
          <w:szCs w:val="28"/>
        </w:rPr>
      </w:pPr>
      <w:r w:rsidRPr="00540BB6">
        <w:rPr>
          <w:b/>
          <w:bCs/>
          <w:sz w:val="24"/>
        </w:rPr>
        <w:t>Introduction</w:t>
      </w:r>
    </w:p>
    <w:p w14:paraId="368DEFA9" w14:textId="4D53BE97" w:rsidR="00DE5246" w:rsidRPr="00540BB6" w:rsidRDefault="00DE5246" w:rsidP="00C34B35">
      <w:pPr>
        <w:rPr>
          <w:sz w:val="24"/>
        </w:rPr>
      </w:pPr>
      <w:r w:rsidRPr="00540BB6">
        <w:rPr>
          <w:sz w:val="24"/>
        </w:rPr>
        <w:t xml:space="preserve">West Northamptonshire Council is a unitary authority formed in 2021 from the former </w:t>
      </w:r>
      <w:r w:rsidR="00F007D5">
        <w:rPr>
          <w:sz w:val="24"/>
        </w:rPr>
        <w:t xml:space="preserve">Councils </w:t>
      </w:r>
      <w:r w:rsidRPr="00540BB6">
        <w:rPr>
          <w:sz w:val="24"/>
        </w:rPr>
        <w:t>of Daventry District Council, Northampton Borough Council</w:t>
      </w:r>
      <w:r w:rsidR="00F007D5">
        <w:rPr>
          <w:sz w:val="24"/>
        </w:rPr>
        <w:t xml:space="preserve">, </w:t>
      </w:r>
      <w:r w:rsidRPr="00540BB6">
        <w:rPr>
          <w:sz w:val="24"/>
        </w:rPr>
        <w:t>South Northamptonshire Council</w:t>
      </w:r>
      <w:r w:rsidR="00F007D5">
        <w:rPr>
          <w:sz w:val="24"/>
        </w:rPr>
        <w:t xml:space="preserve"> and Northamptonshire County Council.</w:t>
      </w:r>
      <w:r w:rsidRPr="00540BB6">
        <w:rPr>
          <w:sz w:val="24"/>
        </w:rPr>
        <w:t xml:space="preserve"> </w:t>
      </w:r>
    </w:p>
    <w:p w14:paraId="38E20F93" w14:textId="537C4268" w:rsidR="00DE5246" w:rsidRPr="00540BB6" w:rsidRDefault="00DE5246" w:rsidP="00C34B35">
      <w:pPr>
        <w:rPr>
          <w:sz w:val="24"/>
        </w:rPr>
      </w:pPr>
    </w:p>
    <w:p w14:paraId="638311C9" w14:textId="364E45B4" w:rsidR="00965711" w:rsidRPr="00540BB6" w:rsidRDefault="00965711" w:rsidP="00C34B35">
      <w:pPr>
        <w:rPr>
          <w:sz w:val="24"/>
        </w:rPr>
      </w:pPr>
    </w:p>
    <w:p w14:paraId="73D4E3A1" w14:textId="10E96BE5" w:rsidR="00965711" w:rsidRPr="00540BB6" w:rsidRDefault="00965711" w:rsidP="00C34B35">
      <w:pPr>
        <w:rPr>
          <w:b/>
          <w:bCs/>
          <w:sz w:val="24"/>
        </w:rPr>
      </w:pPr>
      <w:r w:rsidRPr="00540BB6">
        <w:rPr>
          <w:b/>
          <w:bCs/>
          <w:sz w:val="24"/>
        </w:rPr>
        <w:t>Background</w:t>
      </w:r>
    </w:p>
    <w:p w14:paraId="3A57A83D" w14:textId="4FDDEEB2" w:rsidR="00DE5246" w:rsidRPr="00540BB6" w:rsidRDefault="00DE5246" w:rsidP="00C34B35">
      <w:pPr>
        <w:rPr>
          <w:sz w:val="24"/>
        </w:rPr>
      </w:pPr>
    </w:p>
    <w:p w14:paraId="7B5461F3" w14:textId="57B07722" w:rsidR="00DE5246" w:rsidRPr="00540BB6" w:rsidRDefault="00DE5246" w:rsidP="00C34B35">
      <w:pPr>
        <w:rPr>
          <w:sz w:val="24"/>
        </w:rPr>
      </w:pPr>
      <w:r w:rsidRPr="00540BB6">
        <w:rPr>
          <w:sz w:val="24"/>
        </w:rPr>
        <w:t xml:space="preserve">The former Daventry District Council area has </w:t>
      </w:r>
      <w:r w:rsidRPr="00BA5552">
        <w:rPr>
          <w:sz w:val="24"/>
        </w:rPr>
        <w:t>3</w:t>
      </w:r>
      <w:r w:rsidR="00BA5552" w:rsidRPr="00BA5552">
        <w:rPr>
          <w:sz w:val="24"/>
        </w:rPr>
        <w:t>8</w:t>
      </w:r>
      <w:r w:rsidRPr="00BA5552">
        <w:rPr>
          <w:sz w:val="24"/>
        </w:rPr>
        <w:t>,000</w:t>
      </w:r>
      <w:r w:rsidRPr="00540BB6">
        <w:rPr>
          <w:sz w:val="24"/>
        </w:rPr>
        <w:t xml:space="preserve"> households</w:t>
      </w:r>
      <w:r w:rsidR="00245F6A">
        <w:rPr>
          <w:sz w:val="24"/>
        </w:rPr>
        <w:t>, t</w:t>
      </w:r>
      <w:r w:rsidR="00965711" w:rsidRPr="00540BB6">
        <w:rPr>
          <w:sz w:val="24"/>
        </w:rPr>
        <w:t xml:space="preserve">he former South Northamptonshire Council area has 42,000 households </w:t>
      </w:r>
      <w:r w:rsidR="00245F6A">
        <w:rPr>
          <w:sz w:val="24"/>
        </w:rPr>
        <w:t>and the former Northampton Borough Council area has 1</w:t>
      </w:r>
      <w:r w:rsidR="00B0425E">
        <w:rPr>
          <w:sz w:val="24"/>
        </w:rPr>
        <w:t>01</w:t>
      </w:r>
      <w:r w:rsidR="00245F6A">
        <w:rPr>
          <w:sz w:val="24"/>
        </w:rPr>
        <w:t>,000 households.</w:t>
      </w:r>
    </w:p>
    <w:p w14:paraId="71A44704" w14:textId="46455E5D" w:rsidR="00FA1327" w:rsidRPr="00540BB6" w:rsidRDefault="00FA1327" w:rsidP="00C34B35">
      <w:pPr>
        <w:rPr>
          <w:sz w:val="24"/>
        </w:rPr>
      </w:pPr>
    </w:p>
    <w:p w14:paraId="73079D97" w14:textId="7C5865EC" w:rsidR="00B94F71" w:rsidRDefault="007433AE" w:rsidP="004728EC">
      <w:pPr>
        <w:rPr>
          <w:sz w:val="24"/>
        </w:rPr>
      </w:pPr>
      <w:r>
        <w:rPr>
          <w:sz w:val="24"/>
        </w:rPr>
        <w:t>The Authority is</w:t>
      </w:r>
      <w:r w:rsidR="00FA1327" w:rsidRPr="00540BB6">
        <w:rPr>
          <w:sz w:val="24"/>
        </w:rPr>
        <w:t xml:space="preserve"> seeking a contract for the</w:t>
      </w:r>
      <w:r w:rsidR="00245F6A">
        <w:rPr>
          <w:sz w:val="24"/>
        </w:rPr>
        <w:t xml:space="preserve"> collection</w:t>
      </w:r>
      <w:r w:rsidR="00B0425E">
        <w:rPr>
          <w:sz w:val="24"/>
        </w:rPr>
        <w:t xml:space="preserve"> from households</w:t>
      </w:r>
      <w:r w:rsidR="00245F6A">
        <w:rPr>
          <w:sz w:val="24"/>
        </w:rPr>
        <w:t xml:space="preserve">, </w:t>
      </w:r>
      <w:r w:rsidR="00FA1327" w:rsidRPr="00540BB6">
        <w:rPr>
          <w:sz w:val="24"/>
        </w:rPr>
        <w:t>transport, sorting</w:t>
      </w:r>
      <w:r w:rsidR="00B0425E">
        <w:rPr>
          <w:sz w:val="24"/>
        </w:rPr>
        <w:t>/</w:t>
      </w:r>
      <w:r w:rsidR="00663B91" w:rsidRPr="00540BB6">
        <w:rPr>
          <w:sz w:val="24"/>
        </w:rPr>
        <w:t>processing,</w:t>
      </w:r>
      <w:r w:rsidR="00B0425E">
        <w:rPr>
          <w:sz w:val="24"/>
        </w:rPr>
        <w:t xml:space="preserve"> and sale</w:t>
      </w:r>
      <w:r w:rsidR="00FA1327" w:rsidRPr="00540BB6">
        <w:rPr>
          <w:sz w:val="24"/>
        </w:rPr>
        <w:t xml:space="preserve"> of </w:t>
      </w:r>
      <w:r w:rsidR="00B0425E">
        <w:rPr>
          <w:sz w:val="24"/>
        </w:rPr>
        <w:t>textiles from across the whole West Northamptonshire Council area</w:t>
      </w:r>
      <w:r w:rsidR="00B94F71">
        <w:rPr>
          <w:sz w:val="24"/>
        </w:rPr>
        <w:t>.</w:t>
      </w:r>
    </w:p>
    <w:p w14:paraId="52290606" w14:textId="77777777" w:rsidR="00B94F71" w:rsidRDefault="00B94F71" w:rsidP="004728EC">
      <w:pPr>
        <w:rPr>
          <w:sz w:val="24"/>
        </w:rPr>
      </w:pPr>
    </w:p>
    <w:p w14:paraId="1BFD6087" w14:textId="49E93120" w:rsidR="004728EC" w:rsidRPr="001A4C49" w:rsidRDefault="00B17304" w:rsidP="004728EC">
      <w:pPr>
        <w:rPr>
          <w:color w:val="auto"/>
          <w:sz w:val="24"/>
        </w:rPr>
      </w:pPr>
      <w:r w:rsidRPr="001A4C49">
        <w:rPr>
          <w:color w:val="auto"/>
          <w:sz w:val="24"/>
        </w:rPr>
        <w:t>The Authority</w:t>
      </w:r>
      <w:r w:rsidR="00A65E34" w:rsidRPr="001A4C49">
        <w:rPr>
          <w:color w:val="auto"/>
          <w:sz w:val="24"/>
        </w:rPr>
        <w:t xml:space="preserve"> expect</w:t>
      </w:r>
      <w:r w:rsidRPr="001A4C49">
        <w:rPr>
          <w:color w:val="auto"/>
          <w:sz w:val="24"/>
        </w:rPr>
        <w:t>s</w:t>
      </w:r>
      <w:r w:rsidR="00A65E34" w:rsidRPr="001A4C49">
        <w:rPr>
          <w:color w:val="auto"/>
          <w:sz w:val="24"/>
        </w:rPr>
        <w:t xml:space="preserve"> t</w:t>
      </w:r>
      <w:r w:rsidRPr="001A4C49">
        <w:rPr>
          <w:color w:val="auto"/>
          <w:sz w:val="24"/>
        </w:rPr>
        <w:t>his</w:t>
      </w:r>
      <w:r w:rsidR="00B94F71" w:rsidRPr="001A4C49">
        <w:rPr>
          <w:color w:val="auto"/>
          <w:sz w:val="24"/>
        </w:rPr>
        <w:t xml:space="preserve"> </w:t>
      </w:r>
      <w:r w:rsidR="00A65E34" w:rsidRPr="001A4C49">
        <w:rPr>
          <w:color w:val="auto"/>
          <w:sz w:val="24"/>
        </w:rPr>
        <w:t>to be</w:t>
      </w:r>
      <w:r w:rsidR="00DF232B" w:rsidRPr="001A4C49">
        <w:rPr>
          <w:color w:val="auto"/>
          <w:sz w:val="24"/>
        </w:rPr>
        <w:t xml:space="preserve"> a</w:t>
      </w:r>
      <w:r w:rsidR="004728EC" w:rsidRPr="001A4C49">
        <w:rPr>
          <w:color w:val="auto"/>
          <w:sz w:val="24"/>
        </w:rPr>
        <w:t xml:space="preserve"> concession based contrac</w:t>
      </w:r>
      <w:r w:rsidR="00896D82" w:rsidRPr="001A4C49">
        <w:rPr>
          <w:color w:val="auto"/>
          <w:sz w:val="24"/>
        </w:rPr>
        <w:t>t</w:t>
      </w:r>
      <w:r w:rsidR="003F17CB" w:rsidRPr="001A4C49">
        <w:rPr>
          <w:color w:val="auto"/>
          <w:sz w:val="24"/>
        </w:rPr>
        <w:t xml:space="preserve"> and </w:t>
      </w:r>
      <w:r w:rsidR="00D00108" w:rsidRPr="001A4C49">
        <w:rPr>
          <w:color w:val="auto"/>
          <w:sz w:val="24"/>
        </w:rPr>
        <w:t>will be</w:t>
      </w:r>
      <w:r w:rsidR="00410675" w:rsidRPr="001A4C49">
        <w:rPr>
          <w:color w:val="auto"/>
          <w:sz w:val="24"/>
        </w:rPr>
        <w:t xml:space="preserve"> confirmed following the soft market engagement</w:t>
      </w:r>
      <w:r w:rsidR="007D7A03" w:rsidRPr="001A4C49">
        <w:rPr>
          <w:color w:val="auto"/>
          <w:sz w:val="24"/>
        </w:rPr>
        <w:t xml:space="preserve"> prior to</w:t>
      </w:r>
      <w:r w:rsidR="00C114B2" w:rsidRPr="001A4C49">
        <w:rPr>
          <w:color w:val="auto"/>
          <w:sz w:val="24"/>
        </w:rPr>
        <w:t xml:space="preserve"> the</w:t>
      </w:r>
      <w:r w:rsidR="007D7A03" w:rsidRPr="001A4C49">
        <w:rPr>
          <w:color w:val="auto"/>
          <w:sz w:val="24"/>
        </w:rPr>
        <w:t xml:space="preserve"> tender publication</w:t>
      </w:r>
      <w:r w:rsidR="00896D82" w:rsidRPr="001A4C49">
        <w:rPr>
          <w:color w:val="auto"/>
          <w:sz w:val="24"/>
        </w:rPr>
        <w:t>. N</w:t>
      </w:r>
      <w:r w:rsidR="00E145B2" w:rsidRPr="001A4C49">
        <w:rPr>
          <w:color w:val="auto"/>
          <w:sz w:val="24"/>
        </w:rPr>
        <w:t>o payment</w:t>
      </w:r>
      <w:r w:rsidR="004F762F" w:rsidRPr="001A4C49">
        <w:rPr>
          <w:color w:val="auto"/>
          <w:sz w:val="24"/>
        </w:rPr>
        <w:t xml:space="preserve"> </w:t>
      </w:r>
      <w:r w:rsidR="00896D82" w:rsidRPr="001A4C49">
        <w:rPr>
          <w:color w:val="auto"/>
          <w:sz w:val="24"/>
        </w:rPr>
        <w:t>will be made</w:t>
      </w:r>
      <w:r w:rsidR="008073E4" w:rsidRPr="001A4C49">
        <w:rPr>
          <w:color w:val="auto"/>
          <w:sz w:val="24"/>
        </w:rPr>
        <w:t xml:space="preserve"> by the </w:t>
      </w:r>
      <w:r w:rsidR="00452722" w:rsidRPr="001A4C49">
        <w:rPr>
          <w:color w:val="auto"/>
          <w:sz w:val="24"/>
        </w:rPr>
        <w:t xml:space="preserve">Authority </w:t>
      </w:r>
      <w:r w:rsidR="004F762F" w:rsidRPr="001A4C49">
        <w:rPr>
          <w:color w:val="auto"/>
          <w:sz w:val="24"/>
        </w:rPr>
        <w:t xml:space="preserve">to </w:t>
      </w:r>
      <w:r w:rsidR="00604E80" w:rsidRPr="001A4C49">
        <w:rPr>
          <w:color w:val="auto"/>
          <w:sz w:val="24"/>
        </w:rPr>
        <w:t xml:space="preserve">the </w:t>
      </w:r>
      <w:r w:rsidR="004F762F" w:rsidRPr="001A4C49">
        <w:rPr>
          <w:color w:val="auto"/>
          <w:sz w:val="24"/>
        </w:rPr>
        <w:t>contractor</w:t>
      </w:r>
      <w:r w:rsidR="00A702F6" w:rsidRPr="001A4C49">
        <w:rPr>
          <w:color w:val="auto"/>
          <w:sz w:val="24"/>
        </w:rPr>
        <w:t xml:space="preserve"> for the services</w:t>
      </w:r>
      <w:r w:rsidR="005D00F3" w:rsidRPr="001A4C49">
        <w:rPr>
          <w:color w:val="auto"/>
          <w:sz w:val="24"/>
        </w:rPr>
        <w:t xml:space="preserve"> provided</w:t>
      </w:r>
      <w:r w:rsidR="0002776A" w:rsidRPr="001A4C49">
        <w:rPr>
          <w:color w:val="auto"/>
          <w:sz w:val="24"/>
        </w:rPr>
        <w:t xml:space="preserve"> and t</w:t>
      </w:r>
      <w:r w:rsidR="00146CDF" w:rsidRPr="001A4C49">
        <w:rPr>
          <w:color w:val="auto"/>
          <w:sz w:val="24"/>
        </w:rPr>
        <w:t>here is to be no</w:t>
      </w:r>
      <w:r w:rsidR="00D61206" w:rsidRPr="001A4C49">
        <w:rPr>
          <w:color w:val="auto"/>
          <w:sz w:val="24"/>
        </w:rPr>
        <w:t xml:space="preserve"> income generated</w:t>
      </w:r>
      <w:r w:rsidR="00761FB0" w:rsidRPr="001A4C49">
        <w:rPr>
          <w:color w:val="auto"/>
          <w:sz w:val="24"/>
        </w:rPr>
        <w:t xml:space="preserve"> </w:t>
      </w:r>
      <w:r w:rsidR="0002776A" w:rsidRPr="001A4C49">
        <w:rPr>
          <w:color w:val="auto"/>
          <w:sz w:val="24"/>
        </w:rPr>
        <w:t>for</w:t>
      </w:r>
      <w:r w:rsidR="00222B9D" w:rsidRPr="001A4C49">
        <w:rPr>
          <w:color w:val="auto"/>
          <w:sz w:val="24"/>
        </w:rPr>
        <w:t xml:space="preserve"> the</w:t>
      </w:r>
      <w:r w:rsidR="004F762F" w:rsidRPr="001A4C49">
        <w:rPr>
          <w:color w:val="auto"/>
          <w:sz w:val="24"/>
        </w:rPr>
        <w:t xml:space="preserve"> </w:t>
      </w:r>
      <w:r w:rsidR="00452722" w:rsidRPr="001A4C49">
        <w:rPr>
          <w:color w:val="auto"/>
          <w:sz w:val="24"/>
        </w:rPr>
        <w:t>Authority</w:t>
      </w:r>
      <w:r w:rsidR="004F762F" w:rsidRPr="001A4C49">
        <w:rPr>
          <w:color w:val="auto"/>
          <w:sz w:val="24"/>
        </w:rPr>
        <w:t>.</w:t>
      </w:r>
    </w:p>
    <w:p w14:paraId="376C28ED" w14:textId="77777777" w:rsidR="00110FAB" w:rsidRPr="001A4C49" w:rsidRDefault="00110FAB" w:rsidP="004728EC">
      <w:pPr>
        <w:rPr>
          <w:color w:val="auto"/>
          <w:sz w:val="24"/>
        </w:rPr>
      </w:pPr>
    </w:p>
    <w:p w14:paraId="0EFC1E5A" w14:textId="5CF83AC4" w:rsidR="00B0425E" w:rsidRPr="001A4C49" w:rsidRDefault="00110FAB" w:rsidP="00C34B35">
      <w:pPr>
        <w:rPr>
          <w:color w:val="auto"/>
          <w:sz w:val="24"/>
        </w:rPr>
      </w:pPr>
      <w:r w:rsidRPr="001A4C49">
        <w:rPr>
          <w:color w:val="auto"/>
          <w:sz w:val="24"/>
        </w:rPr>
        <w:t>It is e</w:t>
      </w:r>
      <w:r w:rsidR="00CD3D63" w:rsidRPr="001A4C49">
        <w:rPr>
          <w:color w:val="auto"/>
          <w:sz w:val="24"/>
        </w:rPr>
        <w:t>stimated</w:t>
      </w:r>
      <w:r w:rsidRPr="001A4C49">
        <w:rPr>
          <w:color w:val="auto"/>
          <w:sz w:val="24"/>
        </w:rPr>
        <w:t xml:space="preserve"> that t</w:t>
      </w:r>
      <w:r w:rsidR="00CD3D63" w:rsidRPr="001A4C49">
        <w:rPr>
          <w:color w:val="auto"/>
          <w:sz w:val="24"/>
        </w:rPr>
        <w:t>he</w:t>
      </w:r>
      <w:r w:rsidR="00BC35E4" w:rsidRPr="001A4C49">
        <w:rPr>
          <w:color w:val="auto"/>
          <w:sz w:val="24"/>
        </w:rPr>
        <w:t xml:space="preserve"> total</w:t>
      </w:r>
      <w:r w:rsidRPr="001A4C49">
        <w:rPr>
          <w:color w:val="auto"/>
          <w:sz w:val="24"/>
        </w:rPr>
        <w:t xml:space="preserve"> value</w:t>
      </w:r>
      <w:r w:rsidR="00BC35E4" w:rsidRPr="001A4C49">
        <w:rPr>
          <w:color w:val="auto"/>
          <w:sz w:val="24"/>
        </w:rPr>
        <w:t xml:space="preserve"> of the contract</w:t>
      </w:r>
      <w:r w:rsidRPr="001A4C49">
        <w:rPr>
          <w:color w:val="auto"/>
          <w:sz w:val="24"/>
        </w:rPr>
        <w:t xml:space="preserve"> will</w:t>
      </w:r>
      <w:r w:rsidR="00691BFB" w:rsidRPr="001A4C49">
        <w:rPr>
          <w:color w:val="auto"/>
          <w:sz w:val="24"/>
        </w:rPr>
        <w:t xml:space="preserve"> be</w:t>
      </w:r>
      <w:r w:rsidRPr="001A4C49">
        <w:rPr>
          <w:color w:val="auto"/>
          <w:sz w:val="24"/>
        </w:rPr>
        <w:t xml:space="preserve"> below</w:t>
      </w:r>
      <w:r w:rsidR="00EC4A63" w:rsidRPr="001A4C49">
        <w:rPr>
          <w:color w:val="auto"/>
          <w:sz w:val="24"/>
        </w:rPr>
        <w:t xml:space="preserve"> the</w:t>
      </w:r>
      <w:r w:rsidRPr="001A4C49">
        <w:rPr>
          <w:color w:val="auto"/>
          <w:sz w:val="24"/>
        </w:rPr>
        <w:t xml:space="preserve"> </w:t>
      </w:r>
      <w:r w:rsidR="00EC4A63" w:rsidRPr="001A4C49">
        <w:rPr>
          <w:color w:val="auto"/>
          <w:sz w:val="24"/>
        </w:rPr>
        <w:t>Concession Contracts Regulations 2016 (CCR16)</w:t>
      </w:r>
      <w:r w:rsidR="00691BFB" w:rsidRPr="001A4C49">
        <w:rPr>
          <w:color w:val="auto"/>
          <w:sz w:val="24"/>
        </w:rPr>
        <w:t xml:space="preserve"> threshold.</w:t>
      </w:r>
    </w:p>
    <w:p w14:paraId="4361CC52" w14:textId="77777777" w:rsidR="00EC4A63" w:rsidRPr="001A4C49" w:rsidRDefault="00EC4A63" w:rsidP="00C34B35">
      <w:pPr>
        <w:rPr>
          <w:sz w:val="24"/>
        </w:rPr>
      </w:pPr>
    </w:p>
    <w:p w14:paraId="7A156781" w14:textId="133A3C02" w:rsidR="00B0425E" w:rsidRDefault="00B0425E" w:rsidP="00C34B35">
      <w:pPr>
        <w:rPr>
          <w:sz w:val="24"/>
        </w:rPr>
      </w:pPr>
      <w:r w:rsidRPr="001A4C49">
        <w:rPr>
          <w:sz w:val="24"/>
        </w:rPr>
        <w:t xml:space="preserve">Currently only the former South Northamptonshire Council area has an existing arrangement for the collection by a third </w:t>
      </w:r>
      <w:r w:rsidR="00213C8A" w:rsidRPr="001A4C49">
        <w:rPr>
          <w:sz w:val="24"/>
        </w:rPr>
        <w:t>party. Textiles</w:t>
      </w:r>
      <w:r w:rsidRPr="001A4C49">
        <w:rPr>
          <w:sz w:val="24"/>
        </w:rPr>
        <w:t xml:space="preserve"> within the former Northampton Borough Council area can be put out for collection alongside a residents </w:t>
      </w:r>
      <w:r w:rsidR="005E7043" w:rsidRPr="001A4C49">
        <w:rPr>
          <w:sz w:val="24"/>
        </w:rPr>
        <w:t>fortnightly dry</w:t>
      </w:r>
      <w:r w:rsidRPr="001A4C49">
        <w:rPr>
          <w:sz w:val="24"/>
        </w:rPr>
        <w:t xml:space="preserve"> recycling</w:t>
      </w:r>
      <w:r w:rsidR="000069CA" w:rsidRPr="001A4C49">
        <w:rPr>
          <w:sz w:val="24"/>
        </w:rPr>
        <w:t xml:space="preserve"> collection.</w:t>
      </w:r>
      <w:r w:rsidRPr="001A4C49">
        <w:rPr>
          <w:sz w:val="24"/>
        </w:rPr>
        <w:t xml:space="preserve">  There are no </w:t>
      </w:r>
      <w:r w:rsidR="00C54728" w:rsidRPr="001A4C49">
        <w:rPr>
          <w:sz w:val="24"/>
        </w:rPr>
        <w:t xml:space="preserve">formal </w:t>
      </w:r>
      <w:r w:rsidRPr="001A4C49">
        <w:rPr>
          <w:sz w:val="24"/>
        </w:rPr>
        <w:t>arrangements</w:t>
      </w:r>
      <w:r w:rsidR="000B617E" w:rsidRPr="001A4C49">
        <w:rPr>
          <w:sz w:val="24"/>
        </w:rPr>
        <w:t xml:space="preserve"> </w:t>
      </w:r>
      <w:r w:rsidR="004B3D94" w:rsidRPr="001A4C49">
        <w:rPr>
          <w:sz w:val="24"/>
        </w:rPr>
        <w:t xml:space="preserve">by the Authority </w:t>
      </w:r>
      <w:r w:rsidR="000B617E" w:rsidRPr="001A4C49">
        <w:rPr>
          <w:sz w:val="24"/>
        </w:rPr>
        <w:t>with a third party</w:t>
      </w:r>
      <w:r>
        <w:rPr>
          <w:sz w:val="24"/>
        </w:rPr>
        <w:t xml:space="preserve"> within the Daventry area for the collection of textiles</w:t>
      </w:r>
      <w:r w:rsidR="00DD31BA">
        <w:rPr>
          <w:sz w:val="24"/>
        </w:rPr>
        <w:t>.</w:t>
      </w:r>
    </w:p>
    <w:p w14:paraId="1A56C8B4" w14:textId="77777777" w:rsidR="00B0425E" w:rsidRPr="00661025" w:rsidRDefault="00B0425E" w:rsidP="00B0425E">
      <w:pPr>
        <w:spacing w:before="240" w:line="360" w:lineRule="auto"/>
        <w:ind w:left="360"/>
        <w:jc w:val="both"/>
        <w:rPr>
          <w:rFonts w:cs="Arial"/>
        </w:rPr>
      </w:pPr>
      <w:r w:rsidRPr="00661025">
        <w:rPr>
          <w:rFonts w:cs="Arial"/>
        </w:rPr>
        <w:t xml:space="preserve">Current tonnage rates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4677"/>
        <w:gridCol w:w="1650"/>
      </w:tblGrid>
      <w:tr w:rsidR="00B0425E" w:rsidRPr="00661025" w14:paraId="446E65BE" w14:textId="77777777" w:rsidTr="00B0425E">
        <w:tc>
          <w:tcPr>
            <w:tcW w:w="2552" w:type="dxa"/>
          </w:tcPr>
          <w:p w14:paraId="0E5E4FA0" w14:textId="77777777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61025">
              <w:rPr>
                <w:rFonts w:ascii="Arial" w:hAnsi="Arial" w:cs="Arial"/>
                <w:b/>
                <w:bCs/>
              </w:rPr>
              <w:t>Geographical Area and Households</w:t>
            </w:r>
          </w:p>
        </w:tc>
        <w:tc>
          <w:tcPr>
            <w:tcW w:w="4677" w:type="dxa"/>
          </w:tcPr>
          <w:p w14:paraId="5321635F" w14:textId="77777777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61025">
              <w:rPr>
                <w:rFonts w:ascii="Arial" w:hAnsi="Arial" w:cs="Arial"/>
                <w:b/>
                <w:bCs/>
              </w:rPr>
              <w:t>Current Collection Arrangements</w:t>
            </w:r>
          </w:p>
        </w:tc>
        <w:tc>
          <w:tcPr>
            <w:tcW w:w="1650" w:type="dxa"/>
          </w:tcPr>
          <w:p w14:paraId="42EE20D5" w14:textId="77777777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61025">
              <w:rPr>
                <w:rFonts w:ascii="Arial" w:hAnsi="Arial" w:cs="Arial"/>
                <w:b/>
                <w:bCs/>
              </w:rPr>
              <w:t>Tonnage (2023)</w:t>
            </w:r>
          </w:p>
        </w:tc>
      </w:tr>
      <w:tr w:rsidR="00B0425E" w:rsidRPr="00661025" w14:paraId="1A945D01" w14:textId="77777777" w:rsidTr="00B0425E">
        <w:tc>
          <w:tcPr>
            <w:tcW w:w="2552" w:type="dxa"/>
          </w:tcPr>
          <w:p w14:paraId="5A42061C" w14:textId="51EA149A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661025">
              <w:rPr>
                <w:rFonts w:ascii="Arial" w:hAnsi="Arial" w:cs="Arial"/>
              </w:rPr>
              <w:t xml:space="preserve">South Northants </w:t>
            </w:r>
          </w:p>
        </w:tc>
        <w:tc>
          <w:tcPr>
            <w:tcW w:w="4677" w:type="dxa"/>
          </w:tcPr>
          <w:p w14:paraId="31F14314" w14:textId="77777777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661025">
              <w:rPr>
                <w:rFonts w:ascii="Arial" w:hAnsi="Arial" w:cs="Arial"/>
              </w:rPr>
              <w:t>Collected by DB Collections in aid of Air Ambulance</w:t>
            </w:r>
          </w:p>
        </w:tc>
        <w:tc>
          <w:tcPr>
            <w:tcW w:w="1650" w:type="dxa"/>
          </w:tcPr>
          <w:p w14:paraId="0FA7271E" w14:textId="77777777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661025">
              <w:rPr>
                <w:rFonts w:ascii="Arial" w:hAnsi="Arial" w:cs="Arial"/>
              </w:rPr>
              <w:t>187.46 t</w:t>
            </w:r>
          </w:p>
        </w:tc>
      </w:tr>
      <w:tr w:rsidR="00B0425E" w:rsidRPr="00661025" w14:paraId="3FE1F53A" w14:textId="77777777" w:rsidTr="00B0425E">
        <w:tc>
          <w:tcPr>
            <w:tcW w:w="2552" w:type="dxa"/>
          </w:tcPr>
          <w:p w14:paraId="48C09E31" w14:textId="6ACD0CA1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661025">
              <w:rPr>
                <w:rFonts w:ascii="Arial" w:hAnsi="Arial" w:cs="Arial"/>
              </w:rPr>
              <w:t>Northampto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77" w:type="dxa"/>
          </w:tcPr>
          <w:p w14:paraId="2081ABCC" w14:textId="77777777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661025">
              <w:rPr>
                <w:rFonts w:ascii="Arial" w:hAnsi="Arial" w:cs="Arial"/>
              </w:rPr>
              <w:t>Collected by Veolia as part of wider waste/recycling collection contract.</w:t>
            </w:r>
          </w:p>
        </w:tc>
        <w:tc>
          <w:tcPr>
            <w:tcW w:w="1650" w:type="dxa"/>
          </w:tcPr>
          <w:p w14:paraId="29A87D77" w14:textId="77777777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661025">
              <w:rPr>
                <w:rFonts w:ascii="Arial" w:hAnsi="Arial" w:cs="Arial"/>
              </w:rPr>
              <w:t>Approx 0.5 t</w:t>
            </w:r>
          </w:p>
        </w:tc>
      </w:tr>
      <w:tr w:rsidR="00B0425E" w:rsidRPr="00661025" w14:paraId="77D8CE0B" w14:textId="77777777" w:rsidTr="00B0425E">
        <w:tc>
          <w:tcPr>
            <w:tcW w:w="2552" w:type="dxa"/>
          </w:tcPr>
          <w:p w14:paraId="6BA665D9" w14:textId="4E90101C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661025">
              <w:rPr>
                <w:rFonts w:ascii="Arial" w:hAnsi="Arial" w:cs="Arial"/>
              </w:rPr>
              <w:lastRenderedPageBreak/>
              <w:t xml:space="preserve">Daventry </w:t>
            </w:r>
          </w:p>
        </w:tc>
        <w:tc>
          <w:tcPr>
            <w:tcW w:w="4677" w:type="dxa"/>
          </w:tcPr>
          <w:p w14:paraId="699E15AA" w14:textId="77777777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661025">
              <w:rPr>
                <w:rFonts w:ascii="Arial" w:hAnsi="Arial" w:cs="Arial"/>
              </w:rPr>
              <w:t>Not currently collected at the kerbside</w:t>
            </w:r>
          </w:p>
        </w:tc>
        <w:tc>
          <w:tcPr>
            <w:tcW w:w="1650" w:type="dxa"/>
          </w:tcPr>
          <w:p w14:paraId="70B200E2" w14:textId="77777777" w:rsidR="00B0425E" w:rsidRPr="00661025" w:rsidRDefault="00B0425E" w:rsidP="0086594E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661025">
              <w:rPr>
                <w:rFonts w:ascii="Arial" w:hAnsi="Arial" w:cs="Arial"/>
              </w:rPr>
              <w:t xml:space="preserve">Zero  </w:t>
            </w:r>
          </w:p>
        </w:tc>
      </w:tr>
    </w:tbl>
    <w:p w14:paraId="43B538F4" w14:textId="77777777" w:rsidR="00B0425E" w:rsidRPr="00540BB6" w:rsidRDefault="00B0425E" w:rsidP="00C34B35">
      <w:pPr>
        <w:rPr>
          <w:sz w:val="24"/>
        </w:rPr>
      </w:pPr>
    </w:p>
    <w:p w14:paraId="11FABBD5" w14:textId="77777777" w:rsidR="00414C53" w:rsidRPr="00540BB6" w:rsidRDefault="00414C53" w:rsidP="00C34B35">
      <w:pPr>
        <w:rPr>
          <w:sz w:val="24"/>
        </w:rPr>
      </w:pPr>
    </w:p>
    <w:p w14:paraId="4A933B4B" w14:textId="53490DEC" w:rsidR="001A110E" w:rsidRPr="00540BB6" w:rsidRDefault="001A110E" w:rsidP="00C34B35">
      <w:pPr>
        <w:rPr>
          <w:b/>
          <w:bCs/>
          <w:sz w:val="24"/>
        </w:rPr>
      </w:pPr>
      <w:r w:rsidRPr="00540BB6">
        <w:rPr>
          <w:b/>
          <w:bCs/>
          <w:sz w:val="24"/>
        </w:rPr>
        <w:t>Market Engagement</w:t>
      </w:r>
    </w:p>
    <w:p w14:paraId="4996E05B" w14:textId="77777777" w:rsidR="001A110E" w:rsidRPr="00540BB6" w:rsidRDefault="001A110E" w:rsidP="00C34B35">
      <w:pPr>
        <w:rPr>
          <w:sz w:val="24"/>
        </w:rPr>
      </w:pPr>
    </w:p>
    <w:p w14:paraId="2AEDEFB9" w14:textId="77777777" w:rsidR="00DA597E" w:rsidRDefault="00C34B35" w:rsidP="00C34B35">
      <w:pPr>
        <w:rPr>
          <w:sz w:val="24"/>
        </w:rPr>
      </w:pPr>
      <w:r w:rsidRPr="00540BB6">
        <w:rPr>
          <w:sz w:val="24"/>
        </w:rPr>
        <w:t xml:space="preserve">We would like, at this stage prior to </w:t>
      </w:r>
      <w:r w:rsidR="00F34DC4">
        <w:rPr>
          <w:sz w:val="24"/>
        </w:rPr>
        <w:t xml:space="preserve">commencing </w:t>
      </w:r>
      <w:r w:rsidRPr="00540BB6">
        <w:rPr>
          <w:sz w:val="24"/>
        </w:rPr>
        <w:t xml:space="preserve">formal procurement, to seek input from the market as to what the appetite </w:t>
      </w:r>
      <w:r w:rsidR="001A110E" w:rsidRPr="00540BB6">
        <w:rPr>
          <w:sz w:val="24"/>
        </w:rPr>
        <w:t>is</w:t>
      </w:r>
      <w:r w:rsidRPr="00540BB6">
        <w:rPr>
          <w:sz w:val="24"/>
        </w:rPr>
        <w:t xml:space="preserve"> for undertaking this service and to allow an</w:t>
      </w:r>
      <w:r w:rsidR="003503CC">
        <w:rPr>
          <w:sz w:val="24"/>
        </w:rPr>
        <w:t xml:space="preserve"> </w:t>
      </w:r>
      <w:r w:rsidRPr="00540BB6">
        <w:rPr>
          <w:sz w:val="24"/>
        </w:rPr>
        <w:t xml:space="preserve">opportunity to discuss options for the delivery of future provision. </w:t>
      </w:r>
    </w:p>
    <w:p w14:paraId="2C9FBA84" w14:textId="77777777" w:rsidR="00DA597E" w:rsidRDefault="00DA597E" w:rsidP="00C34B35">
      <w:pPr>
        <w:rPr>
          <w:sz w:val="24"/>
        </w:rPr>
      </w:pPr>
    </w:p>
    <w:p w14:paraId="3D0359D8" w14:textId="05125DA8" w:rsidR="00D23844" w:rsidRDefault="000E1B21" w:rsidP="00C34B35">
      <w:pPr>
        <w:rPr>
          <w:sz w:val="24"/>
        </w:rPr>
      </w:pPr>
      <w:r w:rsidRPr="00540BB6">
        <w:rPr>
          <w:sz w:val="24"/>
        </w:rPr>
        <w:t xml:space="preserve">Some of the issues we are seeking input on </w:t>
      </w:r>
      <w:r w:rsidR="00F15467" w:rsidRPr="00540BB6">
        <w:rPr>
          <w:sz w:val="24"/>
        </w:rPr>
        <w:t>includ</w:t>
      </w:r>
      <w:r w:rsidR="00D23844">
        <w:rPr>
          <w:sz w:val="24"/>
        </w:rPr>
        <w:t>e:</w:t>
      </w:r>
    </w:p>
    <w:p w14:paraId="7568C12F" w14:textId="77777777" w:rsidR="00D23844" w:rsidRDefault="00D23844" w:rsidP="00C34B35">
      <w:pPr>
        <w:rPr>
          <w:sz w:val="24"/>
        </w:rPr>
      </w:pPr>
    </w:p>
    <w:p w14:paraId="7BC5B26A" w14:textId="77777777" w:rsidR="00D23844" w:rsidRPr="00987370" w:rsidRDefault="000E1B21" w:rsidP="00D23844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987370">
        <w:rPr>
          <w:rFonts w:ascii="Arial" w:hAnsi="Arial" w:cs="Arial"/>
          <w:sz w:val="24"/>
        </w:rPr>
        <w:t>contract length</w:t>
      </w:r>
    </w:p>
    <w:p w14:paraId="1C6FF935" w14:textId="77777777" w:rsidR="00D23844" w:rsidRPr="00987370" w:rsidRDefault="000E1B21" w:rsidP="00D23844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987370">
        <w:rPr>
          <w:rFonts w:ascii="Arial" w:hAnsi="Arial" w:cs="Arial"/>
          <w:sz w:val="24"/>
        </w:rPr>
        <w:t xml:space="preserve">the state of the </w:t>
      </w:r>
      <w:r w:rsidR="00DD72AA" w:rsidRPr="00987370">
        <w:rPr>
          <w:rFonts w:ascii="Arial" w:hAnsi="Arial" w:cs="Arial"/>
          <w:sz w:val="24"/>
        </w:rPr>
        <w:t>market</w:t>
      </w:r>
    </w:p>
    <w:p w14:paraId="47693EC5" w14:textId="77777777" w:rsidR="00987370" w:rsidRPr="00987370" w:rsidRDefault="00B0425E" w:rsidP="00D23844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987370">
        <w:rPr>
          <w:rFonts w:ascii="Arial" w:hAnsi="Arial" w:cs="Arial"/>
          <w:sz w:val="24"/>
        </w:rPr>
        <w:t>charity payments</w:t>
      </w:r>
    </w:p>
    <w:p w14:paraId="277F493B" w14:textId="7ED8840A" w:rsidR="00C1527C" w:rsidRPr="00E532B9" w:rsidRDefault="00BA5552" w:rsidP="001E510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987370">
        <w:rPr>
          <w:rFonts w:ascii="Arial" w:hAnsi="Arial" w:cs="Arial"/>
          <w:sz w:val="24"/>
        </w:rPr>
        <w:t>mobilisation periods</w:t>
      </w:r>
    </w:p>
    <w:p w14:paraId="5AC240D1" w14:textId="01ABC821" w:rsidR="00F86A0E" w:rsidRPr="001A4C49" w:rsidRDefault="00C1527C" w:rsidP="00C1527C">
      <w:pPr>
        <w:rPr>
          <w:color w:val="FF0000"/>
          <w:sz w:val="24"/>
        </w:rPr>
      </w:pPr>
      <w:r w:rsidRPr="001A4C49">
        <w:rPr>
          <w:sz w:val="24"/>
        </w:rPr>
        <w:t xml:space="preserve">The </w:t>
      </w:r>
      <w:r w:rsidRPr="001A4C49">
        <w:rPr>
          <w:color w:val="auto"/>
          <w:sz w:val="24"/>
        </w:rPr>
        <w:t xml:space="preserve">Authority </w:t>
      </w:r>
      <w:r w:rsidRPr="001A4C49">
        <w:rPr>
          <w:sz w:val="24"/>
        </w:rPr>
        <w:t xml:space="preserve">intends to hold an open information session for all interested organisations </w:t>
      </w:r>
      <w:r w:rsidR="00B21C1A" w:rsidRPr="001A4C49">
        <w:rPr>
          <w:color w:val="auto"/>
          <w:sz w:val="24"/>
        </w:rPr>
        <w:t>as</w:t>
      </w:r>
      <w:r w:rsidR="006D7C79" w:rsidRPr="001A4C49">
        <w:rPr>
          <w:color w:val="auto"/>
          <w:sz w:val="24"/>
        </w:rPr>
        <w:t xml:space="preserve"> individual</w:t>
      </w:r>
      <w:r w:rsidRPr="001A4C49">
        <w:rPr>
          <w:color w:val="auto"/>
          <w:sz w:val="24"/>
        </w:rPr>
        <w:t xml:space="preserve"> </w:t>
      </w:r>
      <w:r w:rsidRPr="001A4C49">
        <w:rPr>
          <w:sz w:val="24"/>
        </w:rPr>
        <w:t xml:space="preserve">scheduled meetings </w:t>
      </w:r>
      <w:r w:rsidR="00B21C1A" w:rsidRPr="001A4C49">
        <w:rPr>
          <w:color w:val="auto"/>
          <w:sz w:val="24"/>
        </w:rPr>
        <w:t>via</w:t>
      </w:r>
      <w:r w:rsidRPr="001A4C49">
        <w:rPr>
          <w:color w:val="auto"/>
          <w:sz w:val="24"/>
        </w:rPr>
        <w:t xml:space="preserve"> </w:t>
      </w:r>
      <w:r w:rsidR="00E7425E" w:rsidRPr="001A4C49">
        <w:rPr>
          <w:color w:val="auto"/>
          <w:sz w:val="24"/>
        </w:rPr>
        <w:t>Microsoft Team</w:t>
      </w:r>
      <w:r w:rsidR="007F5F74" w:rsidRPr="001A4C49">
        <w:rPr>
          <w:color w:val="auto"/>
          <w:sz w:val="24"/>
        </w:rPr>
        <w:t>s.</w:t>
      </w:r>
    </w:p>
    <w:p w14:paraId="38D4B2AD" w14:textId="77777777" w:rsidR="00212742" w:rsidRPr="001A4C49" w:rsidRDefault="00212742" w:rsidP="00C1527C">
      <w:pPr>
        <w:rPr>
          <w:color w:val="FF0000"/>
          <w:sz w:val="24"/>
        </w:rPr>
      </w:pPr>
    </w:p>
    <w:p w14:paraId="2FAEA5BB" w14:textId="19F2DF77" w:rsidR="00212742" w:rsidRPr="001A4C49" w:rsidRDefault="005C47EB" w:rsidP="00C1527C">
      <w:pPr>
        <w:rPr>
          <w:color w:val="auto"/>
          <w:sz w:val="24"/>
        </w:rPr>
      </w:pPr>
      <w:r w:rsidRPr="001A4C49">
        <w:rPr>
          <w:color w:val="auto"/>
          <w:sz w:val="24"/>
        </w:rPr>
        <w:t>A</w:t>
      </w:r>
      <w:r w:rsidR="00B9377B" w:rsidRPr="001A4C49">
        <w:rPr>
          <w:color w:val="auto"/>
          <w:sz w:val="24"/>
        </w:rPr>
        <w:t xml:space="preserve"> questionnaire will be</w:t>
      </w:r>
      <w:r w:rsidR="003A0DFB" w:rsidRPr="001A4C49">
        <w:rPr>
          <w:color w:val="auto"/>
          <w:sz w:val="24"/>
        </w:rPr>
        <w:t xml:space="preserve"> issued</w:t>
      </w:r>
      <w:r w:rsidR="00B9377B" w:rsidRPr="001A4C49">
        <w:rPr>
          <w:color w:val="auto"/>
          <w:sz w:val="24"/>
        </w:rPr>
        <w:t xml:space="preserve"> </w:t>
      </w:r>
      <w:r w:rsidRPr="001A4C49">
        <w:rPr>
          <w:color w:val="auto"/>
          <w:sz w:val="24"/>
        </w:rPr>
        <w:t>to all</w:t>
      </w:r>
      <w:r w:rsidR="000D08B5" w:rsidRPr="001A4C49">
        <w:rPr>
          <w:color w:val="auto"/>
          <w:sz w:val="24"/>
        </w:rPr>
        <w:t xml:space="preserve"> interested organisations</w:t>
      </w:r>
      <w:r w:rsidRPr="001A4C49">
        <w:rPr>
          <w:color w:val="auto"/>
          <w:sz w:val="24"/>
        </w:rPr>
        <w:t xml:space="preserve"> </w:t>
      </w:r>
      <w:r w:rsidR="002221E6" w:rsidRPr="001A4C49">
        <w:rPr>
          <w:color w:val="auto"/>
          <w:sz w:val="24"/>
        </w:rPr>
        <w:t xml:space="preserve">prior to the </w:t>
      </w:r>
      <w:r w:rsidR="002C23A8" w:rsidRPr="001A4C49">
        <w:rPr>
          <w:color w:val="auto"/>
          <w:sz w:val="24"/>
        </w:rPr>
        <w:t xml:space="preserve">individual </w:t>
      </w:r>
      <w:r w:rsidR="002221E6" w:rsidRPr="001A4C49">
        <w:rPr>
          <w:color w:val="auto"/>
          <w:sz w:val="24"/>
        </w:rPr>
        <w:t>meeting</w:t>
      </w:r>
      <w:r w:rsidRPr="001A4C49">
        <w:rPr>
          <w:color w:val="auto"/>
          <w:sz w:val="24"/>
        </w:rPr>
        <w:t>s</w:t>
      </w:r>
      <w:r w:rsidR="00B648F5" w:rsidRPr="001A4C49">
        <w:rPr>
          <w:color w:val="auto"/>
          <w:sz w:val="24"/>
        </w:rPr>
        <w:t xml:space="preserve"> and </w:t>
      </w:r>
      <w:r w:rsidR="00A0109E" w:rsidRPr="001A4C49">
        <w:rPr>
          <w:color w:val="auto"/>
          <w:sz w:val="24"/>
        </w:rPr>
        <w:t xml:space="preserve">will be discussed </w:t>
      </w:r>
      <w:r w:rsidR="00D77C7D" w:rsidRPr="001A4C49">
        <w:rPr>
          <w:color w:val="auto"/>
          <w:sz w:val="24"/>
        </w:rPr>
        <w:t xml:space="preserve">with all interested </w:t>
      </w:r>
      <w:r w:rsidR="00637D30" w:rsidRPr="001A4C49">
        <w:rPr>
          <w:color w:val="auto"/>
          <w:sz w:val="24"/>
        </w:rPr>
        <w:t>parties</w:t>
      </w:r>
      <w:r w:rsidR="009E7ED7" w:rsidRPr="001A4C49">
        <w:rPr>
          <w:color w:val="auto"/>
          <w:sz w:val="24"/>
        </w:rPr>
        <w:t xml:space="preserve"> in a set format</w:t>
      </w:r>
      <w:r w:rsidR="00D77C7D" w:rsidRPr="001A4C49">
        <w:rPr>
          <w:color w:val="auto"/>
          <w:sz w:val="24"/>
        </w:rPr>
        <w:t>.</w:t>
      </w:r>
      <w:r w:rsidR="00F47075" w:rsidRPr="001A4C49">
        <w:rPr>
          <w:color w:val="auto"/>
          <w:sz w:val="24"/>
        </w:rPr>
        <w:t xml:space="preserve"> All discussions will be noted, any commercially sensitive information will </w:t>
      </w:r>
      <w:r w:rsidR="00F674F4" w:rsidRPr="001A4C49">
        <w:rPr>
          <w:color w:val="auto"/>
          <w:sz w:val="24"/>
        </w:rPr>
        <w:t>be</w:t>
      </w:r>
      <w:r w:rsidR="00D0795F" w:rsidRPr="001A4C49">
        <w:rPr>
          <w:color w:val="auto"/>
          <w:sz w:val="24"/>
        </w:rPr>
        <w:t xml:space="preserve"> kept </w:t>
      </w:r>
      <w:r w:rsidR="00F674F4" w:rsidRPr="001A4C49">
        <w:rPr>
          <w:color w:val="auto"/>
          <w:sz w:val="24"/>
        </w:rPr>
        <w:t>confidential.</w:t>
      </w:r>
    </w:p>
    <w:p w14:paraId="7447F0C7" w14:textId="77777777" w:rsidR="00F86A0E" w:rsidRPr="001A4C49" w:rsidRDefault="00F86A0E" w:rsidP="00C1527C">
      <w:pPr>
        <w:rPr>
          <w:color w:val="FF0000"/>
          <w:sz w:val="24"/>
        </w:rPr>
      </w:pPr>
    </w:p>
    <w:p w14:paraId="68A193D3" w14:textId="32BCCD7C" w:rsidR="00AE4BA3" w:rsidRPr="001A4C49" w:rsidRDefault="006E6118" w:rsidP="00C1527C">
      <w:pPr>
        <w:rPr>
          <w:color w:val="auto"/>
          <w:sz w:val="24"/>
        </w:rPr>
      </w:pPr>
      <w:r w:rsidRPr="001A4C49">
        <w:rPr>
          <w:color w:val="auto"/>
          <w:sz w:val="24"/>
        </w:rPr>
        <w:t>The</w:t>
      </w:r>
      <w:r w:rsidR="00DD73C5" w:rsidRPr="001A4C49">
        <w:rPr>
          <w:color w:val="auto"/>
          <w:sz w:val="24"/>
        </w:rPr>
        <w:t xml:space="preserve"> meeting</w:t>
      </w:r>
      <w:r w:rsidRPr="001A4C49">
        <w:rPr>
          <w:color w:val="auto"/>
          <w:sz w:val="24"/>
        </w:rPr>
        <w:t xml:space="preserve"> sessions </w:t>
      </w:r>
      <w:r w:rsidR="00DD73C5" w:rsidRPr="001A4C49">
        <w:rPr>
          <w:color w:val="auto"/>
          <w:sz w:val="24"/>
        </w:rPr>
        <w:t>with in</w:t>
      </w:r>
      <w:r w:rsidR="002C19D7" w:rsidRPr="001A4C49">
        <w:rPr>
          <w:color w:val="auto"/>
          <w:sz w:val="24"/>
        </w:rPr>
        <w:t>dividu</w:t>
      </w:r>
      <w:r w:rsidR="00046D59" w:rsidRPr="001A4C49">
        <w:rPr>
          <w:color w:val="auto"/>
          <w:sz w:val="24"/>
        </w:rPr>
        <w:t xml:space="preserve">al interested </w:t>
      </w:r>
      <w:r w:rsidR="00250249" w:rsidRPr="001A4C49">
        <w:rPr>
          <w:color w:val="auto"/>
          <w:sz w:val="24"/>
        </w:rPr>
        <w:t xml:space="preserve">parties </w:t>
      </w:r>
      <w:r w:rsidRPr="001A4C49">
        <w:rPr>
          <w:color w:val="auto"/>
          <w:sz w:val="24"/>
        </w:rPr>
        <w:t xml:space="preserve">will be </w:t>
      </w:r>
      <w:r w:rsidR="007F58AD" w:rsidRPr="001A4C49">
        <w:rPr>
          <w:color w:val="auto"/>
          <w:sz w:val="24"/>
        </w:rPr>
        <w:t xml:space="preserve">held </w:t>
      </w:r>
      <w:r w:rsidR="00C1527C" w:rsidRPr="001A4C49">
        <w:rPr>
          <w:color w:val="auto"/>
          <w:sz w:val="24"/>
        </w:rPr>
        <w:t>o</w:t>
      </w:r>
      <w:r w:rsidR="00AE4BA3" w:rsidRPr="001A4C49">
        <w:rPr>
          <w:color w:val="auto"/>
          <w:sz w:val="24"/>
        </w:rPr>
        <w:t>n:</w:t>
      </w:r>
    </w:p>
    <w:p w14:paraId="0D49794D" w14:textId="77777777" w:rsidR="00AE4BA3" w:rsidRPr="001A4C49" w:rsidRDefault="00AE4BA3" w:rsidP="00C1527C">
      <w:pPr>
        <w:rPr>
          <w:color w:val="auto"/>
          <w:sz w:val="24"/>
        </w:rPr>
      </w:pPr>
    </w:p>
    <w:p w14:paraId="5C79787C" w14:textId="18388274" w:rsidR="00AE4BA3" w:rsidRPr="001A4C49" w:rsidRDefault="00627B3F" w:rsidP="00AE4BA3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1A4C49">
        <w:rPr>
          <w:rFonts w:ascii="Arial" w:hAnsi="Arial" w:cs="Arial"/>
          <w:sz w:val="24"/>
        </w:rPr>
        <w:t>Monday</w:t>
      </w:r>
      <w:r w:rsidR="00496C18" w:rsidRPr="001A4C49">
        <w:rPr>
          <w:rFonts w:ascii="Arial" w:hAnsi="Arial" w:cs="Arial"/>
          <w:sz w:val="24"/>
        </w:rPr>
        <w:t>,</w:t>
      </w:r>
      <w:r w:rsidRPr="001A4C49">
        <w:rPr>
          <w:rFonts w:ascii="Arial" w:hAnsi="Arial" w:cs="Arial"/>
          <w:sz w:val="24"/>
        </w:rPr>
        <w:t xml:space="preserve"> </w:t>
      </w:r>
      <w:r w:rsidR="004D5336" w:rsidRPr="001A4C49">
        <w:rPr>
          <w:rFonts w:ascii="Arial" w:hAnsi="Arial" w:cs="Arial"/>
          <w:sz w:val="24"/>
        </w:rPr>
        <w:t>22</w:t>
      </w:r>
      <w:r w:rsidR="004D5336" w:rsidRPr="001A4C49">
        <w:rPr>
          <w:rFonts w:ascii="Arial" w:hAnsi="Arial" w:cs="Arial"/>
          <w:sz w:val="24"/>
          <w:vertAlign w:val="superscript"/>
        </w:rPr>
        <w:t xml:space="preserve"> </w:t>
      </w:r>
      <w:r w:rsidR="004D5336" w:rsidRPr="001A4C49">
        <w:rPr>
          <w:rFonts w:ascii="Arial" w:hAnsi="Arial" w:cs="Arial"/>
          <w:sz w:val="24"/>
        </w:rPr>
        <w:t>April</w:t>
      </w:r>
      <w:r w:rsidRPr="001A4C49">
        <w:rPr>
          <w:rFonts w:ascii="Arial" w:hAnsi="Arial" w:cs="Arial"/>
          <w:sz w:val="24"/>
        </w:rPr>
        <w:t xml:space="preserve"> </w:t>
      </w:r>
      <w:r w:rsidR="00AE4BA3" w:rsidRPr="001A4C49">
        <w:rPr>
          <w:rFonts w:ascii="Arial" w:hAnsi="Arial" w:cs="Arial"/>
          <w:sz w:val="24"/>
        </w:rPr>
        <w:t>2024</w:t>
      </w:r>
    </w:p>
    <w:p w14:paraId="34959E87" w14:textId="4AF14D71" w:rsidR="00AE4BA3" w:rsidRPr="001A4C49" w:rsidRDefault="00627B3F" w:rsidP="00AE4BA3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1A4C49">
        <w:rPr>
          <w:rFonts w:ascii="Arial" w:hAnsi="Arial" w:cs="Arial"/>
          <w:sz w:val="24"/>
        </w:rPr>
        <w:t>Tuesday</w:t>
      </w:r>
      <w:r w:rsidR="00496C18" w:rsidRPr="001A4C49">
        <w:rPr>
          <w:rFonts w:ascii="Arial" w:hAnsi="Arial" w:cs="Arial"/>
          <w:sz w:val="24"/>
        </w:rPr>
        <w:t>,</w:t>
      </w:r>
      <w:r w:rsidRPr="001A4C49">
        <w:rPr>
          <w:rFonts w:ascii="Arial" w:hAnsi="Arial" w:cs="Arial"/>
          <w:sz w:val="24"/>
        </w:rPr>
        <w:t xml:space="preserve"> 23 April 2024</w:t>
      </w:r>
    </w:p>
    <w:p w14:paraId="665250AA" w14:textId="2634D5D3" w:rsidR="00627B3F" w:rsidRPr="001A4C49" w:rsidRDefault="00627B3F" w:rsidP="00AE4BA3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1A4C49">
        <w:rPr>
          <w:rFonts w:ascii="Arial" w:hAnsi="Arial" w:cs="Arial"/>
          <w:sz w:val="24"/>
        </w:rPr>
        <w:t>Wednesday</w:t>
      </w:r>
      <w:r w:rsidR="00496C18" w:rsidRPr="001A4C49">
        <w:rPr>
          <w:rFonts w:ascii="Arial" w:hAnsi="Arial" w:cs="Arial"/>
          <w:sz w:val="24"/>
        </w:rPr>
        <w:t>,</w:t>
      </w:r>
      <w:r w:rsidRPr="001A4C49">
        <w:rPr>
          <w:rFonts w:ascii="Arial" w:hAnsi="Arial" w:cs="Arial"/>
          <w:sz w:val="24"/>
        </w:rPr>
        <w:t xml:space="preserve"> 24 April 2024</w:t>
      </w:r>
    </w:p>
    <w:p w14:paraId="70869FD3" w14:textId="53FBB719" w:rsidR="00627B3F" w:rsidRPr="001A4C49" w:rsidRDefault="00627B3F" w:rsidP="00AE4BA3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1A4C49">
        <w:rPr>
          <w:rFonts w:ascii="Arial" w:hAnsi="Arial" w:cs="Arial"/>
          <w:sz w:val="24"/>
        </w:rPr>
        <w:t>Thursday</w:t>
      </w:r>
      <w:r w:rsidR="00496C18" w:rsidRPr="001A4C49">
        <w:rPr>
          <w:rFonts w:ascii="Arial" w:hAnsi="Arial" w:cs="Arial"/>
          <w:sz w:val="24"/>
        </w:rPr>
        <w:t>,</w:t>
      </w:r>
      <w:r w:rsidRPr="001A4C49">
        <w:rPr>
          <w:rFonts w:ascii="Arial" w:hAnsi="Arial" w:cs="Arial"/>
          <w:sz w:val="24"/>
        </w:rPr>
        <w:t xml:space="preserve"> 25 April 2024</w:t>
      </w:r>
    </w:p>
    <w:p w14:paraId="31CB9F84" w14:textId="29121608" w:rsidR="009C1974" w:rsidRPr="001A4C49" w:rsidRDefault="009C1974" w:rsidP="009C1974">
      <w:pPr>
        <w:rPr>
          <w:color w:val="auto"/>
          <w:sz w:val="24"/>
        </w:rPr>
      </w:pPr>
      <w:r w:rsidRPr="001A4C49">
        <w:rPr>
          <w:color w:val="auto"/>
          <w:sz w:val="24"/>
        </w:rPr>
        <w:t xml:space="preserve">Interested parties will be allocated a time slot </w:t>
      </w:r>
      <w:r w:rsidR="00790EFB" w:rsidRPr="001A4C49">
        <w:rPr>
          <w:color w:val="auto"/>
          <w:sz w:val="24"/>
        </w:rPr>
        <w:t xml:space="preserve">of 45 minutes </w:t>
      </w:r>
      <w:r w:rsidR="002A2263" w:rsidRPr="001A4C49">
        <w:rPr>
          <w:color w:val="auto"/>
          <w:sz w:val="24"/>
        </w:rPr>
        <w:t>between 10:00 and 14.</w:t>
      </w:r>
      <w:r w:rsidR="00486CAE" w:rsidRPr="001A4C49">
        <w:rPr>
          <w:color w:val="auto"/>
          <w:sz w:val="24"/>
        </w:rPr>
        <w:t>00</w:t>
      </w:r>
      <w:r w:rsidR="0040076A" w:rsidRPr="001A4C49">
        <w:rPr>
          <w:color w:val="auto"/>
          <w:sz w:val="24"/>
        </w:rPr>
        <w:t>.</w:t>
      </w:r>
    </w:p>
    <w:p w14:paraId="779239A3" w14:textId="278984DE" w:rsidR="00C1527C" w:rsidRPr="001A4C49" w:rsidRDefault="007726F3" w:rsidP="00627B3F">
      <w:pPr>
        <w:rPr>
          <w:sz w:val="24"/>
        </w:rPr>
      </w:pPr>
      <w:r w:rsidRPr="001A4C49">
        <w:rPr>
          <w:sz w:val="24"/>
        </w:rPr>
        <w:t>D</w:t>
      </w:r>
      <w:r w:rsidR="00C1527C" w:rsidRPr="001A4C49">
        <w:rPr>
          <w:sz w:val="24"/>
        </w:rPr>
        <w:t>ue to this we may have to cap the maximum amount of interested parties, but please be assured this will not impact your ability to participate in the impending tender opportunity.</w:t>
      </w:r>
    </w:p>
    <w:p w14:paraId="3E83EDDB" w14:textId="70586FC4" w:rsidR="001E510F" w:rsidRPr="001A4C49" w:rsidRDefault="001E510F" w:rsidP="001E510F">
      <w:pPr>
        <w:rPr>
          <w:sz w:val="24"/>
        </w:rPr>
      </w:pPr>
    </w:p>
    <w:p w14:paraId="6259D7B8" w14:textId="75A75C61" w:rsidR="00A70918" w:rsidRPr="00B553B3" w:rsidRDefault="001E510F" w:rsidP="001E510F">
      <w:pPr>
        <w:rPr>
          <w:color w:val="auto"/>
          <w:sz w:val="24"/>
        </w:rPr>
      </w:pPr>
      <w:r w:rsidRPr="001A4C49">
        <w:rPr>
          <w:sz w:val="24"/>
        </w:rPr>
        <w:t>If you wish to attend</w:t>
      </w:r>
      <w:r w:rsidR="0040076A" w:rsidRPr="001A4C49">
        <w:rPr>
          <w:sz w:val="24"/>
        </w:rPr>
        <w:t xml:space="preserve"> one of the meetings</w:t>
      </w:r>
      <w:r w:rsidRPr="001A4C49">
        <w:rPr>
          <w:sz w:val="24"/>
        </w:rPr>
        <w:t>, please</w:t>
      </w:r>
      <w:r w:rsidR="00086C1D" w:rsidRPr="001A4C49">
        <w:rPr>
          <w:sz w:val="24"/>
        </w:rPr>
        <w:t xml:space="preserve"> complete the </w:t>
      </w:r>
      <w:r w:rsidR="00C74FB5" w:rsidRPr="001A4C49">
        <w:rPr>
          <w:sz w:val="24"/>
        </w:rPr>
        <w:t xml:space="preserve">required contact </w:t>
      </w:r>
      <w:r w:rsidR="00CA0C25" w:rsidRPr="001A4C49">
        <w:rPr>
          <w:sz w:val="24"/>
        </w:rPr>
        <w:t>information,</w:t>
      </w:r>
      <w:r w:rsidR="00C74FB5" w:rsidRPr="001A4C49">
        <w:rPr>
          <w:sz w:val="24"/>
        </w:rPr>
        <w:t xml:space="preserve"> and slot </w:t>
      </w:r>
      <w:r w:rsidR="004A7394" w:rsidRPr="001A4C49">
        <w:rPr>
          <w:sz w:val="24"/>
        </w:rPr>
        <w:t>preference</w:t>
      </w:r>
      <w:r w:rsidR="00086C1D" w:rsidRPr="001A4C49">
        <w:rPr>
          <w:sz w:val="24"/>
        </w:rPr>
        <w:t xml:space="preserve"> and return to</w:t>
      </w:r>
      <w:r w:rsidRPr="001A4C49">
        <w:rPr>
          <w:sz w:val="24"/>
        </w:rPr>
        <w:t xml:space="preserve"> </w:t>
      </w:r>
      <w:hyperlink r:id="rId7" w:history="1">
        <w:r w:rsidR="00820FB4" w:rsidRPr="001A4C49">
          <w:rPr>
            <w:rStyle w:val="Hyperlink"/>
            <w:sz w:val="24"/>
          </w:rPr>
          <w:t>claire.baker@westnorthants.gov.uk</w:t>
        </w:r>
      </w:hyperlink>
      <w:r w:rsidR="00965711" w:rsidRPr="001A4C49">
        <w:rPr>
          <w:sz w:val="24"/>
        </w:rPr>
        <w:t xml:space="preserve"> </w:t>
      </w:r>
      <w:r w:rsidR="001729EF" w:rsidRPr="001A4C49">
        <w:rPr>
          <w:sz w:val="24"/>
        </w:rPr>
        <w:t xml:space="preserve">by </w:t>
      </w:r>
      <w:r w:rsidR="00496C18" w:rsidRPr="001A4C49">
        <w:rPr>
          <w:color w:val="FF0000"/>
          <w:sz w:val="24"/>
        </w:rPr>
        <w:t>17:00</w:t>
      </w:r>
      <w:r w:rsidR="001729EF" w:rsidRPr="001A4C49">
        <w:rPr>
          <w:color w:val="FF0000"/>
          <w:sz w:val="24"/>
        </w:rPr>
        <w:t xml:space="preserve"> </w:t>
      </w:r>
      <w:r w:rsidR="00820FB4" w:rsidRPr="001A4C49">
        <w:rPr>
          <w:color w:val="FF0000"/>
          <w:sz w:val="24"/>
        </w:rPr>
        <w:t>on Friday</w:t>
      </w:r>
      <w:r w:rsidR="00496C18" w:rsidRPr="001A4C49">
        <w:rPr>
          <w:color w:val="FF0000"/>
          <w:sz w:val="24"/>
        </w:rPr>
        <w:t>,</w:t>
      </w:r>
      <w:r w:rsidR="00820FB4" w:rsidRPr="001A4C49">
        <w:rPr>
          <w:color w:val="FF0000"/>
          <w:sz w:val="24"/>
        </w:rPr>
        <w:t xml:space="preserve"> 12</w:t>
      </w:r>
      <w:r w:rsidR="00820FB4" w:rsidRPr="001A4C49">
        <w:rPr>
          <w:color w:val="FF0000"/>
          <w:sz w:val="24"/>
          <w:vertAlign w:val="superscript"/>
        </w:rPr>
        <w:t>th</w:t>
      </w:r>
      <w:r w:rsidR="00820FB4" w:rsidRPr="001A4C49">
        <w:rPr>
          <w:color w:val="FF0000"/>
          <w:sz w:val="24"/>
        </w:rPr>
        <w:t xml:space="preserve"> April 2024</w:t>
      </w:r>
      <w:r w:rsidR="005D4D4D" w:rsidRPr="001A4C49">
        <w:rPr>
          <w:color w:val="FF0000"/>
          <w:sz w:val="24"/>
        </w:rPr>
        <w:t>:</w:t>
      </w:r>
    </w:p>
    <w:p w14:paraId="3F017ECD" w14:textId="77777777" w:rsidR="000861D5" w:rsidRDefault="000861D5" w:rsidP="001E510F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12"/>
      </w:tblGrid>
      <w:tr w:rsidR="00C15681" w14:paraId="5D9A4474" w14:textId="77777777" w:rsidTr="00E50DB0">
        <w:tc>
          <w:tcPr>
            <w:tcW w:w="2972" w:type="dxa"/>
            <w:shd w:val="clear" w:color="auto" w:fill="8DB3E2" w:themeFill="text2" w:themeFillTint="66"/>
          </w:tcPr>
          <w:p w14:paraId="547E51A3" w14:textId="71B96F8E" w:rsidR="00C15681" w:rsidRPr="00E50DB0" w:rsidRDefault="00C15681" w:rsidP="001E510F">
            <w:pPr>
              <w:rPr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>Organisation Name:</w:t>
            </w:r>
          </w:p>
        </w:tc>
        <w:tc>
          <w:tcPr>
            <w:tcW w:w="5812" w:type="dxa"/>
          </w:tcPr>
          <w:p w14:paraId="1FAF72AE" w14:textId="6D85840C" w:rsidR="00C15681" w:rsidRPr="00957286" w:rsidRDefault="00C15681" w:rsidP="001E510F">
            <w:pPr>
              <w:rPr>
                <w:color w:val="auto"/>
                <w:sz w:val="24"/>
                <w:szCs w:val="22"/>
                <w:lang w:eastAsia="en-GB"/>
              </w:rPr>
            </w:pPr>
          </w:p>
        </w:tc>
      </w:tr>
      <w:tr w:rsidR="00C15681" w14:paraId="57F77C5B" w14:textId="77777777" w:rsidTr="00E50DB0">
        <w:tc>
          <w:tcPr>
            <w:tcW w:w="2972" w:type="dxa"/>
            <w:shd w:val="clear" w:color="auto" w:fill="8DB3E2" w:themeFill="text2" w:themeFillTint="66"/>
          </w:tcPr>
          <w:p w14:paraId="6B8D0BD2" w14:textId="4FED9026" w:rsidR="00C15681" w:rsidRPr="00E50DB0" w:rsidRDefault="00BD2C0B" w:rsidP="001E510F">
            <w:pPr>
              <w:rPr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>Main</w:t>
            </w:r>
            <w:r w:rsidR="00D508DC"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 xml:space="preserve"> </w:t>
            </w:r>
            <w:r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>Contact Name</w:t>
            </w:r>
            <w:r w:rsidR="00746BB0"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 xml:space="preserve"> and </w:t>
            </w:r>
            <w:r w:rsidR="00A36346"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>D</w:t>
            </w:r>
            <w:r w:rsidR="00746BB0"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>etails</w:t>
            </w:r>
            <w:r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5812" w:type="dxa"/>
          </w:tcPr>
          <w:p w14:paraId="1D0B5CE5" w14:textId="77777777" w:rsidR="00C15681" w:rsidRPr="00957286" w:rsidRDefault="00C15681" w:rsidP="001E510F">
            <w:pPr>
              <w:rPr>
                <w:color w:val="auto"/>
                <w:sz w:val="24"/>
                <w:szCs w:val="22"/>
                <w:lang w:eastAsia="en-GB"/>
              </w:rPr>
            </w:pPr>
          </w:p>
        </w:tc>
      </w:tr>
      <w:tr w:rsidR="00D17E61" w14:paraId="7E2FB8A0" w14:textId="77777777" w:rsidTr="00E50DB0">
        <w:tc>
          <w:tcPr>
            <w:tcW w:w="2972" w:type="dxa"/>
            <w:shd w:val="clear" w:color="auto" w:fill="8DB3E2" w:themeFill="text2" w:themeFillTint="66"/>
          </w:tcPr>
          <w:p w14:paraId="3115927B" w14:textId="11881D81" w:rsidR="00D17E61" w:rsidRPr="00E50DB0" w:rsidRDefault="00D508DC" w:rsidP="001E510F">
            <w:pPr>
              <w:rPr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>Name(s) of Attendee(s):</w:t>
            </w:r>
          </w:p>
        </w:tc>
        <w:tc>
          <w:tcPr>
            <w:tcW w:w="5812" w:type="dxa"/>
          </w:tcPr>
          <w:p w14:paraId="23A14DBB" w14:textId="77777777" w:rsidR="00D17E61" w:rsidRPr="00957286" w:rsidRDefault="00D17E61" w:rsidP="001E510F">
            <w:pPr>
              <w:rPr>
                <w:color w:val="auto"/>
                <w:sz w:val="24"/>
                <w:szCs w:val="22"/>
                <w:lang w:eastAsia="en-GB"/>
              </w:rPr>
            </w:pPr>
          </w:p>
        </w:tc>
      </w:tr>
      <w:tr w:rsidR="00FD4182" w14:paraId="6CC3AAB9" w14:textId="77777777" w:rsidTr="00E50DB0">
        <w:tc>
          <w:tcPr>
            <w:tcW w:w="2972" w:type="dxa"/>
            <w:shd w:val="clear" w:color="auto" w:fill="8DB3E2" w:themeFill="text2" w:themeFillTint="66"/>
          </w:tcPr>
          <w:p w14:paraId="58030501" w14:textId="41D56E47" w:rsidR="00FD4182" w:rsidRPr="00E50DB0" w:rsidRDefault="00D508DC" w:rsidP="001E510F">
            <w:pPr>
              <w:rPr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>Email Address</w:t>
            </w:r>
            <w:r w:rsidR="00892B45"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>es</w:t>
            </w:r>
            <w:r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 xml:space="preserve"> for MS Teams </w:t>
            </w:r>
            <w:r w:rsidR="00E532B9">
              <w:rPr>
                <w:b/>
                <w:bCs/>
                <w:color w:val="auto"/>
                <w:sz w:val="22"/>
                <w:szCs w:val="22"/>
                <w:lang w:eastAsia="en-GB"/>
              </w:rPr>
              <w:t>i</w:t>
            </w:r>
            <w:r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>nvite</w:t>
            </w:r>
            <w:r w:rsidR="00C662D1"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 xml:space="preserve"> link</w:t>
            </w:r>
            <w:r w:rsidR="00A36346"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 xml:space="preserve"> to be sent</w:t>
            </w:r>
            <w:r w:rsidR="00ED2C07" w:rsidRPr="00E50DB0">
              <w:rPr>
                <w:b/>
                <w:bCs/>
                <w:color w:val="auto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5812" w:type="dxa"/>
          </w:tcPr>
          <w:p w14:paraId="06E3D088" w14:textId="77777777" w:rsidR="00FD4182" w:rsidRPr="00957286" w:rsidRDefault="00FD4182" w:rsidP="001E510F">
            <w:pPr>
              <w:rPr>
                <w:color w:val="auto"/>
                <w:sz w:val="24"/>
                <w:szCs w:val="22"/>
                <w:lang w:eastAsia="en-GB"/>
              </w:rPr>
            </w:pPr>
          </w:p>
        </w:tc>
      </w:tr>
      <w:tr w:rsidR="00DE4E37" w14:paraId="56A09B77" w14:textId="77777777" w:rsidTr="0092588B">
        <w:tc>
          <w:tcPr>
            <w:tcW w:w="8784" w:type="dxa"/>
            <w:gridSpan w:val="2"/>
          </w:tcPr>
          <w:p w14:paraId="473BA7C9" w14:textId="4E78BA93" w:rsidR="00DE4E37" w:rsidRPr="0020188A" w:rsidRDefault="00065B34" w:rsidP="001E510F">
            <w:pPr>
              <w:rPr>
                <w:color w:val="FF0000"/>
                <w:sz w:val="22"/>
                <w:szCs w:val="22"/>
                <w:lang w:eastAsia="en-GB"/>
              </w:rPr>
            </w:pPr>
            <w:r w:rsidRPr="00076DE5">
              <w:rPr>
                <w:color w:val="FF0000"/>
                <w:sz w:val="22"/>
                <w:szCs w:val="22"/>
                <w:lang w:eastAsia="en-GB"/>
              </w:rPr>
              <w:t xml:space="preserve">Available </w:t>
            </w:r>
            <w:r w:rsidR="00A10C8C">
              <w:rPr>
                <w:color w:val="FF0000"/>
                <w:sz w:val="22"/>
                <w:szCs w:val="22"/>
                <w:lang w:eastAsia="en-GB"/>
              </w:rPr>
              <w:t>s</w:t>
            </w:r>
            <w:r w:rsidR="00DE4E37" w:rsidRPr="00076DE5">
              <w:rPr>
                <w:color w:val="FF0000"/>
                <w:sz w:val="22"/>
                <w:szCs w:val="22"/>
                <w:lang w:eastAsia="en-GB"/>
              </w:rPr>
              <w:t xml:space="preserve">lot </w:t>
            </w:r>
            <w:r w:rsidR="00076DE5">
              <w:rPr>
                <w:color w:val="FF0000"/>
                <w:sz w:val="22"/>
                <w:szCs w:val="22"/>
                <w:lang w:eastAsia="en-GB"/>
              </w:rPr>
              <w:t>t</w:t>
            </w:r>
            <w:r w:rsidR="00DE4E37" w:rsidRPr="00076DE5">
              <w:rPr>
                <w:color w:val="FF0000"/>
                <w:sz w:val="22"/>
                <w:szCs w:val="22"/>
                <w:lang w:eastAsia="en-GB"/>
              </w:rPr>
              <w:t>ime</w:t>
            </w:r>
            <w:r w:rsidRPr="00076DE5">
              <w:rPr>
                <w:color w:val="FF0000"/>
                <w:sz w:val="22"/>
                <w:szCs w:val="22"/>
                <w:lang w:eastAsia="en-GB"/>
              </w:rPr>
              <w:t>s</w:t>
            </w:r>
            <w:r w:rsidR="00DE4E37" w:rsidRPr="00076DE5">
              <w:rPr>
                <w:color w:val="FF0000"/>
                <w:sz w:val="22"/>
                <w:szCs w:val="22"/>
                <w:lang w:eastAsia="en-GB"/>
              </w:rPr>
              <w:t xml:space="preserve"> and </w:t>
            </w:r>
            <w:r w:rsidR="00076DE5">
              <w:rPr>
                <w:color w:val="FF0000"/>
                <w:sz w:val="22"/>
                <w:szCs w:val="22"/>
                <w:lang w:eastAsia="en-GB"/>
              </w:rPr>
              <w:t>d</w:t>
            </w:r>
            <w:r w:rsidR="00DE4E37" w:rsidRPr="00076DE5">
              <w:rPr>
                <w:color w:val="FF0000"/>
                <w:sz w:val="22"/>
                <w:szCs w:val="22"/>
                <w:lang w:eastAsia="en-GB"/>
              </w:rPr>
              <w:t xml:space="preserve">ates </w:t>
            </w:r>
            <w:r w:rsidR="0020188A" w:rsidRPr="00076DE5">
              <w:rPr>
                <w:color w:val="FF0000"/>
                <w:sz w:val="22"/>
                <w:szCs w:val="22"/>
                <w:lang w:eastAsia="en-GB"/>
              </w:rPr>
              <w:t>–</w:t>
            </w:r>
            <w:r w:rsidR="00FA064C">
              <w:rPr>
                <w:color w:val="FF0000"/>
                <w:sz w:val="22"/>
                <w:szCs w:val="22"/>
                <w:lang w:eastAsia="en-GB"/>
              </w:rPr>
              <w:t xml:space="preserve"> </w:t>
            </w:r>
            <w:r w:rsidR="00223067">
              <w:rPr>
                <w:color w:val="FF0000"/>
                <w:sz w:val="22"/>
                <w:szCs w:val="22"/>
                <w:lang w:eastAsia="en-GB"/>
              </w:rPr>
              <w:t>P</w:t>
            </w:r>
            <w:r w:rsidR="00DE4E37" w:rsidRPr="00076DE5">
              <w:rPr>
                <w:color w:val="FF0000"/>
                <w:sz w:val="22"/>
                <w:szCs w:val="22"/>
                <w:lang w:eastAsia="en-GB"/>
              </w:rPr>
              <w:t>lease select</w:t>
            </w:r>
            <w:r w:rsidR="00CA6B23" w:rsidRPr="00076DE5">
              <w:rPr>
                <w:color w:val="FF0000"/>
                <w:sz w:val="22"/>
                <w:szCs w:val="22"/>
                <w:lang w:eastAsia="en-GB"/>
              </w:rPr>
              <w:t xml:space="preserve"> your preferred slot(s) in</w:t>
            </w:r>
            <w:r w:rsidR="00A713AE" w:rsidRPr="00076DE5">
              <w:rPr>
                <w:color w:val="FF0000"/>
                <w:sz w:val="22"/>
                <w:szCs w:val="22"/>
                <w:lang w:eastAsia="en-GB"/>
              </w:rPr>
              <w:t xml:space="preserve"> preference order</w:t>
            </w:r>
            <w:r w:rsidR="00D3601C">
              <w:rPr>
                <w:color w:val="FF0000"/>
                <w:sz w:val="22"/>
                <w:szCs w:val="22"/>
                <w:lang w:eastAsia="en-GB"/>
              </w:rPr>
              <w:t xml:space="preserve"> </w:t>
            </w:r>
            <w:r w:rsidR="00733A5A">
              <w:rPr>
                <w:color w:val="FF0000"/>
                <w:sz w:val="22"/>
                <w:szCs w:val="22"/>
                <w:lang w:eastAsia="en-GB"/>
              </w:rPr>
              <w:t xml:space="preserve">i.e., </w:t>
            </w:r>
            <w:r w:rsidR="00D3601C">
              <w:rPr>
                <w:color w:val="FF0000"/>
                <w:sz w:val="22"/>
                <w:szCs w:val="22"/>
                <w:lang w:eastAsia="en-GB"/>
              </w:rPr>
              <w:t>1</w:t>
            </w:r>
            <w:r w:rsidR="00D3601C" w:rsidRPr="00D3601C">
              <w:rPr>
                <w:color w:val="FF0000"/>
                <w:sz w:val="22"/>
                <w:szCs w:val="22"/>
                <w:vertAlign w:val="superscript"/>
                <w:lang w:eastAsia="en-GB"/>
              </w:rPr>
              <w:t>st</w:t>
            </w:r>
            <w:r w:rsidR="00D3601C">
              <w:rPr>
                <w:color w:val="FF0000"/>
                <w:sz w:val="22"/>
                <w:szCs w:val="22"/>
                <w:lang w:eastAsia="en-GB"/>
              </w:rPr>
              <w:t>, 2</w:t>
            </w:r>
            <w:r w:rsidR="00D3601C" w:rsidRPr="00D3601C">
              <w:rPr>
                <w:color w:val="FF0000"/>
                <w:sz w:val="22"/>
                <w:szCs w:val="22"/>
                <w:vertAlign w:val="superscript"/>
                <w:lang w:eastAsia="en-GB"/>
              </w:rPr>
              <w:t>nd</w:t>
            </w:r>
            <w:r w:rsidR="00D3601C">
              <w:rPr>
                <w:color w:val="FF0000"/>
                <w:sz w:val="22"/>
                <w:szCs w:val="22"/>
                <w:lang w:eastAsia="en-GB"/>
              </w:rPr>
              <w:t xml:space="preserve">, </w:t>
            </w:r>
            <w:r w:rsidR="00733A5A">
              <w:rPr>
                <w:color w:val="FF0000"/>
                <w:sz w:val="22"/>
                <w:szCs w:val="22"/>
                <w:lang w:eastAsia="en-GB"/>
              </w:rPr>
              <w:t>3</w:t>
            </w:r>
            <w:r w:rsidR="00733A5A" w:rsidRPr="00733A5A">
              <w:rPr>
                <w:color w:val="FF0000"/>
                <w:sz w:val="22"/>
                <w:szCs w:val="22"/>
                <w:vertAlign w:val="superscript"/>
                <w:lang w:eastAsia="en-GB"/>
              </w:rPr>
              <w:t>rd</w:t>
            </w:r>
            <w:r w:rsidR="00A35094">
              <w:rPr>
                <w:color w:val="FF0000"/>
                <w:sz w:val="22"/>
                <w:szCs w:val="22"/>
                <w:lang w:eastAsia="en-GB"/>
              </w:rPr>
              <w:t>,</w:t>
            </w:r>
            <w:r w:rsidR="00733A5A">
              <w:rPr>
                <w:color w:val="FF0000"/>
                <w:sz w:val="22"/>
                <w:szCs w:val="22"/>
                <w:lang w:eastAsia="en-GB"/>
              </w:rPr>
              <w:t xml:space="preserve"> 4</w:t>
            </w:r>
            <w:r w:rsidR="00733A5A" w:rsidRPr="00733A5A">
              <w:rPr>
                <w:color w:val="FF0000"/>
                <w:sz w:val="22"/>
                <w:szCs w:val="22"/>
                <w:vertAlign w:val="superscript"/>
                <w:lang w:eastAsia="en-GB"/>
              </w:rPr>
              <w:t>th</w:t>
            </w:r>
            <w:r w:rsidR="00CA6B23" w:rsidRPr="00076DE5">
              <w:rPr>
                <w:color w:val="FF0000"/>
                <w:sz w:val="22"/>
                <w:szCs w:val="22"/>
                <w:lang w:eastAsia="en-GB"/>
              </w:rPr>
              <w:t>.</w:t>
            </w:r>
            <w:r w:rsidR="00E70C1B" w:rsidRPr="00076DE5">
              <w:rPr>
                <w:color w:val="FF0000"/>
                <w:sz w:val="22"/>
                <w:szCs w:val="22"/>
                <w:lang w:eastAsia="en-GB"/>
              </w:rPr>
              <w:t xml:space="preserve"> </w:t>
            </w:r>
            <w:r w:rsidR="0020188A">
              <w:rPr>
                <w:color w:val="FF0000"/>
                <w:sz w:val="22"/>
                <w:szCs w:val="22"/>
                <w:lang w:eastAsia="en-GB"/>
              </w:rPr>
              <w:t>S</w:t>
            </w:r>
            <w:r w:rsidR="00E70C1B" w:rsidRPr="00076DE5">
              <w:rPr>
                <w:color w:val="FF0000"/>
                <w:sz w:val="22"/>
                <w:szCs w:val="22"/>
                <w:lang w:eastAsia="en-GB"/>
              </w:rPr>
              <w:t>lots</w:t>
            </w:r>
            <w:r w:rsidR="001636FF" w:rsidRPr="00076DE5">
              <w:rPr>
                <w:color w:val="FF0000"/>
                <w:sz w:val="22"/>
                <w:szCs w:val="22"/>
                <w:lang w:eastAsia="en-GB"/>
              </w:rPr>
              <w:t xml:space="preserve"> will </w:t>
            </w:r>
            <w:r w:rsidR="0041304E" w:rsidRPr="00076DE5">
              <w:rPr>
                <w:color w:val="FF0000"/>
                <w:sz w:val="22"/>
                <w:szCs w:val="22"/>
                <w:lang w:eastAsia="en-GB"/>
              </w:rPr>
              <w:t>be allocated on a first come first serve basis</w:t>
            </w:r>
            <w:r w:rsidR="00B95C28">
              <w:rPr>
                <w:color w:val="FF0000"/>
                <w:sz w:val="22"/>
                <w:szCs w:val="22"/>
                <w:lang w:eastAsia="en-GB"/>
              </w:rPr>
              <w:t>:</w:t>
            </w:r>
            <w:r w:rsidR="001636FF" w:rsidRPr="00076DE5">
              <w:rPr>
                <w:color w:val="FF0000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0699BD6D" w14:textId="77777777" w:rsidR="000861D5" w:rsidRDefault="000861D5" w:rsidP="001E510F">
      <w:pPr>
        <w:rPr>
          <w:color w:val="1F497D"/>
          <w:sz w:val="24"/>
          <w:szCs w:val="22"/>
          <w:lang w:eastAsia="en-GB"/>
        </w:rPr>
      </w:pPr>
    </w:p>
    <w:p w14:paraId="544CB284" w14:textId="77777777" w:rsidR="00E54335" w:rsidRDefault="00E54335" w:rsidP="001E510F">
      <w:pPr>
        <w:rPr>
          <w:color w:val="1F497D"/>
          <w:sz w:val="24"/>
          <w:szCs w:val="22"/>
          <w:lang w:eastAsia="en-GB"/>
        </w:rPr>
      </w:pPr>
    </w:p>
    <w:p w14:paraId="7BAC22F3" w14:textId="77777777" w:rsidR="00E54335" w:rsidRPr="00540BB6" w:rsidRDefault="00E54335" w:rsidP="001E510F">
      <w:pPr>
        <w:rPr>
          <w:color w:val="1F497D"/>
          <w:sz w:val="24"/>
          <w:szCs w:val="22"/>
          <w:lang w:eastAsia="en-GB"/>
        </w:rPr>
      </w:pPr>
    </w:p>
    <w:p w14:paraId="7771DB01" w14:textId="77777777" w:rsidR="00462E67" w:rsidRDefault="00C34B35" w:rsidP="00C34B3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843"/>
        <w:gridCol w:w="1293"/>
      </w:tblGrid>
      <w:tr w:rsidR="001824F7" w14:paraId="08966E5A" w14:textId="77777777" w:rsidTr="00883159">
        <w:tc>
          <w:tcPr>
            <w:tcW w:w="4340" w:type="dxa"/>
            <w:gridSpan w:val="3"/>
          </w:tcPr>
          <w:p w14:paraId="3D5BDF68" w14:textId="13FC4809" w:rsidR="001824F7" w:rsidRPr="00B37C6F" w:rsidRDefault="001824F7" w:rsidP="00C34B35">
            <w:pPr>
              <w:rPr>
                <w:rFonts w:cs="Arial"/>
                <w:sz w:val="22"/>
                <w:szCs w:val="22"/>
              </w:rPr>
            </w:pPr>
            <w:bookmarkStart w:id="0" w:name="_Hlk160456952"/>
            <w:r w:rsidRPr="00B37C6F">
              <w:rPr>
                <w:rFonts w:cs="Arial"/>
                <w:color w:val="FF0000"/>
                <w:sz w:val="22"/>
                <w:szCs w:val="22"/>
              </w:rPr>
              <w:t>Monday, 22</w:t>
            </w:r>
            <w:r w:rsidRPr="00B37C6F">
              <w:rPr>
                <w:rFonts w:cs="Arial"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Pr="00B37C6F">
              <w:rPr>
                <w:rFonts w:cs="Arial"/>
                <w:color w:val="FF0000"/>
                <w:sz w:val="22"/>
                <w:szCs w:val="22"/>
              </w:rPr>
              <w:t>April 2024</w:t>
            </w:r>
            <w:r w:rsidR="00883159">
              <w:rPr>
                <w:rFonts w:cs="Arial"/>
                <w:color w:val="FF0000"/>
                <w:sz w:val="22"/>
                <w:szCs w:val="22"/>
              </w:rPr>
              <w:t>:</w:t>
            </w:r>
          </w:p>
        </w:tc>
      </w:tr>
      <w:tr w:rsidR="00ED05EE" w:rsidRPr="00ED05EE" w14:paraId="51CC2867" w14:textId="77777777" w:rsidTr="00C9644C">
        <w:tc>
          <w:tcPr>
            <w:tcW w:w="1204" w:type="dxa"/>
            <w:shd w:val="clear" w:color="auto" w:fill="8DB3E2" w:themeFill="text2" w:themeFillTint="66"/>
          </w:tcPr>
          <w:p w14:paraId="1973CC67" w14:textId="7D82BF9D" w:rsidR="00320740" w:rsidRPr="00ED05EE" w:rsidRDefault="00B41950" w:rsidP="00C34B3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Slot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049F1332" w14:textId="4BDD4C94" w:rsidR="00320740" w:rsidRPr="00ED05EE" w:rsidRDefault="00B41950" w:rsidP="00C34B3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Slot Time</w:t>
            </w:r>
          </w:p>
        </w:tc>
        <w:tc>
          <w:tcPr>
            <w:tcW w:w="1293" w:type="dxa"/>
            <w:shd w:val="clear" w:color="auto" w:fill="8DB3E2" w:themeFill="text2" w:themeFillTint="66"/>
          </w:tcPr>
          <w:p w14:paraId="0A7551B4" w14:textId="4EB55979" w:rsidR="00320740" w:rsidRPr="00ED05EE" w:rsidRDefault="00B41950" w:rsidP="00C34B3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Preference</w:t>
            </w:r>
          </w:p>
        </w:tc>
      </w:tr>
      <w:tr w:rsidR="00CB201F" w:rsidRPr="00ED05EE" w14:paraId="2DAFFE61" w14:textId="77777777" w:rsidTr="00883159">
        <w:tc>
          <w:tcPr>
            <w:tcW w:w="1204" w:type="dxa"/>
          </w:tcPr>
          <w:p w14:paraId="34786B60" w14:textId="73B7629E" w:rsidR="00CB201F" w:rsidRPr="00ED05EE" w:rsidRDefault="00CB201F" w:rsidP="00C34B35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ABC0F81" w14:textId="74666D01" w:rsidR="00CB201F" w:rsidRPr="00ED05EE" w:rsidRDefault="00CB201F" w:rsidP="00C34B35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10:00 – 10:45</w:t>
            </w:r>
          </w:p>
        </w:tc>
        <w:tc>
          <w:tcPr>
            <w:tcW w:w="1293" w:type="dxa"/>
          </w:tcPr>
          <w:p w14:paraId="6BAB823B" w14:textId="77777777" w:rsidR="00CB201F" w:rsidRPr="00ED05EE" w:rsidRDefault="00CB201F" w:rsidP="00C34B3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1824F7" w:rsidRPr="00ED05EE" w14:paraId="442F3EDE" w14:textId="77777777" w:rsidTr="00883159">
        <w:tc>
          <w:tcPr>
            <w:tcW w:w="1204" w:type="dxa"/>
          </w:tcPr>
          <w:p w14:paraId="0031B454" w14:textId="638BB498" w:rsidR="001824F7" w:rsidRPr="00ED05EE" w:rsidRDefault="001824F7" w:rsidP="00C34B3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0DDFA394" w14:textId="2F82F0B4" w:rsidR="001824F7" w:rsidRPr="00ED05EE" w:rsidRDefault="001705B6" w:rsidP="00C34B35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  <w:r>
              <w:rPr>
                <w:rFonts w:cs="Arial"/>
                <w:color w:val="auto"/>
                <w:sz w:val="22"/>
                <w:szCs w:val="22"/>
              </w:rPr>
              <w:t>1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:00 – 1</w:t>
            </w:r>
            <w:r>
              <w:rPr>
                <w:rFonts w:cs="Arial"/>
                <w:color w:val="auto"/>
                <w:sz w:val="22"/>
                <w:szCs w:val="22"/>
              </w:rPr>
              <w:t>1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:45</w:t>
            </w:r>
          </w:p>
        </w:tc>
        <w:tc>
          <w:tcPr>
            <w:tcW w:w="1293" w:type="dxa"/>
          </w:tcPr>
          <w:p w14:paraId="57932CEC" w14:textId="77777777" w:rsidR="001824F7" w:rsidRPr="00ED05EE" w:rsidRDefault="001824F7" w:rsidP="00C34B3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1705B6" w:rsidRPr="00ED05EE" w14:paraId="243B65A3" w14:textId="77777777" w:rsidTr="00E50DB0">
        <w:trPr>
          <w:trHeight w:val="103"/>
        </w:trPr>
        <w:tc>
          <w:tcPr>
            <w:tcW w:w="1204" w:type="dxa"/>
          </w:tcPr>
          <w:p w14:paraId="5DCDA551" w14:textId="15B6F6DC" w:rsidR="001705B6" w:rsidRDefault="001705B6" w:rsidP="00C34B3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54C075E" w14:textId="28AADC85" w:rsidR="001705B6" w:rsidRPr="00ED05EE" w:rsidRDefault="00546657" w:rsidP="00C34B3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12:15 </w:t>
            </w:r>
            <w:r w:rsidR="00446254">
              <w:rPr>
                <w:rFonts w:cs="Arial"/>
                <w:color w:val="auto"/>
                <w:sz w:val="22"/>
                <w:szCs w:val="22"/>
              </w:rPr>
              <w:t>–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446254">
              <w:rPr>
                <w:rFonts w:cs="Arial"/>
                <w:color w:val="auto"/>
                <w:sz w:val="22"/>
                <w:szCs w:val="22"/>
              </w:rPr>
              <w:t>13:00</w:t>
            </w:r>
          </w:p>
        </w:tc>
        <w:tc>
          <w:tcPr>
            <w:tcW w:w="1293" w:type="dxa"/>
          </w:tcPr>
          <w:p w14:paraId="40C36D0D" w14:textId="77777777" w:rsidR="001705B6" w:rsidRPr="00ED05EE" w:rsidRDefault="001705B6" w:rsidP="00C34B3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3316" w:rsidRPr="00ED05EE" w14:paraId="604ADA21" w14:textId="77777777" w:rsidTr="00883159">
        <w:tc>
          <w:tcPr>
            <w:tcW w:w="1204" w:type="dxa"/>
          </w:tcPr>
          <w:p w14:paraId="66F80091" w14:textId="329F1F65" w:rsidR="00843316" w:rsidRDefault="00843316" w:rsidP="00C34B35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533AA539" w14:textId="4DF4A382" w:rsidR="00843316" w:rsidRPr="00ED05EE" w:rsidRDefault="00843316" w:rsidP="00C34B35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  <w:r>
              <w:rPr>
                <w:rFonts w:cs="Arial"/>
                <w:color w:val="auto"/>
                <w:sz w:val="22"/>
                <w:szCs w:val="22"/>
              </w:rPr>
              <w:t>3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</w:t>
            </w:r>
            <w:r w:rsidR="00446254">
              <w:rPr>
                <w:rFonts w:cs="Arial"/>
                <w:color w:val="auto"/>
                <w:sz w:val="22"/>
                <w:szCs w:val="22"/>
              </w:rPr>
              <w:t>15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 xml:space="preserve"> – </w:t>
            </w:r>
            <w:r>
              <w:rPr>
                <w:rFonts w:cs="Arial"/>
                <w:color w:val="auto"/>
                <w:sz w:val="22"/>
                <w:szCs w:val="22"/>
              </w:rPr>
              <w:t>1</w:t>
            </w:r>
            <w:r w:rsidR="00446254">
              <w:rPr>
                <w:rFonts w:cs="Arial"/>
                <w:color w:val="auto"/>
                <w:sz w:val="22"/>
                <w:szCs w:val="22"/>
              </w:rPr>
              <w:t>4:00</w:t>
            </w:r>
          </w:p>
        </w:tc>
        <w:tc>
          <w:tcPr>
            <w:tcW w:w="1293" w:type="dxa"/>
          </w:tcPr>
          <w:p w14:paraId="0BE160CA" w14:textId="77777777" w:rsidR="00843316" w:rsidRPr="00ED05EE" w:rsidRDefault="00843316" w:rsidP="00C34B35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bookmarkEnd w:id="0"/>
    </w:tbl>
    <w:p w14:paraId="13AE3E8E" w14:textId="2E3D0EE9" w:rsidR="00C34B35" w:rsidRPr="00ED05EE" w:rsidRDefault="00C34B35" w:rsidP="00C34B35">
      <w:pPr>
        <w:rPr>
          <w:rFonts w:cs="Arial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843"/>
        <w:gridCol w:w="1293"/>
      </w:tblGrid>
      <w:tr w:rsidR="00CD2E53" w14:paraId="2211D829" w14:textId="77777777" w:rsidTr="00D313D7">
        <w:tc>
          <w:tcPr>
            <w:tcW w:w="4340" w:type="dxa"/>
            <w:gridSpan w:val="3"/>
          </w:tcPr>
          <w:p w14:paraId="27EBF48F" w14:textId="7431D943" w:rsidR="00CD2E53" w:rsidRPr="00B37C6F" w:rsidRDefault="00CD2E53" w:rsidP="00D313D7">
            <w:pPr>
              <w:rPr>
                <w:rFonts w:cs="Arial"/>
                <w:sz w:val="22"/>
                <w:szCs w:val="22"/>
              </w:rPr>
            </w:pPr>
            <w:r w:rsidRPr="00883159">
              <w:rPr>
                <w:rFonts w:cs="Arial"/>
                <w:color w:val="FF0000"/>
                <w:sz w:val="22"/>
                <w:szCs w:val="22"/>
              </w:rPr>
              <w:t>Tuesday, 23 April 2024</w:t>
            </w:r>
            <w:r>
              <w:rPr>
                <w:rFonts w:cs="Arial"/>
                <w:color w:val="FF0000"/>
                <w:sz w:val="22"/>
                <w:szCs w:val="22"/>
              </w:rPr>
              <w:t>:</w:t>
            </w:r>
          </w:p>
        </w:tc>
      </w:tr>
      <w:tr w:rsidR="00CD2E53" w:rsidRPr="00ED05EE" w14:paraId="2C77A9F0" w14:textId="77777777" w:rsidTr="00D313D7">
        <w:tc>
          <w:tcPr>
            <w:tcW w:w="1204" w:type="dxa"/>
            <w:shd w:val="clear" w:color="auto" w:fill="8DB3E2" w:themeFill="text2" w:themeFillTint="66"/>
          </w:tcPr>
          <w:p w14:paraId="219E57F1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Slot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52A0711F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Slot Time</w:t>
            </w:r>
          </w:p>
        </w:tc>
        <w:tc>
          <w:tcPr>
            <w:tcW w:w="1293" w:type="dxa"/>
            <w:shd w:val="clear" w:color="auto" w:fill="8DB3E2" w:themeFill="text2" w:themeFillTint="66"/>
          </w:tcPr>
          <w:p w14:paraId="7020916B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Preference</w:t>
            </w:r>
          </w:p>
        </w:tc>
      </w:tr>
      <w:tr w:rsidR="00CD2E53" w:rsidRPr="00ED05EE" w14:paraId="7DB59FA2" w14:textId="77777777" w:rsidTr="00D313D7">
        <w:tc>
          <w:tcPr>
            <w:tcW w:w="1204" w:type="dxa"/>
          </w:tcPr>
          <w:p w14:paraId="05BF1D9B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FDF6661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10:00 – 10:45</w:t>
            </w:r>
          </w:p>
        </w:tc>
        <w:tc>
          <w:tcPr>
            <w:tcW w:w="1293" w:type="dxa"/>
          </w:tcPr>
          <w:p w14:paraId="08674B04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CD2E53" w:rsidRPr="00ED05EE" w14:paraId="4F1BF9F0" w14:textId="77777777" w:rsidTr="00D313D7">
        <w:tc>
          <w:tcPr>
            <w:tcW w:w="1204" w:type="dxa"/>
          </w:tcPr>
          <w:p w14:paraId="3BB9F91F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6896EA0F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  <w:r>
              <w:rPr>
                <w:rFonts w:cs="Arial"/>
                <w:color w:val="auto"/>
                <w:sz w:val="22"/>
                <w:szCs w:val="22"/>
              </w:rPr>
              <w:t>1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:00 – 1</w:t>
            </w:r>
            <w:r>
              <w:rPr>
                <w:rFonts w:cs="Arial"/>
                <w:color w:val="auto"/>
                <w:sz w:val="22"/>
                <w:szCs w:val="22"/>
              </w:rPr>
              <w:t>1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:45</w:t>
            </w:r>
          </w:p>
        </w:tc>
        <w:tc>
          <w:tcPr>
            <w:tcW w:w="1293" w:type="dxa"/>
          </w:tcPr>
          <w:p w14:paraId="009E2C73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CD2E53" w:rsidRPr="00ED05EE" w14:paraId="0DA6731B" w14:textId="77777777" w:rsidTr="00D313D7">
        <w:tc>
          <w:tcPr>
            <w:tcW w:w="1204" w:type="dxa"/>
          </w:tcPr>
          <w:p w14:paraId="7F5054EF" w14:textId="77777777" w:rsidR="00CD2E53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7D75DF1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12:15 – 13:00</w:t>
            </w:r>
          </w:p>
        </w:tc>
        <w:tc>
          <w:tcPr>
            <w:tcW w:w="1293" w:type="dxa"/>
          </w:tcPr>
          <w:p w14:paraId="2C3BCFFA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CD2E53" w:rsidRPr="00ED05EE" w14:paraId="2D04DE20" w14:textId="77777777" w:rsidTr="00D313D7">
        <w:tc>
          <w:tcPr>
            <w:tcW w:w="1204" w:type="dxa"/>
          </w:tcPr>
          <w:p w14:paraId="459A78A6" w14:textId="77777777" w:rsidR="00CD2E53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521347BA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  <w:r>
              <w:rPr>
                <w:rFonts w:cs="Arial"/>
                <w:color w:val="auto"/>
                <w:sz w:val="22"/>
                <w:szCs w:val="22"/>
              </w:rPr>
              <w:t>3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</w:t>
            </w:r>
            <w:r>
              <w:rPr>
                <w:rFonts w:cs="Arial"/>
                <w:color w:val="auto"/>
                <w:sz w:val="22"/>
                <w:szCs w:val="22"/>
              </w:rPr>
              <w:t>15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 xml:space="preserve"> – </w:t>
            </w:r>
            <w:r>
              <w:rPr>
                <w:rFonts w:cs="Arial"/>
                <w:color w:val="auto"/>
                <w:sz w:val="22"/>
                <w:szCs w:val="22"/>
              </w:rPr>
              <w:t>14:00</w:t>
            </w:r>
          </w:p>
        </w:tc>
        <w:tc>
          <w:tcPr>
            <w:tcW w:w="1293" w:type="dxa"/>
          </w:tcPr>
          <w:p w14:paraId="48B39917" w14:textId="77777777" w:rsidR="00CD2E53" w:rsidRPr="00ED05EE" w:rsidRDefault="00CD2E53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110A67F9" w14:textId="77777777" w:rsidR="00F604D0" w:rsidRDefault="00F604D0" w:rsidP="00C34B35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843"/>
        <w:gridCol w:w="1293"/>
      </w:tblGrid>
      <w:tr w:rsidR="00E06539" w14:paraId="7B26C0AA" w14:textId="77777777" w:rsidTr="00D313D7">
        <w:tc>
          <w:tcPr>
            <w:tcW w:w="4340" w:type="dxa"/>
            <w:gridSpan w:val="3"/>
          </w:tcPr>
          <w:p w14:paraId="404D93AA" w14:textId="42C74D04" w:rsidR="00E06539" w:rsidRPr="00B37C6F" w:rsidRDefault="00D83E36" w:rsidP="00D313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Wedne</w:t>
            </w:r>
            <w:r w:rsidR="00E06539" w:rsidRPr="00883159">
              <w:rPr>
                <w:rFonts w:cs="Arial"/>
                <w:color w:val="FF0000"/>
                <w:sz w:val="22"/>
                <w:szCs w:val="22"/>
              </w:rPr>
              <w:t>sday, 2</w:t>
            </w:r>
            <w:r w:rsidR="00E06539">
              <w:rPr>
                <w:rFonts w:cs="Arial"/>
                <w:color w:val="FF0000"/>
                <w:sz w:val="22"/>
                <w:szCs w:val="22"/>
              </w:rPr>
              <w:t>4</w:t>
            </w:r>
            <w:r w:rsidR="00E06539" w:rsidRPr="00883159">
              <w:rPr>
                <w:rFonts w:cs="Arial"/>
                <w:color w:val="FF0000"/>
                <w:sz w:val="22"/>
                <w:szCs w:val="22"/>
              </w:rPr>
              <w:t xml:space="preserve"> April 2024</w:t>
            </w:r>
            <w:r w:rsidR="00E06539">
              <w:rPr>
                <w:rFonts w:cs="Arial"/>
                <w:color w:val="FF0000"/>
                <w:sz w:val="22"/>
                <w:szCs w:val="22"/>
              </w:rPr>
              <w:t>:</w:t>
            </w:r>
          </w:p>
        </w:tc>
      </w:tr>
      <w:tr w:rsidR="00E06539" w:rsidRPr="00ED05EE" w14:paraId="3ED0C363" w14:textId="77777777" w:rsidTr="00D313D7">
        <w:tc>
          <w:tcPr>
            <w:tcW w:w="1204" w:type="dxa"/>
            <w:shd w:val="clear" w:color="auto" w:fill="8DB3E2" w:themeFill="text2" w:themeFillTint="66"/>
          </w:tcPr>
          <w:p w14:paraId="18BA26C8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Slot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386E8539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Slot Time</w:t>
            </w:r>
          </w:p>
        </w:tc>
        <w:tc>
          <w:tcPr>
            <w:tcW w:w="1293" w:type="dxa"/>
            <w:shd w:val="clear" w:color="auto" w:fill="8DB3E2" w:themeFill="text2" w:themeFillTint="66"/>
          </w:tcPr>
          <w:p w14:paraId="02F9A8E3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Preference</w:t>
            </w:r>
          </w:p>
        </w:tc>
      </w:tr>
      <w:tr w:rsidR="00E06539" w:rsidRPr="00ED05EE" w14:paraId="63F2A8EF" w14:textId="77777777" w:rsidTr="00D313D7">
        <w:tc>
          <w:tcPr>
            <w:tcW w:w="1204" w:type="dxa"/>
          </w:tcPr>
          <w:p w14:paraId="69E48C46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7FE64C11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10:00 – 10:45</w:t>
            </w:r>
          </w:p>
        </w:tc>
        <w:tc>
          <w:tcPr>
            <w:tcW w:w="1293" w:type="dxa"/>
          </w:tcPr>
          <w:p w14:paraId="410124EF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06539" w:rsidRPr="00ED05EE" w14:paraId="7C474458" w14:textId="77777777" w:rsidTr="00D313D7">
        <w:tc>
          <w:tcPr>
            <w:tcW w:w="1204" w:type="dxa"/>
          </w:tcPr>
          <w:p w14:paraId="6F47B6EE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2D41CE0F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  <w:r>
              <w:rPr>
                <w:rFonts w:cs="Arial"/>
                <w:color w:val="auto"/>
                <w:sz w:val="22"/>
                <w:szCs w:val="22"/>
              </w:rPr>
              <w:t>1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:00 – 1</w:t>
            </w:r>
            <w:r>
              <w:rPr>
                <w:rFonts w:cs="Arial"/>
                <w:color w:val="auto"/>
                <w:sz w:val="22"/>
                <w:szCs w:val="22"/>
              </w:rPr>
              <w:t>1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:45</w:t>
            </w:r>
          </w:p>
        </w:tc>
        <w:tc>
          <w:tcPr>
            <w:tcW w:w="1293" w:type="dxa"/>
          </w:tcPr>
          <w:p w14:paraId="508AEA31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06539" w:rsidRPr="00ED05EE" w14:paraId="171E78C5" w14:textId="77777777" w:rsidTr="00D313D7">
        <w:tc>
          <w:tcPr>
            <w:tcW w:w="1204" w:type="dxa"/>
          </w:tcPr>
          <w:p w14:paraId="5515EF69" w14:textId="77777777" w:rsidR="00E06539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58E6A55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12:15 – 13:00</w:t>
            </w:r>
          </w:p>
        </w:tc>
        <w:tc>
          <w:tcPr>
            <w:tcW w:w="1293" w:type="dxa"/>
          </w:tcPr>
          <w:p w14:paraId="03921AE5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06539" w:rsidRPr="00ED05EE" w14:paraId="2E698BA3" w14:textId="77777777" w:rsidTr="00D313D7">
        <w:tc>
          <w:tcPr>
            <w:tcW w:w="1204" w:type="dxa"/>
          </w:tcPr>
          <w:p w14:paraId="070BCC2D" w14:textId="77777777" w:rsidR="00E06539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6AA48D12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  <w:r>
              <w:rPr>
                <w:rFonts w:cs="Arial"/>
                <w:color w:val="auto"/>
                <w:sz w:val="22"/>
                <w:szCs w:val="22"/>
              </w:rPr>
              <w:t>3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</w:t>
            </w:r>
            <w:r>
              <w:rPr>
                <w:rFonts w:cs="Arial"/>
                <w:color w:val="auto"/>
                <w:sz w:val="22"/>
                <w:szCs w:val="22"/>
              </w:rPr>
              <w:t>15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 xml:space="preserve"> – </w:t>
            </w:r>
            <w:r>
              <w:rPr>
                <w:rFonts w:cs="Arial"/>
                <w:color w:val="auto"/>
                <w:sz w:val="22"/>
                <w:szCs w:val="22"/>
              </w:rPr>
              <w:t>14:00</w:t>
            </w:r>
          </w:p>
        </w:tc>
        <w:tc>
          <w:tcPr>
            <w:tcW w:w="1293" w:type="dxa"/>
          </w:tcPr>
          <w:p w14:paraId="45C4EA9E" w14:textId="77777777" w:rsidR="00E06539" w:rsidRPr="00ED05EE" w:rsidRDefault="00E06539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E6BC699" w14:textId="77777777" w:rsidR="00C57C15" w:rsidRDefault="00C57C15" w:rsidP="00C34B35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843"/>
        <w:gridCol w:w="1293"/>
      </w:tblGrid>
      <w:tr w:rsidR="00DD14F4" w14:paraId="6BC8938C" w14:textId="77777777" w:rsidTr="00D313D7">
        <w:tc>
          <w:tcPr>
            <w:tcW w:w="4340" w:type="dxa"/>
            <w:gridSpan w:val="3"/>
          </w:tcPr>
          <w:p w14:paraId="7955CDE4" w14:textId="1E9A2D28" w:rsidR="00DD14F4" w:rsidRPr="00B37C6F" w:rsidRDefault="00DD14F4" w:rsidP="00D313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Wedne</w:t>
            </w:r>
            <w:r w:rsidRPr="00883159">
              <w:rPr>
                <w:rFonts w:cs="Arial"/>
                <w:color w:val="FF0000"/>
                <w:sz w:val="22"/>
                <w:szCs w:val="22"/>
              </w:rPr>
              <w:t>sday, 2</w:t>
            </w:r>
            <w:r w:rsidR="00CD3F7B">
              <w:rPr>
                <w:rFonts w:cs="Arial"/>
                <w:color w:val="FF0000"/>
                <w:sz w:val="22"/>
                <w:szCs w:val="22"/>
              </w:rPr>
              <w:t>5</w:t>
            </w:r>
            <w:r w:rsidRPr="00883159">
              <w:rPr>
                <w:rFonts w:cs="Arial"/>
                <w:color w:val="FF0000"/>
                <w:sz w:val="22"/>
                <w:szCs w:val="22"/>
              </w:rPr>
              <w:t xml:space="preserve"> April 2024</w:t>
            </w:r>
            <w:r>
              <w:rPr>
                <w:rFonts w:cs="Arial"/>
                <w:color w:val="FF0000"/>
                <w:sz w:val="22"/>
                <w:szCs w:val="22"/>
              </w:rPr>
              <w:t>:</w:t>
            </w:r>
          </w:p>
        </w:tc>
      </w:tr>
      <w:tr w:rsidR="00DD14F4" w:rsidRPr="00ED05EE" w14:paraId="5963555E" w14:textId="77777777" w:rsidTr="00D313D7">
        <w:tc>
          <w:tcPr>
            <w:tcW w:w="1204" w:type="dxa"/>
            <w:shd w:val="clear" w:color="auto" w:fill="8DB3E2" w:themeFill="text2" w:themeFillTint="66"/>
          </w:tcPr>
          <w:p w14:paraId="08D140A6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Slot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5EA9CB3D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Slot Time</w:t>
            </w:r>
          </w:p>
        </w:tc>
        <w:tc>
          <w:tcPr>
            <w:tcW w:w="1293" w:type="dxa"/>
            <w:shd w:val="clear" w:color="auto" w:fill="8DB3E2" w:themeFill="text2" w:themeFillTint="66"/>
          </w:tcPr>
          <w:p w14:paraId="32E6C013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Preference</w:t>
            </w:r>
          </w:p>
        </w:tc>
      </w:tr>
      <w:tr w:rsidR="00DD14F4" w:rsidRPr="00ED05EE" w14:paraId="7E25A52A" w14:textId="77777777" w:rsidTr="00D313D7">
        <w:tc>
          <w:tcPr>
            <w:tcW w:w="1204" w:type="dxa"/>
          </w:tcPr>
          <w:p w14:paraId="52CEE764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68FC4E9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10:00 – 10:45</w:t>
            </w:r>
          </w:p>
        </w:tc>
        <w:tc>
          <w:tcPr>
            <w:tcW w:w="1293" w:type="dxa"/>
          </w:tcPr>
          <w:p w14:paraId="348219D4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D14F4" w:rsidRPr="00ED05EE" w14:paraId="02C130F4" w14:textId="77777777" w:rsidTr="00D313D7">
        <w:tc>
          <w:tcPr>
            <w:tcW w:w="1204" w:type="dxa"/>
          </w:tcPr>
          <w:p w14:paraId="053E4395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40B36067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  <w:r>
              <w:rPr>
                <w:rFonts w:cs="Arial"/>
                <w:color w:val="auto"/>
                <w:sz w:val="22"/>
                <w:szCs w:val="22"/>
              </w:rPr>
              <w:t>1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:00 – 1</w:t>
            </w:r>
            <w:r>
              <w:rPr>
                <w:rFonts w:cs="Arial"/>
                <w:color w:val="auto"/>
                <w:sz w:val="22"/>
                <w:szCs w:val="22"/>
              </w:rPr>
              <w:t>1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:45</w:t>
            </w:r>
          </w:p>
        </w:tc>
        <w:tc>
          <w:tcPr>
            <w:tcW w:w="1293" w:type="dxa"/>
          </w:tcPr>
          <w:p w14:paraId="3C862EE1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D14F4" w:rsidRPr="00ED05EE" w14:paraId="7220B162" w14:textId="77777777" w:rsidTr="00D313D7">
        <w:tc>
          <w:tcPr>
            <w:tcW w:w="1204" w:type="dxa"/>
          </w:tcPr>
          <w:p w14:paraId="487FB17E" w14:textId="77777777" w:rsidR="00DD14F4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5C91919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12:15 – 13:00</w:t>
            </w:r>
          </w:p>
        </w:tc>
        <w:tc>
          <w:tcPr>
            <w:tcW w:w="1293" w:type="dxa"/>
          </w:tcPr>
          <w:p w14:paraId="6ED4BB41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D14F4" w:rsidRPr="00ED05EE" w14:paraId="0FC6179A" w14:textId="77777777" w:rsidTr="00D313D7">
        <w:tc>
          <w:tcPr>
            <w:tcW w:w="1204" w:type="dxa"/>
          </w:tcPr>
          <w:p w14:paraId="6B41F7B5" w14:textId="77777777" w:rsidR="00DD14F4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5CC8C560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  <w:r w:rsidRPr="00ED05EE">
              <w:rPr>
                <w:rFonts w:cs="Arial"/>
                <w:color w:val="auto"/>
                <w:sz w:val="22"/>
                <w:szCs w:val="22"/>
              </w:rPr>
              <w:t>1</w:t>
            </w:r>
            <w:r>
              <w:rPr>
                <w:rFonts w:cs="Arial"/>
                <w:color w:val="auto"/>
                <w:sz w:val="22"/>
                <w:szCs w:val="22"/>
              </w:rPr>
              <w:t>3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>:</w:t>
            </w:r>
            <w:r>
              <w:rPr>
                <w:rFonts w:cs="Arial"/>
                <w:color w:val="auto"/>
                <w:sz w:val="22"/>
                <w:szCs w:val="22"/>
              </w:rPr>
              <w:t>15</w:t>
            </w:r>
            <w:r w:rsidRPr="00ED05EE">
              <w:rPr>
                <w:rFonts w:cs="Arial"/>
                <w:color w:val="auto"/>
                <w:sz w:val="22"/>
                <w:szCs w:val="22"/>
              </w:rPr>
              <w:t xml:space="preserve"> – </w:t>
            </w:r>
            <w:r>
              <w:rPr>
                <w:rFonts w:cs="Arial"/>
                <w:color w:val="auto"/>
                <w:sz w:val="22"/>
                <w:szCs w:val="22"/>
              </w:rPr>
              <w:t>14:00</w:t>
            </w:r>
          </w:p>
        </w:tc>
        <w:tc>
          <w:tcPr>
            <w:tcW w:w="1293" w:type="dxa"/>
          </w:tcPr>
          <w:p w14:paraId="1D48E000" w14:textId="77777777" w:rsidR="00DD14F4" w:rsidRPr="00ED05EE" w:rsidRDefault="00DD14F4" w:rsidP="00D313D7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48A4DD66" w14:textId="77777777" w:rsidR="00C57C15" w:rsidRDefault="00C57C15" w:rsidP="00C34B35">
      <w:pPr>
        <w:rPr>
          <w:rStyle w:val="normaltextrun"/>
          <w:rFonts w:cs="Arial"/>
          <w:b/>
          <w:bCs/>
          <w:shd w:val="clear" w:color="auto" w:fill="FFFFFF"/>
        </w:rPr>
      </w:pPr>
    </w:p>
    <w:p w14:paraId="47AE2554" w14:textId="5BD32498" w:rsidR="00B45F39" w:rsidRPr="000A1DEF" w:rsidRDefault="00B45F39" w:rsidP="00C34B35">
      <w:pPr>
        <w:rPr>
          <w:rStyle w:val="normaltextrun"/>
          <w:rFonts w:cs="Arial"/>
          <w:sz w:val="24"/>
          <w:shd w:val="clear" w:color="auto" w:fill="FFFFFF"/>
        </w:rPr>
      </w:pPr>
      <w:r w:rsidRPr="001A4C49">
        <w:rPr>
          <w:rStyle w:val="normaltextrun"/>
          <w:rFonts w:cs="Arial"/>
          <w:sz w:val="24"/>
          <w:shd w:val="clear" w:color="auto" w:fill="FFFFFF"/>
        </w:rPr>
        <w:t xml:space="preserve">The Authority </w:t>
      </w:r>
      <w:r w:rsidR="000A1DEF" w:rsidRPr="001A4C49">
        <w:rPr>
          <w:rStyle w:val="normaltextrun"/>
          <w:rFonts w:cs="Arial"/>
          <w:sz w:val="24"/>
          <w:shd w:val="clear" w:color="auto" w:fill="FFFFFF"/>
        </w:rPr>
        <w:t>anticipates</w:t>
      </w:r>
      <w:r w:rsidRPr="001A4C49">
        <w:rPr>
          <w:rStyle w:val="normaltextrun"/>
          <w:rFonts w:cs="Arial"/>
          <w:sz w:val="24"/>
          <w:shd w:val="clear" w:color="auto" w:fill="FFFFFF"/>
        </w:rPr>
        <w:t xml:space="preserve"> notify</w:t>
      </w:r>
      <w:r w:rsidR="000A1DEF" w:rsidRPr="001A4C49">
        <w:rPr>
          <w:rStyle w:val="normaltextrun"/>
          <w:rFonts w:cs="Arial"/>
          <w:sz w:val="24"/>
          <w:shd w:val="clear" w:color="auto" w:fill="FFFFFF"/>
        </w:rPr>
        <w:t>ing</w:t>
      </w:r>
      <w:r w:rsidRPr="001A4C49">
        <w:rPr>
          <w:rStyle w:val="normaltextrun"/>
          <w:rFonts w:cs="Arial"/>
          <w:sz w:val="24"/>
          <w:shd w:val="clear" w:color="auto" w:fill="FFFFFF"/>
        </w:rPr>
        <w:t xml:space="preserve"> all interested parties </w:t>
      </w:r>
      <w:r w:rsidR="000A1DEF" w:rsidRPr="001A4C49">
        <w:rPr>
          <w:rStyle w:val="normaltextrun"/>
          <w:rFonts w:cs="Arial"/>
          <w:sz w:val="24"/>
          <w:shd w:val="clear" w:color="auto" w:fill="FFFFFF"/>
        </w:rPr>
        <w:t>with their</w:t>
      </w:r>
      <w:r w:rsidRPr="001A4C49">
        <w:rPr>
          <w:rStyle w:val="normaltextrun"/>
          <w:rFonts w:cs="Arial"/>
          <w:sz w:val="24"/>
          <w:shd w:val="clear" w:color="auto" w:fill="FFFFFF"/>
        </w:rPr>
        <w:t xml:space="preserve"> </w:t>
      </w:r>
      <w:r w:rsidR="00DC7765" w:rsidRPr="001A4C49">
        <w:rPr>
          <w:rStyle w:val="normaltextrun"/>
          <w:rFonts w:cs="Arial"/>
          <w:sz w:val="24"/>
          <w:shd w:val="clear" w:color="auto" w:fill="FFFFFF"/>
        </w:rPr>
        <w:t>s</w:t>
      </w:r>
      <w:r w:rsidRPr="001A4C49">
        <w:rPr>
          <w:rStyle w:val="normaltextrun"/>
          <w:rFonts w:cs="Arial"/>
          <w:sz w:val="24"/>
          <w:shd w:val="clear" w:color="auto" w:fill="FFFFFF"/>
        </w:rPr>
        <w:t xml:space="preserve">lot allocation by </w:t>
      </w:r>
      <w:r w:rsidR="000A1DEF" w:rsidRPr="001A4C49">
        <w:rPr>
          <w:rStyle w:val="normaltextrun"/>
          <w:rFonts w:cs="Arial"/>
          <w:sz w:val="24"/>
          <w:shd w:val="clear" w:color="auto" w:fill="FFFFFF"/>
        </w:rPr>
        <w:t>Thursday</w:t>
      </w:r>
      <w:r w:rsidR="004F549A" w:rsidRPr="001A4C49">
        <w:rPr>
          <w:rStyle w:val="normaltextrun"/>
          <w:rFonts w:cs="Arial"/>
          <w:sz w:val="24"/>
          <w:shd w:val="clear" w:color="auto" w:fill="FFFFFF"/>
        </w:rPr>
        <w:t xml:space="preserve"> </w:t>
      </w:r>
      <w:r w:rsidR="000A1DEF" w:rsidRPr="001A4C49">
        <w:rPr>
          <w:rStyle w:val="normaltextrun"/>
          <w:rFonts w:cs="Arial"/>
          <w:sz w:val="24"/>
          <w:shd w:val="clear" w:color="auto" w:fill="FFFFFF"/>
        </w:rPr>
        <w:t>18 April 2024</w:t>
      </w:r>
      <w:r w:rsidR="004F549A" w:rsidRPr="001A4C49">
        <w:rPr>
          <w:rStyle w:val="normaltextrun"/>
          <w:rFonts w:cs="Arial"/>
          <w:sz w:val="24"/>
          <w:shd w:val="clear" w:color="auto" w:fill="FFFFFF"/>
        </w:rPr>
        <w:t>.</w:t>
      </w:r>
    </w:p>
    <w:p w14:paraId="2C0488C1" w14:textId="77777777" w:rsidR="00B45F39" w:rsidRDefault="00B45F39" w:rsidP="00C34B35">
      <w:pPr>
        <w:rPr>
          <w:rStyle w:val="normaltextrun"/>
          <w:rFonts w:cs="Arial"/>
          <w:b/>
          <w:bCs/>
          <w:sz w:val="24"/>
          <w:shd w:val="clear" w:color="auto" w:fill="FFFFFF"/>
        </w:rPr>
      </w:pPr>
    </w:p>
    <w:p w14:paraId="472D42A1" w14:textId="7EDAD404" w:rsidR="00C57C15" w:rsidRPr="00BC16F1" w:rsidRDefault="00C57C15" w:rsidP="00C34B35">
      <w:pPr>
        <w:rPr>
          <w:rFonts w:cs="Arial"/>
          <w:sz w:val="24"/>
        </w:rPr>
      </w:pPr>
      <w:r w:rsidRPr="00BC16F1">
        <w:rPr>
          <w:rStyle w:val="normaltextrun"/>
          <w:rFonts w:cs="Arial"/>
          <w:b/>
          <w:bCs/>
          <w:sz w:val="24"/>
          <w:shd w:val="clear" w:color="auto" w:fill="FFFFFF"/>
        </w:rPr>
        <w:t>Participation in this process will not impact your ability to engage with the future tender opportunity.</w:t>
      </w:r>
    </w:p>
    <w:sectPr w:rsidR="00C57C15" w:rsidRPr="00BC16F1" w:rsidSect="00540BB6">
      <w:headerReference w:type="default" r:id="rId8"/>
      <w:pgSz w:w="11906" w:h="16838"/>
      <w:pgMar w:top="426" w:right="991" w:bottom="1440" w:left="1440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725F" w14:textId="77777777" w:rsidR="00CE6172" w:rsidRDefault="00CE6172" w:rsidP="00C34B35">
      <w:r>
        <w:separator/>
      </w:r>
    </w:p>
  </w:endnote>
  <w:endnote w:type="continuationSeparator" w:id="0">
    <w:p w14:paraId="074E49A9" w14:textId="77777777" w:rsidR="00CE6172" w:rsidRDefault="00CE6172" w:rsidP="00C3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6675" w14:textId="77777777" w:rsidR="00CE6172" w:rsidRDefault="00CE6172" w:rsidP="00C34B35">
      <w:r>
        <w:separator/>
      </w:r>
    </w:p>
  </w:footnote>
  <w:footnote w:type="continuationSeparator" w:id="0">
    <w:p w14:paraId="74F9AA3A" w14:textId="77777777" w:rsidR="00CE6172" w:rsidRDefault="00CE6172" w:rsidP="00C3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7947" w14:textId="727985EB" w:rsidR="00C34B35" w:rsidRDefault="00540BB6">
    <w:pPr>
      <w:pStyle w:val="Header"/>
    </w:pPr>
    <w:r>
      <w:rPr>
        <w:noProof/>
      </w:rPr>
      <w:drawing>
        <wp:inline distT="0" distB="0" distL="0" distR="0" wp14:anchorId="3B13808F" wp14:editId="4F7A8273">
          <wp:extent cx="2502973" cy="838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05" cy="86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56EA"/>
    <w:multiLevelType w:val="hybridMultilevel"/>
    <w:tmpl w:val="1A4E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75CF9"/>
    <w:multiLevelType w:val="hybridMultilevel"/>
    <w:tmpl w:val="2A54620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47065272">
    <w:abstractNumId w:val="0"/>
  </w:num>
  <w:num w:numId="2" w16cid:durableId="204023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5"/>
    <w:rsid w:val="000069CA"/>
    <w:rsid w:val="0002776A"/>
    <w:rsid w:val="00046D59"/>
    <w:rsid w:val="0005383C"/>
    <w:rsid w:val="00065B34"/>
    <w:rsid w:val="0007427C"/>
    <w:rsid w:val="00076DE5"/>
    <w:rsid w:val="000861D5"/>
    <w:rsid w:val="00086C1D"/>
    <w:rsid w:val="00095F70"/>
    <w:rsid w:val="000A1AEF"/>
    <w:rsid w:val="000A1DEF"/>
    <w:rsid w:val="000B617E"/>
    <w:rsid w:val="000D08B5"/>
    <w:rsid w:val="000E1B21"/>
    <w:rsid w:val="000F0F1B"/>
    <w:rsid w:val="0010190B"/>
    <w:rsid w:val="00110FAB"/>
    <w:rsid w:val="001254F8"/>
    <w:rsid w:val="001277E8"/>
    <w:rsid w:val="00146CDF"/>
    <w:rsid w:val="001636FF"/>
    <w:rsid w:val="001705B6"/>
    <w:rsid w:val="001729EF"/>
    <w:rsid w:val="00174FD3"/>
    <w:rsid w:val="001824F7"/>
    <w:rsid w:val="0018456E"/>
    <w:rsid w:val="0018546A"/>
    <w:rsid w:val="001965EA"/>
    <w:rsid w:val="001A110E"/>
    <w:rsid w:val="001A4C49"/>
    <w:rsid w:val="001B0631"/>
    <w:rsid w:val="001C412B"/>
    <w:rsid w:val="001E35F7"/>
    <w:rsid w:val="001E510F"/>
    <w:rsid w:val="0020188A"/>
    <w:rsid w:val="00211DAA"/>
    <w:rsid w:val="00212742"/>
    <w:rsid w:val="00213C8A"/>
    <w:rsid w:val="00214808"/>
    <w:rsid w:val="002221E6"/>
    <w:rsid w:val="00222B9D"/>
    <w:rsid w:val="00223067"/>
    <w:rsid w:val="002340AC"/>
    <w:rsid w:val="0023684F"/>
    <w:rsid w:val="00245F6A"/>
    <w:rsid w:val="00250249"/>
    <w:rsid w:val="00265CF8"/>
    <w:rsid w:val="00281AA1"/>
    <w:rsid w:val="002978EA"/>
    <w:rsid w:val="002A2263"/>
    <w:rsid w:val="002C19D7"/>
    <w:rsid w:val="002C23A8"/>
    <w:rsid w:val="002C37A0"/>
    <w:rsid w:val="002D4B90"/>
    <w:rsid w:val="002E2730"/>
    <w:rsid w:val="002E7494"/>
    <w:rsid w:val="00305F4E"/>
    <w:rsid w:val="00320740"/>
    <w:rsid w:val="003503CC"/>
    <w:rsid w:val="00355B57"/>
    <w:rsid w:val="0038520B"/>
    <w:rsid w:val="003A0DFB"/>
    <w:rsid w:val="003C70C8"/>
    <w:rsid w:val="003F17CB"/>
    <w:rsid w:val="003F1880"/>
    <w:rsid w:val="0040076A"/>
    <w:rsid w:val="00410675"/>
    <w:rsid w:val="0041304E"/>
    <w:rsid w:val="00414C53"/>
    <w:rsid w:val="004300EE"/>
    <w:rsid w:val="00445807"/>
    <w:rsid w:val="00446254"/>
    <w:rsid w:val="00452722"/>
    <w:rsid w:val="00462E67"/>
    <w:rsid w:val="00465A7B"/>
    <w:rsid w:val="004728EC"/>
    <w:rsid w:val="00483473"/>
    <w:rsid w:val="00486CAE"/>
    <w:rsid w:val="00494B23"/>
    <w:rsid w:val="00495422"/>
    <w:rsid w:val="00496C18"/>
    <w:rsid w:val="004A7394"/>
    <w:rsid w:val="004B3D94"/>
    <w:rsid w:val="004D440D"/>
    <w:rsid w:val="004D5336"/>
    <w:rsid w:val="004F120C"/>
    <w:rsid w:val="004F549A"/>
    <w:rsid w:val="004F762F"/>
    <w:rsid w:val="005054A8"/>
    <w:rsid w:val="00534564"/>
    <w:rsid w:val="005352F2"/>
    <w:rsid w:val="00540BB6"/>
    <w:rsid w:val="00546657"/>
    <w:rsid w:val="00554F95"/>
    <w:rsid w:val="0056128C"/>
    <w:rsid w:val="00566818"/>
    <w:rsid w:val="00571EE8"/>
    <w:rsid w:val="00586533"/>
    <w:rsid w:val="005C3072"/>
    <w:rsid w:val="005C47EB"/>
    <w:rsid w:val="005D00F3"/>
    <w:rsid w:val="005D4D4D"/>
    <w:rsid w:val="005D50A5"/>
    <w:rsid w:val="005E7043"/>
    <w:rsid w:val="00601BE3"/>
    <w:rsid w:val="00604E80"/>
    <w:rsid w:val="00627B3F"/>
    <w:rsid w:val="00637D30"/>
    <w:rsid w:val="00663B91"/>
    <w:rsid w:val="00676F7B"/>
    <w:rsid w:val="006860E1"/>
    <w:rsid w:val="00691BFB"/>
    <w:rsid w:val="006B2F63"/>
    <w:rsid w:val="006D7C79"/>
    <w:rsid w:val="006E6118"/>
    <w:rsid w:val="00702907"/>
    <w:rsid w:val="00704833"/>
    <w:rsid w:val="00710F18"/>
    <w:rsid w:val="00733A5A"/>
    <w:rsid w:val="007433AE"/>
    <w:rsid w:val="00746BB0"/>
    <w:rsid w:val="007570A4"/>
    <w:rsid w:val="00761FB0"/>
    <w:rsid w:val="00763C22"/>
    <w:rsid w:val="00763F2B"/>
    <w:rsid w:val="007726F3"/>
    <w:rsid w:val="0077684F"/>
    <w:rsid w:val="00790EFB"/>
    <w:rsid w:val="00793003"/>
    <w:rsid w:val="00795AA4"/>
    <w:rsid w:val="007B080B"/>
    <w:rsid w:val="007D7A03"/>
    <w:rsid w:val="007F58AD"/>
    <w:rsid w:val="007F5F74"/>
    <w:rsid w:val="008073E4"/>
    <w:rsid w:val="00820FB4"/>
    <w:rsid w:val="00843316"/>
    <w:rsid w:val="00863978"/>
    <w:rsid w:val="00883159"/>
    <w:rsid w:val="00892B45"/>
    <w:rsid w:val="00896D82"/>
    <w:rsid w:val="008C7ED3"/>
    <w:rsid w:val="008F4DF5"/>
    <w:rsid w:val="00916516"/>
    <w:rsid w:val="00917100"/>
    <w:rsid w:val="00952EC0"/>
    <w:rsid w:val="00957286"/>
    <w:rsid w:val="00957AB7"/>
    <w:rsid w:val="00965711"/>
    <w:rsid w:val="0096697A"/>
    <w:rsid w:val="00971C41"/>
    <w:rsid w:val="009846A3"/>
    <w:rsid w:val="00987370"/>
    <w:rsid w:val="009919A5"/>
    <w:rsid w:val="009A21A8"/>
    <w:rsid w:val="009C1974"/>
    <w:rsid w:val="009E7ED7"/>
    <w:rsid w:val="00A0109E"/>
    <w:rsid w:val="00A10C8C"/>
    <w:rsid w:val="00A16330"/>
    <w:rsid w:val="00A224F0"/>
    <w:rsid w:val="00A26A36"/>
    <w:rsid w:val="00A35094"/>
    <w:rsid w:val="00A36346"/>
    <w:rsid w:val="00A4062D"/>
    <w:rsid w:val="00A5443C"/>
    <w:rsid w:val="00A65E34"/>
    <w:rsid w:val="00A702F6"/>
    <w:rsid w:val="00A70918"/>
    <w:rsid w:val="00A713AE"/>
    <w:rsid w:val="00AB127C"/>
    <w:rsid w:val="00AD71A6"/>
    <w:rsid w:val="00AE0DC2"/>
    <w:rsid w:val="00AE4BA3"/>
    <w:rsid w:val="00AF0DA7"/>
    <w:rsid w:val="00AF2BF9"/>
    <w:rsid w:val="00AF3E6B"/>
    <w:rsid w:val="00B0425E"/>
    <w:rsid w:val="00B04894"/>
    <w:rsid w:val="00B058A0"/>
    <w:rsid w:val="00B17304"/>
    <w:rsid w:val="00B21C1A"/>
    <w:rsid w:val="00B37C6F"/>
    <w:rsid w:val="00B41950"/>
    <w:rsid w:val="00B45F39"/>
    <w:rsid w:val="00B553B3"/>
    <w:rsid w:val="00B57A85"/>
    <w:rsid w:val="00B648F5"/>
    <w:rsid w:val="00B9377B"/>
    <w:rsid w:val="00B94F71"/>
    <w:rsid w:val="00B95C28"/>
    <w:rsid w:val="00BA3D75"/>
    <w:rsid w:val="00BA5552"/>
    <w:rsid w:val="00BB15A2"/>
    <w:rsid w:val="00BC16F1"/>
    <w:rsid w:val="00BC35E4"/>
    <w:rsid w:val="00BD2C0B"/>
    <w:rsid w:val="00BE5A0F"/>
    <w:rsid w:val="00BF6EF3"/>
    <w:rsid w:val="00C01129"/>
    <w:rsid w:val="00C114B2"/>
    <w:rsid w:val="00C1527C"/>
    <w:rsid w:val="00C15681"/>
    <w:rsid w:val="00C34B35"/>
    <w:rsid w:val="00C54728"/>
    <w:rsid w:val="00C57C15"/>
    <w:rsid w:val="00C6173E"/>
    <w:rsid w:val="00C662D1"/>
    <w:rsid w:val="00C74FB5"/>
    <w:rsid w:val="00C928F1"/>
    <w:rsid w:val="00C95221"/>
    <w:rsid w:val="00C9644C"/>
    <w:rsid w:val="00CA0C25"/>
    <w:rsid w:val="00CA6B23"/>
    <w:rsid w:val="00CB201F"/>
    <w:rsid w:val="00CD2E53"/>
    <w:rsid w:val="00CD3D63"/>
    <w:rsid w:val="00CD3F7B"/>
    <w:rsid w:val="00CE6172"/>
    <w:rsid w:val="00D00108"/>
    <w:rsid w:val="00D0795F"/>
    <w:rsid w:val="00D11BC8"/>
    <w:rsid w:val="00D17E61"/>
    <w:rsid w:val="00D23844"/>
    <w:rsid w:val="00D3601C"/>
    <w:rsid w:val="00D44C64"/>
    <w:rsid w:val="00D508DC"/>
    <w:rsid w:val="00D53E67"/>
    <w:rsid w:val="00D61206"/>
    <w:rsid w:val="00D77C7D"/>
    <w:rsid w:val="00D83E36"/>
    <w:rsid w:val="00DA597E"/>
    <w:rsid w:val="00DB243A"/>
    <w:rsid w:val="00DC01DD"/>
    <w:rsid w:val="00DC7765"/>
    <w:rsid w:val="00DD14F4"/>
    <w:rsid w:val="00DD31BA"/>
    <w:rsid w:val="00DD72AA"/>
    <w:rsid w:val="00DD73C5"/>
    <w:rsid w:val="00DE4E37"/>
    <w:rsid w:val="00DE5246"/>
    <w:rsid w:val="00DF232B"/>
    <w:rsid w:val="00E06539"/>
    <w:rsid w:val="00E145B2"/>
    <w:rsid w:val="00E50DB0"/>
    <w:rsid w:val="00E532B9"/>
    <w:rsid w:val="00E54335"/>
    <w:rsid w:val="00E70C1B"/>
    <w:rsid w:val="00E7100A"/>
    <w:rsid w:val="00E7425E"/>
    <w:rsid w:val="00E804EF"/>
    <w:rsid w:val="00EA1062"/>
    <w:rsid w:val="00EA2ECA"/>
    <w:rsid w:val="00EB3D5E"/>
    <w:rsid w:val="00EC4A63"/>
    <w:rsid w:val="00ED05EE"/>
    <w:rsid w:val="00ED2C07"/>
    <w:rsid w:val="00F007D5"/>
    <w:rsid w:val="00F00D3E"/>
    <w:rsid w:val="00F15467"/>
    <w:rsid w:val="00F34DC4"/>
    <w:rsid w:val="00F47075"/>
    <w:rsid w:val="00F604D0"/>
    <w:rsid w:val="00F674F4"/>
    <w:rsid w:val="00F717E7"/>
    <w:rsid w:val="00F8673B"/>
    <w:rsid w:val="00F86A0E"/>
    <w:rsid w:val="00F90626"/>
    <w:rsid w:val="00F91BF0"/>
    <w:rsid w:val="00FA064C"/>
    <w:rsid w:val="00FA1327"/>
    <w:rsid w:val="00FB5EFA"/>
    <w:rsid w:val="00FD4182"/>
    <w:rsid w:val="00FE15F4"/>
    <w:rsid w:val="00FF03F8"/>
    <w:rsid w:val="00FF1244"/>
    <w:rsid w:val="00FF1D5A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41D52"/>
  <w15:docId w15:val="{A3BA72B5-54B2-4EAC-ADCD-1D0B00CF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B35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35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35"/>
    <w:rPr>
      <w:rFonts w:ascii="Arial" w:eastAsia="Times New Roman" w:hAnsi="Arial" w:cs="Times New Roman"/>
      <w:color w:val="000000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35"/>
    <w:rPr>
      <w:rFonts w:ascii="Arial" w:eastAsia="Times New Roman" w:hAnsi="Arial" w:cs="Times New Roman"/>
      <w:color w:val="000000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1E51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711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0425E"/>
    <w:pPr>
      <w:spacing w:after="200" w:line="276" w:lineRule="auto"/>
      <w:ind w:left="720"/>
      <w:contextualSpacing/>
    </w:pPr>
    <w:rPr>
      <w:rFonts w:ascii="Ubuntu" w:eastAsiaTheme="minorHAnsi" w:hAnsi="Ubuntu" w:cstheme="minorBidi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0425E"/>
    <w:rPr>
      <w:rFonts w:ascii="Ubuntu" w:hAnsi="Ubuntu"/>
    </w:rPr>
  </w:style>
  <w:style w:type="table" w:styleId="TableGrid">
    <w:name w:val="Table Grid"/>
    <w:basedOn w:val="TableNormal"/>
    <w:uiPriority w:val="39"/>
    <w:rsid w:val="00B0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57C15"/>
  </w:style>
  <w:style w:type="character" w:styleId="CommentReference">
    <w:name w:val="annotation reference"/>
    <w:basedOn w:val="DefaultParagraphFont"/>
    <w:uiPriority w:val="99"/>
    <w:semiHidden/>
    <w:unhideWhenUsed/>
    <w:rsid w:val="000F0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F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F1B"/>
    <w:rPr>
      <w:rFonts w:ascii="Arial" w:eastAsia="Times New Roman" w:hAnsi="Arial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F1B"/>
    <w:rPr>
      <w:rFonts w:ascii="Arial" w:eastAsia="Times New Roman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ire.baker@westnorthant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Cherwell District Council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Cael Sendell-Price</dc:creator>
  <cp:lastModifiedBy>Claire Baker</cp:lastModifiedBy>
  <cp:revision>239</cp:revision>
  <dcterms:created xsi:type="dcterms:W3CDTF">2024-02-28T13:13:00Z</dcterms:created>
  <dcterms:modified xsi:type="dcterms:W3CDTF">2024-03-05T11:30:00Z</dcterms:modified>
</cp:coreProperties>
</file>