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F7E2F" w14:textId="77777777" w:rsidR="00B00971" w:rsidRPr="00B00971" w:rsidRDefault="00B00971" w:rsidP="00B00971">
      <w:pPr>
        <w:spacing w:before="0"/>
        <w:rPr>
          <w:rFonts w:ascii="Calibri" w:hAnsi="Calibri"/>
          <w:b/>
          <w:szCs w:val="22"/>
        </w:rPr>
      </w:pPr>
      <w:r w:rsidRPr="00B00971">
        <w:rPr>
          <w:rFonts w:ascii="Calibri" w:hAnsi="Calibri"/>
          <w:b/>
          <w:szCs w:val="22"/>
        </w:rPr>
        <w:t>SECTION TWO: SPECIFICATION</w:t>
      </w:r>
    </w:p>
    <w:p w14:paraId="0CE89483" w14:textId="77777777" w:rsidR="00B00971" w:rsidRPr="00B00971" w:rsidRDefault="00B00971" w:rsidP="00B00971">
      <w:pPr>
        <w:pStyle w:val="Default"/>
        <w:rPr>
          <w:rFonts w:ascii="Calibri" w:hAnsi="Calibri"/>
          <w:color w:val="auto"/>
          <w:sz w:val="22"/>
          <w:szCs w:val="22"/>
        </w:rPr>
      </w:pPr>
      <w:r w:rsidRPr="00B00971">
        <w:rPr>
          <w:rFonts w:ascii="Calibri" w:hAnsi="Calibri"/>
          <w:color w:val="auto"/>
          <w:sz w:val="22"/>
          <w:szCs w:val="22"/>
        </w:rPr>
        <w:t xml:space="preserve">Section two of this ITT sets out the requirement for which the Customer invites Bidders to submit a Tender Response. </w:t>
      </w:r>
    </w:p>
    <w:p w14:paraId="51962B59" w14:textId="77777777" w:rsidR="00B00971" w:rsidRDefault="00B00971" w:rsidP="00B00971">
      <w:pPr>
        <w:pStyle w:val="NoSpacing"/>
        <w:rPr>
          <w:rFonts w:ascii="Calibri" w:hAnsi="Calibri"/>
          <w:b/>
          <w:szCs w:val="22"/>
        </w:rPr>
      </w:pPr>
    </w:p>
    <w:p w14:paraId="0909D34C" w14:textId="77777777" w:rsidR="000F59FF" w:rsidRPr="003B75DD" w:rsidRDefault="000F59FF" w:rsidP="000F59FF">
      <w:pPr>
        <w:pStyle w:val="NoSpacing"/>
        <w:numPr>
          <w:ilvl w:val="0"/>
          <w:numId w:val="1"/>
        </w:numPr>
        <w:suppressAutoHyphens w:val="0"/>
        <w:ind w:left="567" w:hanging="567"/>
        <w:rPr>
          <w:rFonts w:asciiTheme="minorHAnsi" w:hAnsiTheme="minorHAnsi"/>
          <w:b/>
          <w:szCs w:val="22"/>
        </w:rPr>
      </w:pPr>
      <w:r w:rsidRPr="003B75DD">
        <w:rPr>
          <w:rFonts w:asciiTheme="minorHAnsi" w:hAnsiTheme="minorHAnsi"/>
          <w:b/>
          <w:szCs w:val="22"/>
        </w:rPr>
        <w:t>Summary</w:t>
      </w:r>
    </w:p>
    <w:p w14:paraId="58FBB58B" w14:textId="77777777" w:rsidR="000F59FF" w:rsidRDefault="000F59FF" w:rsidP="000F59FF">
      <w:pPr>
        <w:pStyle w:val="NoSpacing"/>
        <w:rPr>
          <w:rFonts w:asciiTheme="minorHAnsi" w:hAnsiTheme="minorHAnsi"/>
          <w:szCs w:val="22"/>
        </w:rPr>
      </w:pPr>
    </w:p>
    <w:p w14:paraId="4B707268" w14:textId="77777777" w:rsidR="002939F7" w:rsidRDefault="002939F7" w:rsidP="002939F7">
      <w:pPr>
        <w:pStyle w:val="Default"/>
        <w:rPr>
          <w:rFonts w:ascii="Calibri" w:hAnsi="Calibri"/>
          <w:color w:val="auto"/>
          <w:sz w:val="22"/>
          <w:szCs w:val="22"/>
        </w:rPr>
      </w:pPr>
      <w:r w:rsidRPr="00865335">
        <w:rPr>
          <w:rFonts w:ascii="Calibri" w:hAnsi="Calibri"/>
          <w:color w:val="auto"/>
          <w:sz w:val="22"/>
          <w:szCs w:val="22"/>
        </w:rPr>
        <w:t xml:space="preserve">The requirement is </w:t>
      </w:r>
      <w:r>
        <w:rPr>
          <w:rFonts w:ascii="Calibri" w:hAnsi="Calibri"/>
          <w:color w:val="auto"/>
          <w:sz w:val="22"/>
          <w:szCs w:val="22"/>
        </w:rPr>
        <w:t xml:space="preserve">for equipment to automatically dry extracts or fractions into screw-capped glass vials with minimal manual intervention </w:t>
      </w:r>
      <w:r w:rsidR="001B683F">
        <w:rPr>
          <w:rFonts w:ascii="Calibri" w:hAnsi="Calibri"/>
          <w:color w:val="auto"/>
          <w:sz w:val="22"/>
          <w:szCs w:val="22"/>
        </w:rPr>
        <w:t xml:space="preserve">and without cross contamination </w:t>
      </w:r>
      <w:r>
        <w:rPr>
          <w:rFonts w:ascii="Calibri" w:hAnsi="Calibri"/>
          <w:color w:val="auto"/>
          <w:sz w:val="22"/>
          <w:szCs w:val="22"/>
        </w:rPr>
        <w:t>so that the dried samples can be weighed, stored or dissolved in solvent for further processing. The solvent to be removed is generally 1 to 10 ml of 100% methanol, 100% water or mixtures of methanol-water.</w:t>
      </w:r>
    </w:p>
    <w:p w14:paraId="2A1A9CD1" w14:textId="77777777" w:rsidR="00553707" w:rsidRDefault="00553707" w:rsidP="002939F7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59FECC00" w14:textId="5244B8EE" w:rsidR="00553707" w:rsidRPr="00865335" w:rsidRDefault="00553707" w:rsidP="002939F7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The equipment must be delivered and installed, and training provided.</w:t>
      </w:r>
    </w:p>
    <w:p w14:paraId="33E1E29D" w14:textId="77777777" w:rsidR="007367A0" w:rsidRDefault="007367A0" w:rsidP="000F59FF">
      <w:pPr>
        <w:pStyle w:val="NoSpacing"/>
        <w:rPr>
          <w:rFonts w:asciiTheme="minorHAnsi" w:hAnsiTheme="minorHAnsi"/>
          <w:szCs w:val="22"/>
        </w:rPr>
      </w:pPr>
    </w:p>
    <w:p w14:paraId="7BBF6AE9" w14:textId="77777777" w:rsidR="000F59FF" w:rsidRPr="003B75DD" w:rsidRDefault="000F59FF" w:rsidP="000F59FF">
      <w:pPr>
        <w:pStyle w:val="NoSpacing"/>
        <w:numPr>
          <w:ilvl w:val="0"/>
          <w:numId w:val="1"/>
        </w:numPr>
        <w:suppressAutoHyphens w:val="0"/>
        <w:ind w:left="567" w:hanging="567"/>
        <w:rPr>
          <w:rFonts w:asciiTheme="minorHAnsi" w:hAnsiTheme="minorHAnsi"/>
          <w:b/>
          <w:szCs w:val="22"/>
        </w:rPr>
      </w:pPr>
      <w:r w:rsidRPr="003B75DD">
        <w:rPr>
          <w:rFonts w:asciiTheme="minorHAnsi" w:hAnsiTheme="minorHAnsi"/>
          <w:b/>
          <w:szCs w:val="22"/>
        </w:rPr>
        <w:t>Scope of Requirements</w:t>
      </w:r>
    </w:p>
    <w:p w14:paraId="79757097" w14:textId="77777777" w:rsidR="002939F7" w:rsidRDefault="002939F7" w:rsidP="009A12E9">
      <w:pPr>
        <w:pStyle w:val="01-NormInd2-BB"/>
        <w:ind w:left="720"/>
        <w:rPr>
          <w:rFonts w:ascii="Calibri" w:hAnsi="Calibri"/>
          <w:b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6191"/>
        <w:gridCol w:w="1462"/>
      </w:tblGrid>
      <w:tr w:rsidR="002939F7" w:rsidRPr="00865335" w14:paraId="249A4567" w14:textId="77777777" w:rsidTr="00190742">
        <w:trPr>
          <w:trHeight w:val="722"/>
        </w:trPr>
        <w:tc>
          <w:tcPr>
            <w:tcW w:w="1414" w:type="dxa"/>
            <w:shd w:val="clear" w:color="auto" w:fill="BFBFBF"/>
          </w:tcPr>
          <w:p w14:paraId="296D4C1D" w14:textId="77777777" w:rsidR="002939F7" w:rsidRPr="00865335" w:rsidRDefault="002939F7" w:rsidP="009A12E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865335">
              <w:rPr>
                <w:rFonts w:ascii="Calibri" w:hAnsi="Calibri"/>
                <w:b/>
              </w:rPr>
              <w:t>Requirement reference</w:t>
            </w:r>
          </w:p>
        </w:tc>
        <w:tc>
          <w:tcPr>
            <w:tcW w:w="619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0DC6BB" w14:textId="77777777" w:rsidR="002939F7" w:rsidRPr="00865335" w:rsidRDefault="002939F7" w:rsidP="009A12E9">
            <w:pPr>
              <w:spacing w:line="240" w:lineRule="auto"/>
              <w:rPr>
                <w:rFonts w:ascii="Calibri" w:hAnsi="Calibri"/>
                <w:b/>
              </w:rPr>
            </w:pPr>
            <w:r w:rsidRPr="00865335">
              <w:rPr>
                <w:rFonts w:ascii="Calibri" w:hAnsi="Calibri"/>
                <w:b/>
              </w:rPr>
              <w:t xml:space="preserve">Specification 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88DD7BC" w14:textId="77777777" w:rsidR="002939F7" w:rsidRPr="00865335" w:rsidRDefault="002939F7" w:rsidP="009A12E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2939F7">
              <w:rPr>
                <w:rFonts w:ascii="Calibri" w:hAnsi="Calibri"/>
                <w:b/>
              </w:rPr>
              <w:t>Scoring methodology / Weighting</w:t>
            </w:r>
          </w:p>
        </w:tc>
      </w:tr>
      <w:tr w:rsidR="002939F7" w:rsidRPr="00865335" w14:paraId="428C9B6F" w14:textId="77777777" w:rsidTr="00F92125">
        <w:trPr>
          <w:trHeight w:val="382"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14:paraId="4D654ECB" w14:textId="77777777" w:rsidR="002939F7" w:rsidRDefault="002939F7" w:rsidP="009A12E9">
            <w:pPr>
              <w:spacing w:before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</w:t>
            </w:r>
          </w:p>
        </w:tc>
      </w:tr>
      <w:tr w:rsidR="002939F7" w:rsidRPr="00865335" w14:paraId="4836FF6C" w14:textId="77777777" w:rsidTr="00190742">
        <w:tc>
          <w:tcPr>
            <w:tcW w:w="1414" w:type="dxa"/>
            <w:shd w:val="clear" w:color="auto" w:fill="auto"/>
          </w:tcPr>
          <w:p w14:paraId="2733DB6D" w14:textId="77777777" w:rsidR="002939F7" w:rsidRPr="00865335" w:rsidRDefault="002939F7" w:rsidP="009A1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14:paraId="0B759FDF" w14:textId="77777777" w:rsidR="002939F7" w:rsidRPr="00865335" w:rsidRDefault="002939F7" w:rsidP="009A12E9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The equipment must dry the sample directly into a </w:t>
            </w:r>
            <w:r w:rsidR="00AE07B8">
              <w:rPr>
                <w:rFonts w:ascii="Calibri" w:eastAsia="Calibri" w:hAnsi="Calibri"/>
              </w:rPr>
              <w:t xml:space="preserve">glass </w:t>
            </w:r>
            <w:r>
              <w:rPr>
                <w:rFonts w:ascii="Calibri" w:eastAsia="Calibri" w:hAnsi="Calibri"/>
              </w:rPr>
              <w:t>vial</w:t>
            </w:r>
            <w:r w:rsidRPr="00865335">
              <w:rPr>
                <w:rFonts w:ascii="Calibri" w:eastAsia="Calibri" w:hAnsi="Calibri"/>
              </w:rPr>
              <w:t>.</w:t>
            </w:r>
          </w:p>
        </w:tc>
        <w:tc>
          <w:tcPr>
            <w:tcW w:w="1462" w:type="dxa"/>
            <w:shd w:val="clear" w:color="auto" w:fill="auto"/>
          </w:tcPr>
          <w:p w14:paraId="3A82D520" w14:textId="77777777" w:rsidR="002939F7" w:rsidRPr="00865335" w:rsidRDefault="002939F7" w:rsidP="009A12E9">
            <w:pPr>
              <w:jc w:val="center"/>
              <w:rPr>
                <w:rFonts w:ascii="Calibri" w:hAnsi="Calibri"/>
              </w:rPr>
            </w:pPr>
            <w:r w:rsidRPr="00865335">
              <w:rPr>
                <w:rFonts w:ascii="Calibri" w:hAnsi="Calibri"/>
              </w:rPr>
              <w:t>Pass/Fail</w:t>
            </w:r>
          </w:p>
        </w:tc>
      </w:tr>
      <w:tr w:rsidR="002939F7" w:rsidRPr="00865335" w14:paraId="7C2B6DA0" w14:textId="77777777" w:rsidTr="00190742">
        <w:tc>
          <w:tcPr>
            <w:tcW w:w="1414" w:type="dxa"/>
            <w:shd w:val="clear" w:color="auto" w:fill="auto"/>
          </w:tcPr>
          <w:p w14:paraId="00F1A110" w14:textId="77777777" w:rsidR="002939F7" w:rsidRPr="00865335" w:rsidRDefault="002939F7" w:rsidP="009A1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191" w:type="dxa"/>
            <w:shd w:val="clear" w:color="auto" w:fill="auto"/>
          </w:tcPr>
          <w:p w14:paraId="50BC9996" w14:textId="77777777" w:rsidR="002939F7" w:rsidRPr="00865335" w:rsidRDefault="002939F7" w:rsidP="006F2DB7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After being set-up by the operator, t</w:t>
            </w:r>
            <w:r w:rsidRPr="00865335">
              <w:rPr>
                <w:rFonts w:ascii="Calibri" w:eastAsia="Calibri" w:hAnsi="Calibri"/>
              </w:rPr>
              <w:t xml:space="preserve">he </w:t>
            </w:r>
            <w:r>
              <w:rPr>
                <w:rFonts w:ascii="Calibri" w:eastAsia="Calibri" w:hAnsi="Calibri"/>
              </w:rPr>
              <w:t xml:space="preserve">equipment must dry at least 10 samples (each having a solvent volume of </w:t>
            </w:r>
            <w:r w:rsidR="006F2DB7">
              <w:rPr>
                <w:rFonts w:ascii="Calibri" w:eastAsia="Calibri" w:hAnsi="Calibri"/>
              </w:rPr>
              <w:t>up to</w:t>
            </w:r>
            <w:r>
              <w:rPr>
                <w:rFonts w:ascii="Calibri" w:eastAsia="Calibri" w:hAnsi="Calibri"/>
              </w:rPr>
              <w:t xml:space="preserve"> 10 ml) into 10 vials without further manual intervention.</w:t>
            </w:r>
          </w:p>
        </w:tc>
        <w:tc>
          <w:tcPr>
            <w:tcW w:w="1462" w:type="dxa"/>
            <w:shd w:val="clear" w:color="auto" w:fill="auto"/>
          </w:tcPr>
          <w:p w14:paraId="6E5CE0DD" w14:textId="77777777" w:rsidR="002939F7" w:rsidRPr="00865335" w:rsidRDefault="002939F7" w:rsidP="009A12E9">
            <w:pPr>
              <w:jc w:val="center"/>
              <w:rPr>
                <w:rFonts w:ascii="Calibri" w:hAnsi="Calibri"/>
              </w:rPr>
            </w:pPr>
            <w:r w:rsidRPr="00865335">
              <w:rPr>
                <w:rFonts w:ascii="Calibri" w:hAnsi="Calibri"/>
              </w:rPr>
              <w:t>Pass/Fail</w:t>
            </w:r>
          </w:p>
        </w:tc>
      </w:tr>
      <w:tr w:rsidR="002939F7" w:rsidRPr="00865335" w14:paraId="675C9E05" w14:textId="77777777" w:rsidTr="00190742">
        <w:tc>
          <w:tcPr>
            <w:tcW w:w="1414" w:type="dxa"/>
            <w:shd w:val="clear" w:color="auto" w:fill="auto"/>
          </w:tcPr>
          <w:p w14:paraId="29199055" w14:textId="77777777" w:rsidR="002939F7" w:rsidRPr="00865335" w:rsidRDefault="002939F7" w:rsidP="009A1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191" w:type="dxa"/>
            <w:shd w:val="clear" w:color="auto" w:fill="auto"/>
          </w:tcPr>
          <w:p w14:paraId="54C2D46F" w14:textId="77777777" w:rsidR="002939F7" w:rsidRPr="00865335" w:rsidRDefault="002939F7" w:rsidP="009A12E9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The equipment must not subject samples dissolved in water, methanol or water-methanol mixtures to temperatures in excess of </w:t>
            </w:r>
            <w:r w:rsidRPr="00C05DA4">
              <w:rPr>
                <w:rFonts w:ascii="Calibri" w:eastAsia="Calibri" w:hAnsi="Calibri"/>
                <w:color w:val="000000" w:themeColor="text1"/>
              </w:rPr>
              <w:t xml:space="preserve">50 </w:t>
            </w:r>
            <w:r w:rsidRPr="00C05DA4">
              <w:rPr>
                <w:rFonts w:ascii="Calibri" w:eastAsia="Calibri" w:hAnsi="Calibri"/>
                <w:color w:val="000000" w:themeColor="text1"/>
              </w:rPr>
              <w:sym w:font="Symbol" w:char="F0B0"/>
            </w:r>
            <w:r w:rsidRPr="00C05DA4">
              <w:rPr>
                <w:rFonts w:ascii="Calibri" w:eastAsia="Calibri" w:hAnsi="Calibri"/>
                <w:color w:val="000000" w:themeColor="text1"/>
              </w:rPr>
              <w:t>C</w:t>
            </w:r>
          </w:p>
        </w:tc>
        <w:tc>
          <w:tcPr>
            <w:tcW w:w="1462" w:type="dxa"/>
            <w:shd w:val="clear" w:color="auto" w:fill="auto"/>
          </w:tcPr>
          <w:p w14:paraId="515C9212" w14:textId="77777777" w:rsidR="002939F7" w:rsidRPr="00865335" w:rsidRDefault="002939F7" w:rsidP="009A12E9">
            <w:pPr>
              <w:jc w:val="center"/>
              <w:rPr>
                <w:rFonts w:ascii="Calibri" w:hAnsi="Calibri"/>
              </w:rPr>
            </w:pPr>
            <w:r w:rsidRPr="00865335">
              <w:rPr>
                <w:rFonts w:ascii="Calibri" w:hAnsi="Calibri"/>
              </w:rPr>
              <w:t>Pass/Fail</w:t>
            </w:r>
          </w:p>
        </w:tc>
      </w:tr>
      <w:tr w:rsidR="002939F7" w:rsidRPr="00865335" w14:paraId="7C21EA86" w14:textId="77777777" w:rsidTr="00190742">
        <w:tc>
          <w:tcPr>
            <w:tcW w:w="1414" w:type="dxa"/>
            <w:shd w:val="clear" w:color="auto" w:fill="auto"/>
          </w:tcPr>
          <w:p w14:paraId="67270BB8" w14:textId="77777777" w:rsidR="002939F7" w:rsidRPr="00865335" w:rsidRDefault="002939F7" w:rsidP="009A12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191" w:type="dxa"/>
            <w:shd w:val="clear" w:color="auto" w:fill="auto"/>
          </w:tcPr>
          <w:p w14:paraId="5FF96CE1" w14:textId="77777777" w:rsidR="002939F7" w:rsidRPr="00865335" w:rsidRDefault="002939F7" w:rsidP="009A12E9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Other than an electrical supply, the equipment must not require any other continuous external supply to operate. Specifically the equipment must not require a supply of dry nitrogen gas.</w:t>
            </w:r>
          </w:p>
        </w:tc>
        <w:tc>
          <w:tcPr>
            <w:tcW w:w="1462" w:type="dxa"/>
            <w:shd w:val="clear" w:color="auto" w:fill="auto"/>
          </w:tcPr>
          <w:p w14:paraId="7ED2E82C" w14:textId="77777777" w:rsidR="002939F7" w:rsidRPr="00865335" w:rsidRDefault="002939F7" w:rsidP="009A12E9">
            <w:pPr>
              <w:jc w:val="center"/>
              <w:rPr>
                <w:rFonts w:ascii="Calibri" w:hAnsi="Calibri"/>
                <w:color w:val="000000"/>
              </w:rPr>
            </w:pPr>
            <w:r w:rsidRPr="00865335">
              <w:rPr>
                <w:rFonts w:ascii="Calibri" w:hAnsi="Calibri"/>
                <w:color w:val="000000"/>
              </w:rPr>
              <w:t>Pass/Fail</w:t>
            </w:r>
          </w:p>
        </w:tc>
      </w:tr>
      <w:tr w:rsidR="002939F7" w:rsidRPr="00865335" w14:paraId="3B7678E7" w14:textId="77777777" w:rsidTr="00190742">
        <w:tc>
          <w:tcPr>
            <w:tcW w:w="1414" w:type="dxa"/>
            <w:shd w:val="clear" w:color="auto" w:fill="auto"/>
          </w:tcPr>
          <w:p w14:paraId="3C2F1156" w14:textId="77777777" w:rsidR="002939F7" w:rsidRPr="00865335" w:rsidRDefault="002939F7" w:rsidP="009A1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191" w:type="dxa"/>
            <w:shd w:val="clear" w:color="auto" w:fill="auto"/>
          </w:tcPr>
          <w:p w14:paraId="74B8F76A" w14:textId="648517BF" w:rsidR="002939F7" w:rsidRPr="00865335" w:rsidRDefault="00CC5F84" w:rsidP="00F449D5">
            <w:pPr>
              <w:spacing w:line="240" w:lineRule="auto"/>
              <w:rPr>
                <w:rFonts w:ascii="Calibri" w:eastAsia="Calibri" w:hAnsi="Calibri"/>
              </w:rPr>
            </w:pPr>
            <w:r w:rsidRPr="00CC5F84">
              <w:rPr>
                <w:rFonts w:ascii="Calibri" w:eastAsia="Calibri" w:hAnsi="Calibri"/>
              </w:rPr>
              <w:t>The equipment must be bench-top and not exceed 700 mm (L) x 500 mm (D) x 900 mm (H) so that it will fit into a fume cupboard.</w:t>
            </w:r>
          </w:p>
        </w:tc>
        <w:tc>
          <w:tcPr>
            <w:tcW w:w="1462" w:type="dxa"/>
            <w:shd w:val="clear" w:color="auto" w:fill="auto"/>
          </w:tcPr>
          <w:p w14:paraId="76F8A247" w14:textId="77777777" w:rsidR="002939F7" w:rsidRPr="00865335" w:rsidRDefault="002939F7" w:rsidP="009A1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Pass/Fail</w:t>
            </w:r>
          </w:p>
        </w:tc>
      </w:tr>
      <w:tr w:rsidR="00190E0A" w:rsidRPr="00865335" w14:paraId="1A0FEC17" w14:textId="77777777" w:rsidTr="009441AE">
        <w:tc>
          <w:tcPr>
            <w:tcW w:w="1414" w:type="dxa"/>
            <w:shd w:val="clear" w:color="auto" w:fill="auto"/>
          </w:tcPr>
          <w:p w14:paraId="5B0929E2" w14:textId="2075835D" w:rsidR="00190E0A" w:rsidRPr="00865335" w:rsidRDefault="00190E0A" w:rsidP="009441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191" w:type="dxa"/>
            <w:shd w:val="clear" w:color="auto" w:fill="auto"/>
          </w:tcPr>
          <w:p w14:paraId="0998A5DC" w14:textId="77777777" w:rsidR="00190E0A" w:rsidRPr="00865335" w:rsidRDefault="00190E0A" w:rsidP="009441AE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eastAsia="Calibri" w:hAnsi="Calibri"/>
              </w:rPr>
              <w:t xml:space="preserve">The equipment should dry </w:t>
            </w:r>
            <w:r w:rsidRPr="001B33CB">
              <w:rPr>
                <w:rFonts w:ascii="Calibri" w:eastAsia="Calibri" w:hAnsi="Calibri"/>
              </w:rPr>
              <w:t>one</w:t>
            </w:r>
            <w:r>
              <w:rPr>
                <w:rFonts w:ascii="Calibri" w:eastAsia="Calibri" w:hAnsi="Calibri"/>
              </w:rPr>
              <w:t xml:space="preserve"> sample in 10 ml water at or below 50</w:t>
            </w:r>
            <w:r>
              <w:rPr>
                <w:rFonts w:ascii="Calibri" w:eastAsia="Calibri" w:hAnsi="Calibri"/>
              </w:rPr>
              <w:sym w:font="Symbol" w:char="F0B0"/>
            </w:r>
            <w:r>
              <w:rPr>
                <w:rFonts w:ascii="Calibri" w:eastAsia="Calibri" w:hAnsi="Calibri"/>
              </w:rPr>
              <w:t>C in less than 20 min.</w:t>
            </w:r>
          </w:p>
        </w:tc>
        <w:tc>
          <w:tcPr>
            <w:tcW w:w="1462" w:type="dxa"/>
            <w:shd w:val="clear" w:color="auto" w:fill="auto"/>
          </w:tcPr>
          <w:p w14:paraId="401FABD5" w14:textId="77777777" w:rsidR="00190E0A" w:rsidRPr="00865335" w:rsidRDefault="00190E0A" w:rsidP="009441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Pass/Fail</w:t>
            </w:r>
          </w:p>
        </w:tc>
      </w:tr>
      <w:tr w:rsidR="00DE6DA3" w:rsidRPr="00865335" w14:paraId="40B5DFFE" w14:textId="77777777" w:rsidTr="00190742">
        <w:tc>
          <w:tcPr>
            <w:tcW w:w="1414" w:type="dxa"/>
            <w:shd w:val="clear" w:color="auto" w:fill="auto"/>
          </w:tcPr>
          <w:p w14:paraId="4B08FA2D" w14:textId="671E3DE7" w:rsidR="00DE6DA3" w:rsidRDefault="00190E0A" w:rsidP="009A1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191" w:type="dxa"/>
            <w:shd w:val="clear" w:color="auto" w:fill="auto"/>
          </w:tcPr>
          <w:p w14:paraId="32727C65" w14:textId="67E8160A" w:rsidR="00DE6DA3" w:rsidRDefault="00887329" w:rsidP="00AE07B8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</w:rPr>
              <w:t>T</w:t>
            </w:r>
            <w:r w:rsidR="00DE6DA3">
              <w:rPr>
                <w:rFonts w:ascii="Calibri" w:hAnsi="Calibri"/>
              </w:rPr>
              <w:t xml:space="preserve">he equipment </w:t>
            </w:r>
            <w:r>
              <w:rPr>
                <w:rFonts w:ascii="Calibri" w:hAnsi="Calibri"/>
              </w:rPr>
              <w:t xml:space="preserve">should be </w:t>
            </w:r>
            <w:r w:rsidR="00DE6DA3">
              <w:rPr>
                <w:rFonts w:ascii="Calibri" w:hAnsi="Calibri"/>
              </w:rPr>
              <w:t xml:space="preserve">self-contained within the dimensions </w:t>
            </w:r>
            <w:r>
              <w:rPr>
                <w:rFonts w:ascii="Calibri" w:hAnsi="Calibri"/>
              </w:rPr>
              <w:t xml:space="preserve">in the above specification and be easily movable </w:t>
            </w:r>
            <w:r w:rsidR="0084341B">
              <w:rPr>
                <w:rFonts w:ascii="Calibri" w:hAnsi="Calibri"/>
              </w:rPr>
              <w:t>(e.g. into a fume cupboard).</w:t>
            </w:r>
          </w:p>
        </w:tc>
        <w:tc>
          <w:tcPr>
            <w:tcW w:w="1462" w:type="dxa"/>
            <w:shd w:val="clear" w:color="auto" w:fill="auto"/>
          </w:tcPr>
          <w:p w14:paraId="6D1B05AE" w14:textId="77777777" w:rsidR="00DE6DA3" w:rsidRDefault="00DE6DA3" w:rsidP="00DE6D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5%</w:t>
            </w:r>
          </w:p>
        </w:tc>
      </w:tr>
      <w:tr w:rsidR="00DE6DA3" w:rsidRPr="00865335" w14:paraId="2BFF3117" w14:textId="77777777" w:rsidTr="00190742">
        <w:tc>
          <w:tcPr>
            <w:tcW w:w="1414" w:type="dxa"/>
            <w:shd w:val="clear" w:color="auto" w:fill="auto"/>
          </w:tcPr>
          <w:p w14:paraId="53F8E328" w14:textId="77777777" w:rsidR="00DE6DA3" w:rsidRDefault="00AE07B8" w:rsidP="00DE6D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191" w:type="dxa"/>
            <w:shd w:val="clear" w:color="auto" w:fill="auto"/>
          </w:tcPr>
          <w:p w14:paraId="0E2F69AC" w14:textId="53A1E356" w:rsidR="00DE6DA3" w:rsidRDefault="00AE07B8" w:rsidP="00AE07B8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equipment should dry samples in a range of common solvents and additives (e.g. </w:t>
            </w:r>
            <w:r w:rsidR="00DE6DA3">
              <w:rPr>
                <w:rFonts w:ascii="Calibri" w:hAnsi="Calibri"/>
              </w:rPr>
              <w:t xml:space="preserve">water, methanol, </w:t>
            </w:r>
            <w:r w:rsidR="006D4965">
              <w:rPr>
                <w:rFonts w:ascii="Calibri" w:hAnsi="Calibri"/>
              </w:rPr>
              <w:t xml:space="preserve">ethanol, </w:t>
            </w:r>
            <w:r w:rsidR="00DE6DA3">
              <w:rPr>
                <w:rFonts w:ascii="Calibri" w:hAnsi="Calibri"/>
              </w:rPr>
              <w:t>DMSO, acetone, hexane, diethyl ether, butanol, chloroform, dichloromethane, acetic acid,</w:t>
            </w:r>
            <w:r w:rsidR="001B33CB">
              <w:rPr>
                <w:rFonts w:ascii="Calibri" w:hAnsi="Calibri"/>
              </w:rPr>
              <w:t xml:space="preserve"> formic acid, hydrochloric acid</w:t>
            </w:r>
            <w:r>
              <w:rPr>
                <w:rFonts w:ascii="Calibri" w:hAnsi="Calibri"/>
              </w:rPr>
              <w:t>) and any exhaust vapours should be controlled.</w:t>
            </w:r>
          </w:p>
        </w:tc>
        <w:tc>
          <w:tcPr>
            <w:tcW w:w="1462" w:type="dxa"/>
            <w:shd w:val="clear" w:color="auto" w:fill="auto"/>
          </w:tcPr>
          <w:p w14:paraId="4BF5B3CA" w14:textId="77777777" w:rsidR="00DE6DA3" w:rsidRDefault="00AE07B8" w:rsidP="00DE6D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DE6DA3">
              <w:rPr>
                <w:rFonts w:ascii="Calibri" w:hAnsi="Calibri"/>
              </w:rPr>
              <w:t>%</w:t>
            </w:r>
          </w:p>
        </w:tc>
      </w:tr>
      <w:tr w:rsidR="002939F7" w:rsidRPr="00865335" w14:paraId="30C32E7B" w14:textId="77777777" w:rsidTr="00190742">
        <w:tc>
          <w:tcPr>
            <w:tcW w:w="1414" w:type="dxa"/>
            <w:shd w:val="clear" w:color="auto" w:fill="auto"/>
          </w:tcPr>
          <w:p w14:paraId="780AF7A0" w14:textId="77777777" w:rsidR="002939F7" w:rsidRPr="00865335" w:rsidRDefault="00AE07B8" w:rsidP="009A1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9</w:t>
            </w:r>
          </w:p>
        </w:tc>
        <w:tc>
          <w:tcPr>
            <w:tcW w:w="6191" w:type="dxa"/>
            <w:shd w:val="clear" w:color="auto" w:fill="auto"/>
          </w:tcPr>
          <w:p w14:paraId="57CA9EC6" w14:textId="54311A0E" w:rsidR="002939F7" w:rsidRPr="00865335" w:rsidRDefault="00AE07B8" w:rsidP="00AE07B8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eastAsia="Calibri" w:hAnsi="Calibri"/>
              </w:rPr>
              <w:t xml:space="preserve">The </w:t>
            </w:r>
            <w:r w:rsidR="002939F7">
              <w:rPr>
                <w:rFonts w:ascii="Calibri" w:eastAsia="Calibri" w:hAnsi="Calibri"/>
              </w:rPr>
              <w:t xml:space="preserve">equipment </w:t>
            </w:r>
            <w:r>
              <w:rPr>
                <w:rFonts w:ascii="Calibri" w:eastAsia="Calibri" w:hAnsi="Calibri"/>
              </w:rPr>
              <w:t xml:space="preserve">should </w:t>
            </w:r>
            <w:r w:rsidR="002939F7">
              <w:rPr>
                <w:rFonts w:ascii="Calibri" w:eastAsia="Calibri" w:hAnsi="Calibri"/>
              </w:rPr>
              <w:t xml:space="preserve">dry samples into the glass </w:t>
            </w:r>
            <w:r w:rsidR="00B2756D">
              <w:rPr>
                <w:rFonts w:ascii="Calibri" w:eastAsia="Calibri" w:hAnsi="Calibri"/>
              </w:rPr>
              <w:t xml:space="preserve">screwthread </w:t>
            </w:r>
            <w:r w:rsidR="002939F7">
              <w:rPr>
                <w:rFonts w:ascii="Calibri" w:eastAsia="Calibri" w:hAnsi="Calibri"/>
              </w:rPr>
              <w:t>vials currently used in our laboratory (</w:t>
            </w:r>
            <w:r w:rsidR="001B33CB">
              <w:rPr>
                <w:rFonts w:ascii="Calibri" w:eastAsia="Calibri" w:hAnsi="Calibri"/>
              </w:rPr>
              <w:t>s</w:t>
            </w:r>
            <w:r w:rsidR="00F1771A">
              <w:rPr>
                <w:rFonts w:ascii="Calibri" w:eastAsia="Calibri" w:hAnsi="Calibri"/>
              </w:rPr>
              <w:t xml:space="preserve">ee below for </w:t>
            </w:r>
            <w:r w:rsidR="001B33CB">
              <w:rPr>
                <w:rFonts w:ascii="Calibri" w:eastAsia="Calibri" w:hAnsi="Calibri"/>
              </w:rPr>
              <w:t xml:space="preserve">vial </w:t>
            </w:r>
            <w:r w:rsidR="00F1771A">
              <w:rPr>
                <w:rFonts w:ascii="Calibri" w:eastAsia="Calibri" w:hAnsi="Calibri"/>
              </w:rPr>
              <w:t>details</w:t>
            </w:r>
            <w:r w:rsidR="002939F7">
              <w:rPr>
                <w:rFonts w:ascii="Calibri" w:eastAsia="Calibri" w:hAnsi="Calibri"/>
              </w:rPr>
              <w:t>)</w:t>
            </w:r>
            <w:r w:rsidR="002939F7" w:rsidRPr="00865335">
              <w:rPr>
                <w:rFonts w:ascii="Calibri" w:eastAsia="Calibri" w:hAnsi="Calibri"/>
              </w:rPr>
              <w:t>.</w:t>
            </w:r>
          </w:p>
        </w:tc>
        <w:tc>
          <w:tcPr>
            <w:tcW w:w="1462" w:type="dxa"/>
            <w:shd w:val="clear" w:color="auto" w:fill="auto"/>
          </w:tcPr>
          <w:p w14:paraId="1339F044" w14:textId="1B9C5EF4" w:rsidR="002939F7" w:rsidRPr="00865335" w:rsidRDefault="00EC21B3" w:rsidP="009A1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2939F7" w:rsidRPr="00865335">
              <w:rPr>
                <w:rFonts w:ascii="Calibri" w:hAnsi="Calibri"/>
              </w:rPr>
              <w:t>%</w:t>
            </w:r>
          </w:p>
        </w:tc>
      </w:tr>
      <w:tr w:rsidR="002939F7" w:rsidRPr="00865335" w14:paraId="6FFD94C4" w14:textId="77777777" w:rsidTr="00190742">
        <w:tc>
          <w:tcPr>
            <w:tcW w:w="1414" w:type="dxa"/>
            <w:shd w:val="clear" w:color="auto" w:fill="auto"/>
          </w:tcPr>
          <w:p w14:paraId="4ADAECFD" w14:textId="77777777" w:rsidR="002939F7" w:rsidRDefault="00AE07B8" w:rsidP="009A1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191" w:type="dxa"/>
            <w:shd w:val="clear" w:color="auto" w:fill="auto"/>
          </w:tcPr>
          <w:p w14:paraId="4BC28A9D" w14:textId="77777777" w:rsidR="002939F7" w:rsidRDefault="00AE07B8" w:rsidP="009A12E9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equipment should not contaminate one sample with another</w:t>
            </w:r>
          </w:p>
        </w:tc>
        <w:tc>
          <w:tcPr>
            <w:tcW w:w="1462" w:type="dxa"/>
            <w:shd w:val="clear" w:color="auto" w:fill="auto"/>
          </w:tcPr>
          <w:p w14:paraId="014C87AC" w14:textId="0AFA86BF" w:rsidR="002939F7" w:rsidRPr="00865335" w:rsidRDefault="00EC21B3" w:rsidP="009A1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  <w:r w:rsidR="002939F7">
              <w:rPr>
                <w:rFonts w:ascii="Calibri" w:hAnsi="Calibri"/>
              </w:rPr>
              <w:t>%</w:t>
            </w:r>
          </w:p>
        </w:tc>
      </w:tr>
      <w:tr w:rsidR="002939F7" w:rsidRPr="00865335" w14:paraId="73C35550" w14:textId="77777777" w:rsidTr="00190742">
        <w:tc>
          <w:tcPr>
            <w:tcW w:w="1414" w:type="dxa"/>
            <w:shd w:val="clear" w:color="auto" w:fill="auto"/>
          </w:tcPr>
          <w:p w14:paraId="6E4127C0" w14:textId="77777777" w:rsidR="002939F7" w:rsidRDefault="00AE07B8" w:rsidP="009A1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191" w:type="dxa"/>
            <w:shd w:val="clear" w:color="auto" w:fill="auto"/>
          </w:tcPr>
          <w:p w14:paraId="549EE291" w14:textId="77777777" w:rsidR="002939F7" w:rsidRDefault="00AE07B8" w:rsidP="00AE07B8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equipment should not add significantly to existing laboratory noise levels. </w:t>
            </w:r>
          </w:p>
        </w:tc>
        <w:tc>
          <w:tcPr>
            <w:tcW w:w="1462" w:type="dxa"/>
            <w:shd w:val="clear" w:color="auto" w:fill="auto"/>
          </w:tcPr>
          <w:p w14:paraId="6E66AB37" w14:textId="77777777" w:rsidR="002939F7" w:rsidRPr="00865335" w:rsidRDefault="008D42A1" w:rsidP="009A1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5%</w:t>
            </w:r>
            <w:bookmarkStart w:id="0" w:name="_GoBack"/>
            <w:bookmarkEnd w:id="0"/>
          </w:p>
        </w:tc>
      </w:tr>
      <w:tr w:rsidR="00040986" w:rsidRPr="00865335" w14:paraId="3B6A2E72" w14:textId="77777777" w:rsidTr="00190742">
        <w:tc>
          <w:tcPr>
            <w:tcW w:w="1414" w:type="dxa"/>
            <w:shd w:val="clear" w:color="auto" w:fill="auto"/>
          </w:tcPr>
          <w:p w14:paraId="74786F58" w14:textId="64CFA04F" w:rsidR="00040986" w:rsidRDefault="00040986" w:rsidP="000409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6191" w:type="dxa"/>
            <w:shd w:val="clear" w:color="auto" w:fill="auto"/>
          </w:tcPr>
          <w:p w14:paraId="4B548053" w14:textId="0C45F4F5" w:rsidR="00040986" w:rsidRDefault="00040986" w:rsidP="00040986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Minimum 1 year warranty, inclusive of p</w:t>
            </w:r>
            <w:r w:rsidRPr="00190742">
              <w:rPr>
                <w:rFonts w:ascii="Calibri" w:hAnsi="Calibri"/>
              </w:rPr>
              <w:t>arts</w:t>
            </w:r>
            <w:r>
              <w:rPr>
                <w:rFonts w:ascii="Calibri" w:hAnsi="Calibri"/>
              </w:rPr>
              <w:t xml:space="preserve">, </w:t>
            </w:r>
            <w:r w:rsidRPr="00190742">
              <w:rPr>
                <w:rFonts w:ascii="Calibri" w:hAnsi="Calibri"/>
              </w:rPr>
              <w:t xml:space="preserve">labour </w:t>
            </w:r>
            <w:r>
              <w:rPr>
                <w:rFonts w:ascii="Calibri" w:hAnsi="Calibri"/>
              </w:rPr>
              <w:t xml:space="preserve">and call-out charges </w:t>
            </w:r>
          </w:p>
        </w:tc>
        <w:tc>
          <w:tcPr>
            <w:tcW w:w="1462" w:type="dxa"/>
            <w:shd w:val="clear" w:color="auto" w:fill="auto"/>
          </w:tcPr>
          <w:p w14:paraId="03CBC5A6" w14:textId="3376121E" w:rsidR="00040986" w:rsidRDefault="006D4965" w:rsidP="00040986">
            <w:pPr>
              <w:jc w:val="center"/>
              <w:rPr>
                <w:rFonts w:ascii="Calibri" w:hAnsi="Calibri"/>
              </w:rPr>
            </w:pPr>
            <w:r w:rsidRPr="00D17F17">
              <w:rPr>
                <w:rFonts w:ascii="Calibri" w:hAnsi="Calibri"/>
                <w:color w:val="000000" w:themeColor="text1"/>
              </w:rPr>
              <w:t>Pass/Fail</w:t>
            </w:r>
          </w:p>
        </w:tc>
      </w:tr>
      <w:tr w:rsidR="00040986" w:rsidRPr="00865335" w14:paraId="2C39BB13" w14:textId="77777777" w:rsidTr="00F92125">
        <w:tc>
          <w:tcPr>
            <w:tcW w:w="9067" w:type="dxa"/>
            <w:gridSpan w:val="3"/>
            <w:shd w:val="clear" w:color="auto" w:fill="D9D9D9"/>
          </w:tcPr>
          <w:p w14:paraId="27ACD37A" w14:textId="77777777" w:rsidR="00040986" w:rsidRPr="00722C34" w:rsidRDefault="00040986" w:rsidP="00040986">
            <w:pPr>
              <w:spacing w:line="240" w:lineRule="auto"/>
              <w:jc w:val="center"/>
              <w:rPr>
                <w:rFonts w:ascii="Calibri" w:hAnsi="Calibri"/>
              </w:rPr>
            </w:pPr>
            <w:r w:rsidRPr="00722C34">
              <w:rPr>
                <w:rFonts w:ascii="Calibri" w:hAnsi="Calibri"/>
              </w:rPr>
              <w:t>Commercial</w:t>
            </w:r>
          </w:p>
        </w:tc>
      </w:tr>
      <w:tr w:rsidR="00040986" w:rsidRPr="00865335" w14:paraId="1AF25BF6" w14:textId="77777777" w:rsidTr="00190742">
        <w:tc>
          <w:tcPr>
            <w:tcW w:w="1414" w:type="dxa"/>
            <w:shd w:val="clear" w:color="auto" w:fill="auto"/>
          </w:tcPr>
          <w:p w14:paraId="5D53B6A0" w14:textId="28344742" w:rsidR="00040986" w:rsidRPr="00865335" w:rsidRDefault="00040986" w:rsidP="000409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6191" w:type="dxa"/>
            <w:shd w:val="clear" w:color="auto" w:fill="auto"/>
          </w:tcPr>
          <w:p w14:paraId="6F91F6C2" w14:textId="77F65B48" w:rsidR="00040986" w:rsidRDefault="00040986" w:rsidP="00774C67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Price to provide </w:t>
            </w:r>
            <w:r w:rsidR="00774C67">
              <w:rPr>
                <w:rFonts w:ascii="Calibri" w:hAnsi="Calibri"/>
              </w:rPr>
              <w:t>all require</w:t>
            </w:r>
            <w:r>
              <w:rPr>
                <w:rFonts w:ascii="Calibri" w:hAnsi="Calibri"/>
              </w:rPr>
              <w:t>ment</w:t>
            </w:r>
            <w:r w:rsidR="00774C67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above, fully inclusive of delivery and installation</w:t>
            </w:r>
          </w:p>
        </w:tc>
        <w:tc>
          <w:tcPr>
            <w:tcW w:w="1462" w:type="dxa"/>
            <w:shd w:val="clear" w:color="auto" w:fill="auto"/>
          </w:tcPr>
          <w:p w14:paraId="4DB45A20" w14:textId="3DBE5367" w:rsidR="00040986" w:rsidRDefault="00B2756D" w:rsidP="000409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 w:themeColor="text1"/>
              </w:rPr>
              <w:t>30</w:t>
            </w:r>
            <w:r w:rsidR="00040986" w:rsidRPr="00D17F17">
              <w:rPr>
                <w:rFonts w:ascii="Calibri" w:hAnsi="Calibri"/>
                <w:color w:val="000000" w:themeColor="text1"/>
              </w:rPr>
              <w:t>%</w:t>
            </w:r>
          </w:p>
        </w:tc>
      </w:tr>
      <w:tr w:rsidR="00040986" w:rsidRPr="00865335" w14:paraId="55BE573A" w14:textId="77777777" w:rsidTr="00190742">
        <w:tc>
          <w:tcPr>
            <w:tcW w:w="7605" w:type="dxa"/>
            <w:gridSpan w:val="2"/>
            <w:shd w:val="clear" w:color="auto" w:fill="BFBFBF" w:themeFill="background1" w:themeFillShade="BF"/>
          </w:tcPr>
          <w:p w14:paraId="365A298D" w14:textId="77777777" w:rsidR="00040986" w:rsidRPr="00865335" w:rsidRDefault="00040986" w:rsidP="0004098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14:paraId="3BF8E036" w14:textId="77777777" w:rsidR="00040986" w:rsidRPr="00865335" w:rsidRDefault="00040986" w:rsidP="000409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100%</w:t>
            </w:r>
          </w:p>
        </w:tc>
      </w:tr>
    </w:tbl>
    <w:p w14:paraId="02251D39" w14:textId="77777777" w:rsidR="000F59FF" w:rsidRDefault="000F59FF" w:rsidP="000F59FF">
      <w:pPr>
        <w:pStyle w:val="NoSpacing"/>
        <w:rPr>
          <w:rFonts w:asciiTheme="minorHAnsi" w:hAnsiTheme="minorHAnsi"/>
          <w:b/>
          <w:szCs w:val="22"/>
          <w:highlight w:val="yellow"/>
        </w:rPr>
      </w:pPr>
    </w:p>
    <w:p w14:paraId="64DEBC51" w14:textId="77777777" w:rsidR="000F59FF" w:rsidRDefault="00F1771A" w:rsidP="000F59FF">
      <w:pPr>
        <w:pStyle w:val="NoSpacing"/>
        <w:rPr>
          <w:rFonts w:asciiTheme="minorHAnsi" w:hAnsiTheme="minorHAnsi"/>
          <w:szCs w:val="22"/>
        </w:rPr>
      </w:pPr>
      <w:r w:rsidRPr="00F1771A">
        <w:rPr>
          <w:rFonts w:asciiTheme="minorHAnsi" w:hAnsiTheme="minorHAnsi"/>
          <w:b/>
          <w:szCs w:val="22"/>
        </w:rPr>
        <w:t>Details for vial</w:t>
      </w:r>
      <w:r>
        <w:rPr>
          <w:rFonts w:asciiTheme="minorHAnsi" w:hAnsiTheme="minorHAnsi"/>
          <w:b/>
          <w:szCs w:val="22"/>
        </w:rPr>
        <w:t>s</w:t>
      </w:r>
      <w:r w:rsidRPr="00F1771A">
        <w:rPr>
          <w:rFonts w:asciiTheme="minorHAnsi" w:hAnsiTheme="minorHAnsi"/>
          <w:b/>
          <w:szCs w:val="22"/>
        </w:rPr>
        <w:t xml:space="preserve"> used in our laboratory</w:t>
      </w:r>
      <w:r>
        <w:rPr>
          <w:rFonts w:asciiTheme="minorHAnsi" w:hAnsiTheme="minorHAnsi"/>
          <w:szCs w:val="22"/>
        </w:rPr>
        <w:t xml:space="preserve">. </w:t>
      </w:r>
    </w:p>
    <w:p w14:paraId="3D3A0FA5" w14:textId="77777777" w:rsidR="00464D81" w:rsidRDefault="00464D81" w:rsidP="000F59FF">
      <w:pPr>
        <w:pStyle w:val="NoSpacing"/>
        <w:rPr>
          <w:rFonts w:asciiTheme="minorHAnsi" w:hAnsiTheme="minorHAnsi"/>
          <w:szCs w:val="22"/>
        </w:rPr>
      </w:pPr>
    </w:p>
    <w:p w14:paraId="26EB188F" w14:textId="77777777" w:rsidR="00464D81" w:rsidRDefault="00464D81" w:rsidP="00464D81">
      <w:pPr>
        <w:pStyle w:val="NoSpacing"/>
        <w:rPr>
          <w:rFonts w:asciiTheme="minorHAnsi" w:hAnsiTheme="minorHAnsi" w:cs="Arial"/>
          <w:szCs w:val="22"/>
        </w:rPr>
      </w:pPr>
      <w:r w:rsidRPr="00464D81">
        <w:rPr>
          <w:rFonts w:asciiTheme="minorHAnsi" w:hAnsiTheme="minorHAnsi" w:cs="Arial"/>
          <w:szCs w:val="22"/>
        </w:rPr>
        <w:t>We believe the thickness of the glass on the vials to be 1 mm:</w:t>
      </w:r>
    </w:p>
    <w:p w14:paraId="4CEDDE5F" w14:textId="77777777" w:rsidR="00464D81" w:rsidRDefault="00464D81" w:rsidP="00464D81">
      <w:pPr>
        <w:pStyle w:val="NoSpacing"/>
        <w:rPr>
          <w:rFonts w:asciiTheme="minorHAnsi" w:hAnsiTheme="minorHAnsi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701"/>
        <w:gridCol w:w="1984"/>
      </w:tblGrid>
      <w:tr w:rsidR="00464D81" w14:paraId="67C68A6F" w14:textId="77777777" w:rsidTr="00FF264C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76399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Nominal dram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4E84E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Capacity (ml)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0DEC4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Height (mm)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EC45F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Diameter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028B5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Neck bore (mm)</w:t>
            </w:r>
          </w:p>
        </w:tc>
      </w:tr>
      <w:tr w:rsidR="00464D81" w14:paraId="19ABFEAC" w14:textId="77777777" w:rsidTr="00FF264C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9BDA2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CCC9C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277EE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42.00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FB794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2ABF7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13.00</w:t>
            </w:r>
          </w:p>
        </w:tc>
      </w:tr>
      <w:tr w:rsidR="00464D81" w14:paraId="7440A707" w14:textId="77777777" w:rsidTr="00FF264C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5BB16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73A72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A0035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58.00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6AE19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23.00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1BB72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15.50</w:t>
            </w:r>
          </w:p>
        </w:tc>
      </w:tr>
      <w:tr w:rsidR="00464D81" w14:paraId="31B28268" w14:textId="77777777" w:rsidTr="00FF264C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4B499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13191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28.25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75561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72.00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32B93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27.50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B8F3A" w14:textId="77777777" w:rsidR="00464D81" w:rsidRDefault="00464D81">
            <w:pPr>
              <w:jc w:val="center"/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n-US"/>
              </w:rPr>
              <w:t>21.00</w:t>
            </w:r>
          </w:p>
        </w:tc>
      </w:tr>
    </w:tbl>
    <w:p w14:paraId="5C78C93D" w14:textId="77777777" w:rsidR="00464D81" w:rsidRDefault="00464D81" w:rsidP="00464D81">
      <w:pPr>
        <w:pStyle w:val="NoSpacing"/>
        <w:rPr>
          <w:rFonts w:asciiTheme="minorHAnsi" w:hAnsiTheme="minorHAnsi" w:cs="Arial"/>
          <w:szCs w:val="22"/>
        </w:rPr>
      </w:pPr>
    </w:p>
    <w:p w14:paraId="7F0FD4FF" w14:textId="6B5E1AB9" w:rsidR="000F59FF" w:rsidRPr="003B75DD" w:rsidRDefault="000F59FF" w:rsidP="000F59FF">
      <w:pPr>
        <w:pStyle w:val="NoSpacing"/>
        <w:numPr>
          <w:ilvl w:val="0"/>
          <w:numId w:val="1"/>
        </w:numPr>
        <w:suppressAutoHyphens w:val="0"/>
        <w:ind w:left="567" w:hanging="567"/>
        <w:rPr>
          <w:rFonts w:asciiTheme="minorHAnsi" w:hAnsiTheme="minorHAnsi"/>
          <w:b/>
          <w:szCs w:val="22"/>
        </w:rPr>
      </w:pPr>
      <w:r w:rsidRPr="003B75DD">
        <w:rPr>
          <w:rFonts w:asciiTheme="minorHAnsi" w:hAnsiTheme="minorHAnsi"/>
          <w:b/>
          <w:szCs w:val="22"/>
        </w:rPr>
        <w:t xml:space="preserve">Delivery </w:t>
      </w:r>
      <w:r w:rsidR="006007ED">
        <w:rPr>
          <w:rFonts w:asciiTheme="minorHAnsi" w:hAnsiTheme="minorHAnsi"/>
          <w:b/>
          <w:szCs w:val="22"/>
        </w:rPr>
        <w:t>&amp; installation</w:t>
      </w:r>
    </w:p>
    <w:p w14:paraId="32F71BB9" w14:textId="77777777" w:rsidR="00EF39B2" w:rsidRDefault="00EF39B2" w:rsidP="000F59FF">
      <w:pPr>
        <w:pStyle w:val="NoSpacing"/>
        <w:rPr>
          <w:rFonts w:asciiTheme="minorHAnsi" w:hAnsiTheme="minorHAnsi" w:cs="Arial"/>
          <w:color w:val="FF0000"/>
          <w:szCs w:val="22"/>
        </w:rPr>
      </w:pPr>
    </w:p>
    <w:p w14:paraId="4CEF4FB0" w14:textId="28419D8F" w:rsidR="000F59FF" w:rsidRDefault="00773A7F" w:rsidP="000F59FF">
      <w:pPr>
        <w:pStyle w:val="NoSpacing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The equipment must be delivered </w:t>
      </w:r>
      <w:r w:rsidR="00464D81">
        <w:rPr>
          <w:rFonts w:asciiTheme="minorHAnsi" w:hAnsiTheme="minorHAnsi" w:cs="Arial"/>
          <w:szCs w:val="22"/>
        </w:rPr>
        <w:t xml:space="preserve">and unloaded </w:t>
      </w:r>
      <w:r>
        <w:rPr>
          <w:rFonts w:asciiTheme="minorHAnsi" w:hAnsiTheme="minorHAnsi" w:cs="Arial"/>
          <w:szCs w:val="22"/>
        </w:rPr>
        <w:t>to the Jodrell Laboratory, Royal Botanic Gardens Kew, Richmond, Surrey TW9 3DS and subsequently installed by the supplier</w:t>
      </w:r>
      <w:r w:rsidR="00B97A61">
        <w:rPr>
          <w:rFonts w:asciiTheme="minorHAnsi" w:hAnsiTheme="minorHAnsi" w:cs="Arial"/>
          <w:szCs w:val="22"/>
        </w:rPr>
        <w:t xml:space="preserve"> within 1 month of delivery</w:t>
      </w:r>
      <w:r>
        <w:rPr>
          <w:rFonts w:asciiTheme="minorHAnsi" w:hAnsiTheme="minorHAnsi" w:cs="Arial"/>
          <w:szCs w:val="22"/>
        </w:rPr>
        <w:t>.</w:t>
      </w:r>
    </w:p>
    <w:p w14:paraId="3633C0FC" w14:textId="77777777" w:rsidR="00B97A61" w:rsidRDefault="00B97A61" w:rsidP="000F59FF">
      <w:pPr>
        <w:pStyle w:val="NoSpacing"/>
        <w:rPr>
          <w:rFonts w:asciiTheme="minorHAnsi" w:hAnsiTheme="minorHAnsi" w:cs="Arial"/>
          <w:szCs w:val="22"/>
        </w:rPr>
      </w:pPr>
    </w:p>
    <w:p w14:paraId="7A7F4781" w14:textId="4391EEB4" w:rsidR="00B97A61" w:rsidRPr="008042B4" w:rsidRDefault="00B97A61" w:rsidP="000F59FF">
      <w:pPr>
        <w:pStyle w:val="NoSpacing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At least 1 weeks’ notice must be given prior to delivery and installation.</w:t>
      </w:r>
    </w:p>
    <w:p w14:paraId="13D0F7B8" w14:textId="77777777" w:rsidR="007367A0" w:rsidRPr="008042B4" w:rsidRDefault="007367A0" w:rsidP="000F59FF">
      <w:pPr>
        <w:pStyle w:val="NoSpacing"/>
        <w:rPr>
          <w:rFonts w:asciiTheme="minorHAnsi" w:hAnsiTheme="minorHAnsi" w:cs="Arial"/>
          <w:szCs w:val="22"/>
        </w:rPr>
      </w:pPr>
    </w:p>
    <w:p w14:paraId="52BC0D15" w14:textId="77777777" w:rsidR="005F3BDB" w:rsidRPr="003B75DD" w:rsidRDefault="005F3BDB" w:rsidP="000F59FF">
      <w:pPr>
        <w:pStyle w:val="NoSpacing"/>
        <w:rPr>
          <w:rFonts w:asciiTheme="minorHAnsi" w:hAnsiTheme="minorHAnsi"/>
          <w:szCs w:val="22"/>
        </w:rPr>
      </w:pPr>
    </w:p>
    <w:p w14:paraId="134EC429" w14:textId="77777777" w:rsidR="000F59FF" w:rsidRPr="003B75DD" w:rsidRDefault="000F59FF" w:rsidP="000F59FF">
      <w:pPr>
        <w:pStyle w:val="NoSpacing"/>
        <w:numPr>
          <w:ilvl w:val="0"/>
          <w:numId w:val="1"/>
        </w:numPr>
        <w:suppressAutoHyphens w:val="0"/>
        <w:ind w:left="567" w:hanging="567"/>
        <w:rPr>
          <w:rFonts w:asciiTheme="minorHAnsi" w:hAnsiTheme="minorHAnsi"/>
          <w:b/>
          <w:szCs w:val="22"/>
        </w:rPr>
      </w:pPr>
      <w:r w:rsidRPr="003B75DD">
        <w:rPr>
          <w:rFonts w:asciiTheme="minorHAnsi" w:hAnsiTheme="minorHAnsi"/>
          <w:b/>
          <w:szCs w:val="22"/>
        </w:rPr>
        <w:t>Training</w:t>
      </w:r>
    </w:p>
    <w:p w14:paraId="4FC81117" w14:textId="77777777" w:rsidR="000F59FF" w:rsidRPr="003B75DD" w:rsidRDefault="000F59FF" w:rsidP="000F59FF">
      <w:pPr>
        <w:pStyle w:val="NoSpacing"/>
        <w:rPr>
          <w:rFonts w:asciiTheme="minorHAnsi" w:hAnsiTheme="minorHAnsi"/>
          <w:szCs w:val="22"/>
        </w:rPr>
      </w:pPr>
    </w:p>
    <w:p w14:paraId="49448209" w14:textId="56943615" w:rsidR="000F59FF" w:rsidRPr="00D64BEF" w:rsidRDefault="00773A7F" w:rsidP="000F59FF">
      <w:pPr>
        <w:pStyle w:val="NoSpacing"/>
        <w:rPr>
          <w:rFonts w:ascii="Calibri" w:hAnsi="Calibri"/>
          <w:color w:val="FF0000"/>
          <w:szCs w:val="22"/>
        </w:rPr>
      </w:pPr>
      <w:r>
        <w:rPr>
          <w:rFonts w:ascii="Calibri" w:hAnsi="Calibri"/>
          <w:szCs w:val="22"/>
        </w:rPr>
        <w:t>Training should be provided at the time of installation or within one month of installation</w:t>
      </w:r>
      <w:r w:rsidR="0065783F">
        <w:rPr>
          <w:rFonts w:ascii="Calibri" w:hAnsi="Calibri"/>
          <w:szCs w:val="22"/>
        </w:rPr>
        <w:t>.</w:t>
      </w:r>
    </w:p>
    <w:p w14:paraId="643D7593" w14:textId="77777777" w:rsidR="000F59FF" w:rsidRPr="003B75DD" w:rsidRDefault="000F59FF" w:rsidP="000F59FF">
      <w:pPr>
        <w:pStyle w:val="NoSpacing"/>
        <w:rPr>
          <w:rFonts w:ascii="Calibri" w:hAnsi="Calibri"/>
          <w:szCs w:val="22"/>
        </w:rPr>
      </w:pPr>
    </w:p>
    <w:p w14:paraId="24D46E3B" w14:textId="18DF9880" w:rsidR="000F59FF" w:rsidRDefault="00485596" w:rsidP="000F59FF">
      <w:pPr>
        <w:pStyle w:val="NoSpacing"/>
        <w:numPr>
          <w:ilvl w:val="0"/>
          <w:numId w:val="1"/>
        </w:numPr>
        <w:suppressAutoHyphens w:val="0"/>
        <w:ind w:left="567" w:hanging="567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Warranties </w:t>
      </w:r>
      <w:r w:rsidR="000F59FF" w:rsidRPr="003B75DD">
        <w:rPr>
          <w:rFonts w:asciiTheme="minorHAnsi" w:hAnsiTheme="minorHAnsi"/>
          <w:b/>
          <w:szCs w:val="22"/>
        </w:rPr>
        <w:t>&amp; S</w:t>
      </w:r>
      <w:r>
        <w:rPr>
          <w:rFonts w:asciiTheme="minorHAnsi" w:hAnsiTheme="minorHAnsi"/>
          <w:b/>
          <w:szCs w:val="22"/>
        </w:rPr>
        <w:t>ervicing</w:t>
      </w:r>
    </w:p>
    <w:p w14:paraId="099E7A49" w14:textId="77777777" w:rsidR="006007ED" w:rsidRDefault="006007ED" w:rsidP="006007ED">
      <w:pPr>
        <w:pStyle w:val="NoSpacing"/>
        <w:suppressAutoHyphens w:val="0"/>
        <w:ind w:left="567"/>
        <w:rPr>
          <w:rFonts w:asciiTheme="minorHAnsi" w:hAnsiTheme="minorHAnsi"/>
          <w:b/>
          <w:szCs w:val="22"/>
        </w:rPr>
      </w:pPr>
    </w:p>
    <w:p w14:paraId="7B61A40E" w14:textId="52D0B6E8" w:rsidR="000F59FF" w:rsidRDefault="00773A7F" w:rsidP="000F59FF">
      <w:pPr>
        <w:pStyle w:val="NoSpacing"/>
        <w:rPr>
          <w:rFonts w:ascii="Calibri" w:hAnsi="Calibri"/>
        </w:rPr>
      </w:pPr>
      <w:r>
        <w:rPr>
          <w:rFonts w:asciiTheme="minorHAnsi" w:hAnsiTheme="minorHAnsi"/>
          <w:szCs w:val="22"/>
        </w:rPr>
        <w:t xml:space="preserve">The </w:t>
      </w:r>
      <w:r w:rsidR="00B36240">
        <w:rPr>
          <w:rFonts w:asciiTheme="minorHAnsi" w:hAnsiTheme="minorHAnsi"/>
          <w:szCs w:val="22"/>
        </w:rPr>
        <w:t>equipment must</w:t>
      </w:r>
      <w:r>
        <w:rPr>
          <w:rFonts w:asciiTheme="minorHAnsi" w:hAnsiTheme="minorHAnsi"/>
          <w:szCs w:val="22"/>
        </w:rPr>
        <w:t xml:space="preserve"> come with </w:t>
      </w:r>
      <w:r w:rsidR="0065783F">
        <w:rPr>
          <w:rFonts w:asciiTheme="minorHAnsi" w:hAnsiTheme="minorHAnsi"/>
          <w:szCs w:val="22"/>
        </w:rPr>
        <w:t>a minimum of one</w:t>
      </w:r>
      <w:r>
        <w:rPr>
          <w:rFonts w:asciiTheme="minorHAnsi" w:hAnsiTheme="minorHAnsi"/>
          <w:szCs w:val="22"/>
        </w:rPr>
        <w:t xml:space="preserve"> year</w:t>
      </w:r>
      <w:r w:rsidR="00EA6156">
        <w:rPr>
          <w:rFonts w:asciiTheme="minorHAnsi" w:hAnsiTheme="minorHAnsi"/>
          <w:szCs w:val="22"/>
        </w:rPr>
        <w:t>’</w:t>
      </w:r>
      <w:r>
        <w:rPr>
          <w:rFonts w:asciiTheme="minorHAnsi" w:hAnsiTheme="minorHAnsi"/>
          <w:szCs w:val="22"/>
        </w:rPr>
        <w:t>s warranty</w:t>
      </w:r>
      <w:r w:rsidR="00B36240">
        <w:rPr>
          <w:rFonts w:asciiTheme="minorHAnsi" w:hAnsiTheme="minorHAnsi"/>
          <w:szCs w:val="22"/>
        </w:rPr>
        <w:t xml:space="preserve">.  </w:t>
      </w:r>
      <w:r w:rsidR="00B36240" w:rsidRPr="00B36240">
        <w:rPr>
          <w:rFonts w:ascii="Calibri" w:hAnsi="Calibri"/>
        </w:rPr>
        <w:t xml:space="preserve"> </w:t>
      </w:r>
      <w:r w:rsidR="00B36240">
        <w:rPr>
          <w:rFonts w:ascii="Calibri" w:hAnsi="Calibri"/>
        </w:rPr>
        <w:t>We are also interested in an extended warranty of up to a further 4 years.  All warranties offered shall be inclusive of p</w:t>
      </w:r>
      <w:r w:rsidR="00B36240" w:rsidRPr="00190742">
        <w:rPr>
          <w:rFonts w:ascii="Calibri" w:hAnsi="Calibri"/>
        </w:rPr>
        <w:t>arts</w:t>
      </w:r>
      <w:r w:rsidR="00B36240">
        <w:rPr>
          <w:rFonts w:ascii="Calibri" w:hAnsi="Calibri"/>
        </w:rPr>
        <w:t xml:space="preserve">, </w:t>
      </w:r>
      <w:r w:rsidR="00B36240" w:rsidRPr="00190742">
        <w:rPr>
          <w:rFonts w:ascii="Calibri" w:hAnsi="Calibri"/>
        </w:rPr>
        <w:t>labour</w:t>
      </w:r>
      <w:r w:rsidR="00B36240">
        <w:rPr>
          <w:rFonts w:ascii="Calibri" w:hAnsi="Calibri"/>
        </w:rPr>
        <w:t>, any servicing required to maintain the warranty,</w:t>
      </w:r>
      <w:r w:rsidR="00B36240" w:rsidRPr="00190742">
        <w:rPr>
          <w:rFonts w:ascii="Calibri" w:hAnsi="Calibri"/>
        </w:rPr>
        <w:t xml:space="preserve"> </w:t>
      </w:r>
      <w:r w:rsidR="00B36240">
        <w:rPr>
          <w:rFonts w:ascii="Calibri" w:hAnsi="Calibri"/>
        </w:rPr>
        <w:t>and call-out charges.</w:t>
      </w:r>
    </w:p>
    <w:p w14:paraId="4B998714" w14:textId="77777777" w:rsidR="00485596" w:rsidRDefault="00485596" w:rsidP="000F59FF">
      <w:pPr>
        <w:pStyle w:val="NoSpacing"/>
        <w:rPr>
          <w:rFonts w:ascii="Calibri" w:hAnsi="Calibri"/>
        </w:rPr>
      </w:pPr>
    </w:p>
    <w:p w14:paraId="5BDFF111" w14:textId="00C12429" w:rsidR="00485596" w:rsidRPr="00D64BEF" w:rsidRDefault="00485596" w:rsidP="000F59FF">
      <w:pPr>
        <w:pStyle w:val="NoSpacing"/>
        <w:rPr>
          <w:rFonts w:asciiTheme="minorHAnsi" w:hAnsiTheme="minorHAnsi"/>
          <w:color w:val="FF0000"/>
          <w:szCs w:val="22"/>
        </w:rPr>
      </w:pPr>
      <w:r>
        <w:rPr>
          <w:rFonts w:ascii="Calibri" w:hAnsi="Calibri"/>
        </w:rPr>
        <w:t>Where you are unable to offer an extended warranty, you may propose a service package providing equivalent maintenance and support.</w:t>
      </w:r>
    </w:p>
    <w:p w14:paraId="6BDFB740" w14:textId="77777777" w:rsidR="000F59FF" w:rsidRPr="003B75DD" w:rsidRDefault="000F59FF" w:rsidP="000F59FF">
      <w:pPr>
        <w:pStyle w:val="NoSpacing"/>
        <w:rPr>
          <w:rFonts w:asciiTheme="minorHAnsi" w:hAnsiTheme="minorHAnsi"/>
          <w:szCs w:val="22"/>
        </w:rPr>
      </w:pPr>
    </w:p>
    <w:p w14:paraId="3324096C" w14:textId="77777777" w:rsidR="000C4C32" w:rsidRDefault="001E048B" w:rsidP="00B00971">
      <w:pPr>
        <w:pStyle w:val="NoSpacing"/>
        <w:numPr>
          <w:ilvl w:val="0"/>
          <w:numId w:val="1"/>
        </w:numPr>
        <w:suppressAutoHyphens w:val="0"/>
        <w:ind w:left="567" w:hanging="567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IT </w:t>
      </w:r>
      <w:r w:rsidR="000C4C32">
        <w:rPr>
          <w:rFonts w:ascii="Calibri" w:hAnsi="Calibri"/>
          <w:b/>
          <w:szCs w:val="22"/>
        </w:rPr>
        <w:t>Software</w:t>
      </w:r>
      <w:r>
        <w:rPr>
          <w:rFonts w:ascii="Calibri" w:hAnsi="Calibri"/>
          <w:b/>
          <w:szCs w:val="22"/>
        </w:rPr>
        <w:t xml:space="preserve"> &amp; Hardware</w:t>
      </w:r>
    </w:p>
    <w:p w14:paraId="088A3E91" w14:textId="77777777" w:rsidR="004C38C8" w:rsidRDefault="004C38C8" w:rsidP="004C38C8">
      <w:pPr>
        <w:pStyle w:val="NoSpacing"/>
        <w:suppressAutoHyphens w:val="0"/>
        <w:rPr>
          <w:rFonts w:ascii="Calibri" w:hAnsi="Calibri"/>
          <w:b/>
          <w:szCs w:val="22"/>
        </w:rPr>
      </w:pPr>
    </w:p>
    <w:p w14:paraId="3A8EFB58" w14:textId="2C225E8E" w:rsidR="001E048B" w:rsidRDefault="00773A7F" w:rsidP="001E048B">
      <w:pPr>
        <w:pStyle w:val="NoSpacing"/>
        <w:suppressAutoHyphens w:val="0"/>
        <w:rPr>
          <w:rFonts w:ascii="Calibri" w:hAnsi="Calibri"/>
          <w:szCs w:val="22"/>
        </w:rPr>
      </w:pPr>
      <w:r w:rsidRPr="00773A7F">
        <w:rPr>
          <w:rFonts w:ascii="Calibri" w:hAnsi="Calibri"/>
          <w:szCs w:val="22"/>
        </w:rPr>
        <w:t>We do not expect</w:t>
      </w:r>
      <w:r>
        <w:rPr>
          <w:rFonts w:ascii="Calibri" w:hAnsi="Calibri"/>
          <w:szCs w:val="22"/>
        </w:rPr>
        <w:t xml:space="preserve"> the equipment to be operated via a separate PC in order to comply with the specifications. </w:t>
      </w:r>
      <w:r w:rsidR="006007ED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If it does, then this PC should be supplied.</w:t>
      </w:r>
    </w:p>
    <w:p w14:paraId="1A4D416D" w14:textId="77777777" w:rsidR="00773A7F" w:rsidRPr="00773A7F" w:rsidRDefault="00773A7F" w:rsidP="001E048B">
      <w:pPr>
        <w:pStyle w:val="NoSpacing"/>
        <w:suppressAutoHyphens w:val="0"/>
        <w:rPr>
          <w:rFonts w:ascii="Calibri" w:hAnsi="Calibri"/>
          <w:szCs w:val="22"/>
        </w:rPr>
      </w:pPr>
    </w:p>
    <w:p w14:paraId="20D3C000" w14:textId="77777777" w:rsidR="00B634EF" w:rsidRDefault="00B634EF" w:rsidP="00B00971">
      <w:pPr>
        <w:pStyle w:val="NoSpacing"/>
        <w:numPr>
          <w:ilvl w:val="0"/>
          <w:numId w:val="1"/>
        </w:numPr>
        <w:suppressAutoHyphens w:val="0"/>
        <w:ind w:left="567" w:hanging="567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Sustainability</w:t>
      </w:r>
    </w:p>
    <w:p w14:paraId="76798BD3" w14:textId="77777777" w:rsidR="00B634EF" w:rsidRDefault="00B634EF" w:rsidP="00B634EF">
      <w:pPr>
        <w:pStyle w:val="NoSpacing"/>
        <w:suppressAutoHyphens w:val="0"/>
        <w:rPr>
          <w:rFonts w:ascii="Calibri" w:hAnsi="Calibri"/>
          <w:b/>
          <w:szCs w:val="22"/>
        </w:rPr>
      </w:pPr>
    </w:p>
    <w:p w14:paraId="69DD38BA" w14:textId="19B43681" w:rsidR="00B00971" w:rsidRPr="00F37DF6" w:rsidRDefault="00773A7F" w:rsidP="00F37DF6">
      <w:pPr>
        <w:pStyle w:val="NoSpacing"/>
        <w:suppressAutoHyphens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The equipment should capture most of the solvent vapour so that solvent can be disposed in the correct manner. </w:t>
      </w:r>
      <w:r w:rsidR="00EA6156">
        <w:rPr>
          <w:rFonts w:ascii="Calibri" w:hAnsi="Calibri"/>
          <w:szCs w:val="22"/>
        </w:rPr>
        <w:t xml:space="preserve">The equipment should not require a constant external supply of cooling water (see </w:t>
      </w:r>
      <w:r w:rsidR="00F37DF6">
        <w:rPr>
          <w:rFonts w:ascii="Calibri" w:hAnsi="Calibri"/>
          <w:szCs w:val="22"/>
        </w:rPr>
        <w:t>requirement</w:t>
      </w:r>
      <w:r w:rsidR="00EA6156">
        <w:rPr>
          <w:rFonts w:ascii="Calibri" w:hAnsi="Calibri"/>
          <w:szCs w:val="22"/>
        </w:rPr>
        <w:t xml:space="preserve"> 4)</w:t>
      </w:r>
      <w:r w:rsidR="00F37DF6">
        <w:rPr>
          <w:rFonts w:ascii="Calibri" w:hAnsi="Calibri"/>
          <w:szCs w:val="22"/>
        </w:rPr>
        <w:t>.</w:t>
      </w:r>
    </w:p>
    <w:p w14:paraId="66D61754" w14:textId="77777777" w:rsidR="00B00971" w:rsidRPr="00187760" w:rsidRDefault="00B00971" w:rsidP="00B00971">
      <w:pPr>
        <w:pStyle w:val="NoSpacing"/>
        <w:rPr>
          <w:rFonts w:ascii="Calibri" w:hAnsi="Calibri"/>
          <w:b/>
          <w:color w:val="FF0000"/>
          <w:szCs w:val="22"/>
        </w:rPr>
      </w:pPr>
    </w:p>
    <w:p w14:paraId="3E49D09A" w14:textId="77777777" w:rsidR="00240F05" w:rsidRDefault="00240F05"/>
    <w:sectPr w:rsidR="00240F05" w:rsidSect="009A12E9">
      <w:footerReference w:type="even" r:id="rId8"/>
      <w:pgSz w:w="11909" w:h="16834" w:code="9"/>
      <w:pgMar w:top="1440" w:right="1440" w:bottom="1440" w:left="1440" w:header="720" w:footer="720" w:gutter="0"/>
      <w:paperSrc w:first="262" w:other="26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B130F" w14:textId="77777777" w:rsidR="0084341B" w:rsidRDefault="0084341B">
      <w:pPr>
        <w:spacing w:before="0" w:line="240" w:lineRule="auto"/>
      </w:pPr>
      <w:r>
        <w:separator/>
      </w:r>
    </w:p>
  </w:endnote>
  <w:endnote w:type="continuationSeparator" w:id="0">
    <w:p w14:paraId="48498005" w14:textId="77777777" w:rsidR="0084341B" w:rsidRDefault="008434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BB679" w14:textId="77777777" w:rsidR="0084341B" w:rsidRDefault="0084341B" w:rsidP="009A12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43512" w14:textId="77777777" w:rsidR="0084341B" w:rsidRDefault="0084341B" w:rsidP="009A12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D6D3D" w14:textId="77777777" w:rsidR="0084341B" w:rsidRDefault="0084341B">
      <w:pPr>
        <w:spacing w:before="0" w:line="240" w:lineRule="auto"/>
      </w:pPr>
      <w:r>
        <w:separator/>
      </w:r>
    </w:p>
  </w:footnote>
  <w:footnote w:type="continuationSeparator" w:id="0">
    <w:p w14:paraId="6860E9D3" w14:textId="77777777" w:rsidR="0084341B" w:rsidRDefault="0084341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010DC"/>
    <w:multiLevelType w:val="multilevel"/>
    <w:tmpl w:val="7AAA6102"/>
    <w:lvl w:ilvl="0">
      <w:start w:val="4"/>
      <w:numFmt w:val="decimal"/>
      <w:lvlText w:val="%1.0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3" w:hanging="1800"/>
      </w:pPr>
      <w:rPr>
        <w:rFonts w:hint="default"/>
      </w:rPr>
    </w:lvl>
  </w:abstractNum>
  <w:abstractNum w:abstractNumId="1" w15:restartNumberingAfterBreak="0">
    <w:nsid w:val="6A3C4749"/>
    <w:multiLevelType w:val="multilevel"/>
    <w:tmpl w:val="083AEF8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835FD"/>
    <w:multiLevelType w:val="multilevel"/>
    <w:tmpl w:val="558EC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71"/>
    <w:rsid w:val="000162A4"/>
    <w:rsid w:val="00021166"/>
    <w:rsid w:val="00040986"/>
    <w:rsid w:val="000502EE"/>
    <w:rsid w:val="000B3DDF"/>
    <w:rsid w:val="000B7922"/>
    <w:rsid w:val="000C4C32"/>
    <w:rsid w:val="000C58CA"/>
    <w:rsid w:val="000E12BA"/>
    <w:rsid w:val="000F13B2"/>
    <w:rsid w:val="000F59FF"/>
    <w:rsid w:val="00111414"/>
    <w:rsid w:val="001220A1"/>
    <w:rsid w:val="00140089"/>
    <w:rsid w:val="00140C5A"/>
    <w:rsid w:val="00190742"/>
    <w:rsid w:val="00190E0A"/>
    <w:rsid w:val="001B33CB"/>
    <w:rsid w:val="001B683F"/>
    <w:rsid w:val="001C2F3B"/>
    <w:rsid w:val="001C6457"/>
    <w:rsid w:val="001D3251"/>
    <w:rsid w:val="001D613E"/>
    <w:rsid w:val="001E048B"/>
    <w:rsid w:val="00204F9F"/>
    <w:rsid w:val="00210BDD"/>
    <w:rsid w:val="00226ADD"/>
    <w:rsid w:val="00240F05"/>
    <w:rsid w:val="00255144"/>
    <w:rsid w:val="00272C30"/>
    <w:rsid w:val="00273998"/>
    <w:rsid w:val="00292A7E"/>
    <w:rsid w:val="002939F7"/>
    <w:rsid w:val="002B2F76"/>
    <w:rsid w:val="002E2B61"/>
    <w:rsid w:val="002E78E4"/>
    <w:rsid w:val="002F1539"/>
    <w:rsid w:val="00321605"/>
    <w:rsid w:val="00341539"/>
    <w:rsid w:val="00346F2A"/>
    <w:rsid w:val="003B5013"/>
    <w:rsid w:val="003C493C"/>
    <w:rsid w:val="003E038E"/>
    <w:rsid w:val="00464D81"/>
    <w:rsid w:val="00483346"/>
    <w:rsid w:val="00485596"/>
    <w:rsid w:val="00491169"/>
    <w:rsid w:val="004A1D05"/>
    <w:rsid w:val="004C38C8"/>
    <w:rsid w:val="004E0E01"/>
    <w:rsid w:val="005338D1"/>
    <w:rsid w:val="00533F19"/>
    <w:rsid w:val="00535093"/>
    <w:rsid w:val="00536B76"/>
    <w:rsid w:val="00537175"/>
    <w:rsid w:val="00553707"/>
    <w:rsid w:val="00566611"/>
    <w:rsid w:val="005B6B80"/>
    <w:rsid w:val="005F3BDB"/>
    <w:rsid w:val="006007ED"/>
    <w:rsid w:val="0065783F"/>
    <w:rsid w:val="006949E4"/>
    <w:rsid w:val="006970D2"/>
    <w:rsid w:val="006A27CE"/>
    <w:rsid w:val="006C247F"/>
    <w:rsid w:val="006D2748"/>
    <w:rsid w:val="006D4965"/>
    <w:rsid w:val="006E4B4B"/>
    <w:rsid w:val="006F031F"/>
    <w:rsid w:val="006F2DB7"/>
    <w:rsid w:val="007010AD"/>
    <w:rsid w:val="00704E5A"/>
    <w:rsid w:val="00712AA3"/>
    <w:rsid w:val="007306CD"/>
    <w:rsid w:val="00732B5B"/>
    <w:rsid w:val="007367A0"/>
    <w:rsid w:val="00740F65"/>
    <w:rsid w:val="007437F8"/>
    <w:rsid w:val="00773A7F"/>
    <w:rsid w:val="00774435"/>
    <w:rsid w:val="00774C67"/>
    <w:rsid w:val="00785858"/>
    <w:rsid w:val="00796341"/>
    <w:rsid w:val="007A5F1A"/>
    <w:rsid w:val="007B5B1F"/>
    <w:rsid w:val="007C6242"/>
    <w:rsid w:val="007E7619"/>
    <w:rsid w:val="007F15CC"/>
    <w:rsid w:val="007F6F92"/>
    <w:rsid w:val="008042B4"/>
    <w:rsid w:val="00842455"/>
    <w:rsid w:val="0084341B"/>
    <w:rsid w:val="00872706"/>
    <w:rsid w:val="00876D44"/>
    <w:rsid w:val="00885049"/>
    <w:rsid w:val="00887329"/>
    <w:rsid w:val="008A737A"/>
    <w:rsid w:val="008B0D47"/>
    <w:rsid w:val="008C6A58"/>
    <w:rsid w:val="008D42A1"/>
    <w:rsid w:val="008F0D74"/>
    <w:rsid w:val="00937FA6"/>
    <w:rsid w:val="009442FD"/>
    <w:rsid w:val="0096209F"/>
    <w:rsid w:val="00985A5E"/>
    <w:rsid w:val="00985C64"/>
    <w:rsid w:val="00987A5B"/>
    <w:rsid w:val="009925CF"/>
    <w:rsid w:val="009A12E9"/>
    <w:rsid w:val="009E45EF"/>
    <w:rsid w:val="00A12CEE"/>
    <w:rsid w:val="00A36807"/>
    <w:rsid w:val="00A46FF1"/>
    <w:rsid w:val="00A47B49"/>
    <w:rsid w:val="00A507D9"/>
    <w:rsid w:val="00A6687B"/>
    <w:rsid w:val="00A80DBC"/>
    <w:rsid w:val="00A82A0B"/>
    <w:rsid w:val="00A90D23"/>
    <w:rsid w:val="00A916F6"/>
    <w:rsid w:val="00AA69A4"/>
    <w:rsid w:val="00AB7A3B"/>
    <w:rsid w:val="00AE07B8"/>
    <w:rsid w:val="00AE23E5"/>
    <w:rsid w:val="00AE3E07"/>
    <w:rsid w:val="00B00971"/>
    <w:rsid w:val="00B06FF8"/>
    <w:rsid w:val="00B17ECC"/>
    <w:rsid w:val="00B2272D"/>
    <w:rsid w:val="00B25DC8"/>
    <w:rsid w:val="00B27384"/>
    <w:rsid w:val="00B2756D"/>
    <w:rsid w:val="00B36240"/>
    <w:rsid w:val="00B47A57"/>
    <w:rsid w:val="00B55FEE"/>
    <w:rsid w:val="00B56F69"/>
    <w:rsid w:val="00B634EF"/>
    <w:rsid w:val="00B97A61"/>
    <w:rsid w:val="00BC14F1"/>
    <w:rsid w:val="00BF00A6"/>
    <w:rsid w:val="00BF5BFB"/>
    <w:rsid w:val="00C05DA4"/>
    <w:rsid w:val="00C078AF"/>
    <w:rsid w:val="00C15FDD"/>
    <w:rsid w:val="00C6600D"/>
    <w:rsid w:val="00C95F87"/>
    <w:rsid w:val="00CC5F84"/>
    <w:rsid w:val="00CD2634"/>
    <w:rsid w:val="00D040F2"/>
    <w:rsid w:val="00D05F39"/>
    <w:rsid w:val="00D17F17"/>
    <w:rsid w:val="00D26154"/>
    <w:rsid w:val="00D4470D"/>
    <w:rsid w:val="00D508C4"/>
    <w:rsid w:val="00D57DB3"/>
    <w:rsid w:val="00D6371E"/>
    <w:rsid w:val="00D64BEF"/>
    <w:rsid w:val="00D95EAA"/>
    <w:rsid w:val="00DA476F"/>
    <w:rsid w:val="00DE51AE"/>
    <w:rsid w:val="00DE5B73"/>
    <w:rsid w:val="00DE6DA3"/>
    <w:rsid w:val="00E27177"/>
    <w:rsid w:val="00E334CC"/>
    <w:rsid w:val="00E66721"/>
    <w:rsid w:val="00E8334D"/>
    <w:rsid w:val="00EA6156"/>
    <w:rsid w:val="00EB5ABB"/>
    <w:rsid w:val="00EC087A"/>
    <w:rsid w:val="00EC21B3"/>
    <w:rsid w:val="00EE77D6"/>
    <w:rsid w:val="00EF39B2"/>
    <w:rsid w:val="00EF7242"/>
    <w:rsid w:val="00F04B5B"/>
    <w:rsid w:val="00F12F45"/>
    <w:rsid w:val="00F1771A"/>
    <w:rsid w:val="00F37DF6"/>
    <w:rsid w:val="00F449D5"/>
    <w:rsid w:val="00F60997"/>
    <w:rsid w:val="00F6201C"/>
    <w:rsid w:val="00F65495"/>
    <w:rsid w:val="00F76343"/>
    <w:rsid w:val="00F7735D"/>
    <w:rsid w:val="00F92125"/>
    <w:rsid w:val="00FD05BD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97F0D8E"/>
  <w15:chartTrackingRefBased/>
  <w15:docId w15:val="{507B42A0-9639-4D24-92C1-2FFCBF82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71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"/>
    <w:basedOn w:val="Normal"/>
    <w:link w:val="FooterChar"/>
    <w:uiPriority w:val="99"/>
    <w:rsid w:val="00B00971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B00971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B00971"/>
  </w:style>
  <w:style w:type="paragraph" w:customStyle="1" w:styleId="01-NormInd2-BB">
    <w:name w:val="01-NormInd2-BB"/>
    <w:basedOn w:val="Normal"/>
    <w:qFormat/>
    <w:rsid w:val="00B00971"/>
    <w:pPr>
      <w:spacing w:before="0" w:line="240" w:lineRule="auto"/>
      <w:ind w:left="1440"/>
    </w:pPr>
    <w:rPr>
      <w:lang w:eastAsia="en-US"/>
    </w:rPr>
  </w:style>
  <w:style w:type="paragraph" w:styleId="NoSpacing">
    <w:name w:val="No Spacing"/>
    <w:uiPriority w:val="1"/>
    <w:qFormat/>
    <w:rsid w:val="00B0097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Default">
    <w:name w:val="Default"/>
    <w:qFormat/>
    <w:rsid w:val="00B00971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F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5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B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BF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F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BF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FB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B63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7A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A0"/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TextBody"/>
    <w:semiHidden/>
    <w:qFormat/>
    <w:rsid w:val="00732B5B"/>
    <w:rPr>
      <w:rFonts w:ascii="Calibri" w:hAnsi="Calibri" w:cs="Calibri"/>
    </w:rPr>
  </w:style>
  <w:style w:type="paragraph" w:customStyle="1" w:styleId="TextBody">
    <w:name w:val="Text Body"/>
    <w:basedOn w:val="Normal"/>
    <w:link w:val="BodyTextChar"/>
    <w:semiHidden/>
    <w:rsid w:val="00732B5B"/>
    <w:pPr>
      <w:suppressAutoHyphens/>
      <w:spacing w:before="0" w:after="120" w:line="276" w:lineRule="auto"/>
      <w:jc w:val="left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2E03D-8CAB-4014-8187-30C10188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Powell</dc:creator>
  <cp:keywords/>
  <dc:description/>
  <cp:lastModifiedBy>Tracey Powell</cp:lastModifiedBy>
  <cp:revision>9</cp:revision>
  <dcterms:created xsi:type="dcterms:W3CDTF">2017-07-26T12:24:00Z</dcterms:created>
  <dcterms:modified xsi:type="dcterms:W3CDTF">2017-08-07T09:05:00Z</dcterms:modified>
</cp:coreProperties>
</file>