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80" w:rsidRPr="00ED66E4" w:rsidRDefault="00E83D80" w:rsidP="00E83D80">
      <w:pPr>
        <w:jc w:val="center"/>
        <w:rPr>
          <w:rFonts w:ascii="Arial" w:hAnsi="Arial"/>
          <w:b/>
        </w:rPr>
      </w:pPr>
      <w:r w:rsidRPr="004853CF">
        <w:rPr>
          <w:rFonts w:ascii="Arial" w:hAnsi="Arial"/>
          <w:b/>
        </w:rPr>
        <w:t>Invitation to Tender</w:t>
      </w:r>
      <w:r>
        <w:rPr>
          <w:rFonts w:ascii="Arial" w:hAnsi="Arial"/>
          <w:b/>
        </w:rPr>
        <w:t xml:space="preserve"> </w:t>
      </w:r>
      <w:r w:rsidRPr="0027284E">
        <w:rPr>
          <w:rFonts w:ascii="Arial" w:hAnsi="Arial" w:cs="Arial"/>
          <w:b/>
          <w:bCs/>
        </w:rPr>
        <w:t>for</w:t>
      </w:r>
    </w:p>
    <w:p w:rsidR="00E83D80" w:rsidRDefault="00E83D80" w:rsidP="00E83D80">
      <w:pPr>
        <w:jc w:val="center"/>
        <w:rPr>
          <w:rFonts w:ascii="Arial" w:hAnsi="Arial" w:cs="Arial"/>
        </w:rPr>
      </w:pPr>
    </w:p>
    <w:p w:rsidR="00E83D80" w:rsidRPr="00E83D80" w:rsidRDefault="00E83D80" w:rsidP="00E83D80">
      <w:pPr>
        <w:jc w:val="center"/>
        <w:rPr>
          <w:rFonts w:ascii="Arial" w:hAnsi="Arial" w:cs="Arial"/>
          <w:b/>
          <w:sz w:val="32"/>
          <w:szCs w:val="32"/>
        </w:rPr>
      </w:pPr>
      <w:r>
        <w:rPr>
          <w:rFonts w:ascii="Arial" w:hAnsi="Arial" w:cs="Arial"/>
          <w:b/>
          <w:sz w:val="32"/>
          <w:szCs w:val="32"/>
        </w:rPr>
        <w:t>Connected Places -  Strategy and Delivery Plan</w:t>
      </w:r>
      <w:r>
        <w:rPr>
          <w:rFonts w:ascii="Arial" w:hAnsi="Arial" w:cs="Arial"/>
          <w:b/>
          <w:sz w:val="32"/>
          <w:szCs w:val="32"/>
        </w:rPr>
        <w:t xml:space="preserve"> </w:t>
      </w:r>
      <w:r>
        <w:rPr>
          <w:rFonts w:ascii="Arial" w:hAnsi="Arial" w:cs="Arial"/>
          <w:b/>
          <w:sz w:val="32"/>
          <w:szCs w:val="32"/>
        </w:rPr>
        <w:t xml:space="preserve">for Wolverhampton </w:t>
      </w:r>
      <w:r w:rsidRPr="00D16C4F">
        <w:rPr>
          <w:rFonts w:ascii="Arial" w:hAnsi="Arial" w:cs="Arial"/>
          <w:b/>
          <w:sz w:val="32"/>
          <w:szCs w:val="32"/>
        </w:rPr>
        <w:t>City Centre</w:t>
      </w:r>
    </w:p>
    <w:p w:rsidR="00E83D80" w:rsidRDefault="00E83D80" w:rsidP="00E83D80">
      <w:pPr>
        <w:jc w:val="both"/>
        <w:rPr>
          <w:rFonts w:ascii="Arial" w:hAnsi="Arial" w:cs="Arial"/>
          <w:b/>
        </w:rPr>
      </w:pPr>
    </w:p>
    <w:tbl>
      <w:tblPr>
        <w:tblW w:w="84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5"/>
      </w:tblGrid>
      <w:tr w:rsidR="00E83D80" w:rsidTr="00503A94">
        <w:tblPrEx>
          <w:tblCellMar>
            <w:top w:w="0" w:type="dxa"/>
            <w:bottom w:w="0" w:type="dxa"/>
          </w:tblCellMar>
        </w:tblPrEx>
        <w:tc>
          <w:tcPr>
            <w:tcW w:w="8455" w:type="dxa"/>
            <w:shd w:val="clear" w:color="auto" w:fill="D9D9D9"/>
            <w:vAlign w:val="center"/>
          </w:tcPr>
          <w:p w:rsidR="00E83D80" w:rsidRDefault="00E83D80" w:rsidP="00503A94">
            <w:pPr>
              <w:pStyle w:val="Heading4"/>
              <w:rPr>
                <w:sz w:val="24"/>
              </w:rPr>
            </w:pPr>
            <w:r>
              <w:rPr>
                <w:sz w:val="24"/>
              </w:rPr>
              <w:t>Invitation to Participate in a Mini Competition</w:t>
            </w:r>
          </w:p>
          <w:p w:rsidR="00E83D80" w:rsidRDefault="00E83D80" w:rsidP="00503A94">
            <w:pPr>
              <w:jc w:val="center"/>
              <w:rPr>
                <w:rFonts w:ascii="Arial" w:hAnsi="Arial" w:cs="Arial"/>
                <w:sz w:val="20"/>
                <w:szCs w:val="20"/>
              </w:rPr>
            </w:pPr>
          </w:p>
        </w:tc>
      </w:tr>
      <w:tr w:rsidR="00E83D80" w:rsidTr="00503A94">
        <w:tblPrEx>
          <w:tblCellMar>
            <w:top w:w="0" w:type="dxa"/>
            <w:bottom w:w="0" w:type="dxa"/>
          </w:tblCellMar>
        </w:tblPrEx>
        <w:tc>
          <w:tcPr>
            <w:tcW w:w="8455" w:type="dxa"/>
          </w:tcPr>
          <w:p w:rsidR="00E83D80" w:rsidRPr="008D128C" w:rsidRDefault="00E83D80" w:rsidP="00503A94">
            <w:pPr>
              <w:jc w:val="both"/>
              <w:rPr>
                <w:rFonts w:ascii="Arial" w:hAnsi="Arial" w:cs="Arial"/>
              </w:rPr>
            </w:pPr>
          </w:p>
        </w:tc>
      </w:tr>
      <w:tr w:rsidR="00E83D80" w:rsidTr="00503A94">
        <w:tblPrEx>
          <w:tblCellMar>
            <w:top w:w="0" w:type="dxa"/>
            <w:bottom w:w="0" w:type="dxa"/>
          </w:tblCellMar>
        </w:tblPrEx>
        <w:tc>
          <w:tcPr>
            <w:tcW w:w="8455" w:type="dxa"/>
          </w:tcPr>
          <w:p w:rsidR="00E83D80" w:rsidRPr="008D128C" w:rsidRDefault="00E83D80" w:rsidP="00503A94">
            <w:pPr>
              <w:jc w:val="both"/>
              <w:rPr>
                <w:rFonts w:ascii="Arial" w:hAnsi="Arial" w:cs="Arial"/>
              </w:rPr>
            </w:pPr>
            <w:r w:rsidRPr="008D128C">
              <w:rPr>
                <w:rFonts w:ascii="Arial" w:hAnsi="Arial" w:cs="Arial"/>
                <w:b/>
                <w:bCs/>
              </w:rPr>
              <w:t>Project Name</w:t>
            </w:r>
            <w:r w:rsidRPr="008D128C">
              <w:rPr>
                <w:rFonts w:ascii="Arial" w:hAnsi="Arial" w:cs="Arial"/>
              </w:rPr>
              <w:t xml:space="preserve">: </w:t>
            </w:r>
            <w:r>
              <w:rPr>
                <w:rFonts w:ascii="Arial" w:hAnsi="Arial" w:cs="Arial"/>
              </w:rPr>
              <w:t xml:space="preserve"> Preparation of a Connected Places Strategy and Delivery Plan for Wolverhampton</w:t>
            </w:r>
            <w:r w:rsidRPr="008D128C">
              <w:rPr>
                <w:rFonts w:ascii="Arial" w:hAnsi="Arial" w:cs="Arial"/>
              </w:rPr>
              <w:t xml:space="preserve"> City Centre                                                                                    </w:t>
            </w:r>
          </w:p>
          <w:p w:rsidR="00E83D80" w:rsidRPr="008D128C" w:rsidRDefault="00E83D80" w:rsidP="00503A94">
            <w:pPr>
              <w:jc w:val="both"/>
              <w:rPr>
                <w:rFonts w:ascii="Arial" w:hAnsi="Arial" w:cs="Arial"/>
              </w:rPr>
            </w:pPr>
          </w:p>
          <w:p w:rsidR="00E83D80" w:rsidRPr="001A7479" w:rsidRDefault="00E83D80" w:rsidP="00503A94">
            <w:pPr>
              <w:jc w:val="both"/>
              <w:rPr>
                <w:rFonts w:ascii="Arial" w:hAnsi="Arial" w:cs="Arial"/>
              </w:rPr>
            </w:pPr>
            <w:r>
              <w:rPr>
                <w:rFonts w:ascii="Arial" w:hAnsi="Arial" w:cs="Arial"/>
                <w:b/>
              </w:rPr>
              <w:t xml:space="preserve">Date : </w:t>
            </w:r>
            <w:r>
              <w:rPr>
                <w:rFonts w:ascii="Arial" w:hAnsi="Arial" w:cs="Arial"/>
              </w:rPr>
              <w:t>November 2015</w:t>
            </w:r>
          </w:p>
        </w:tc>
      </w:tr>
      <w:tr w:rsidR="00E83D80" w:rsidTr="00503A94">
        <w:tblPrEx>
          <w:tblCellMar>
            <w:top w:w="0" w:type="dxa"/>
            <w:bottom w:w="0" w:type="dxa"/>
          </w:tblCellMar>
        </w:tblPrEx>
        <w:tc>
          <w:tcPr>
            <w:tcW w:w="8455" w:type="dxa"/>
          </w:tcPr>
          <w:p w:rsidR="00E83D80" w:rsidRDefault="00E83D80" w:rsidP="00503A94">
            <w:pPr>
              <w:jc w:val="both"/>
              <w:rPr>
                <w:rFonts w:ascii="Arial" w:hAnsi="Arial" w:cs="Arial"/>
                <w:b/>
                <w:bCs/>
                <w:sz w:val="20"/>
                <w:szCs w:val="20"/>
              </w:rPr>
            </w:pPr>
          </w:p>
        </w:tc>
      </w:tr>
      <w:tr w:rsidR="00E83D80" w:rsidTr="00503A94">
        <w:tblPrEx>
          <w:tblCellMar>
            <w:top w:w="0" w:type="dxa"/>
            <w:bottom w:w="0" w:type="dxa"/>
          </w:tblCellMar>
        </w:tblPrEx>
        <w:tc>
          <w:tcPr>
            <w:tcW w:w="8455" w:type="dxa"/>
          </w:tcPr>
          <w:p w:rsidR="00E83D80" w:rsidRDefault="00E83D80" w:rsidP="00503A94">
            <w:pPr>
              <w:rPr>
                <w:rFonts w:ascii="Arial" w:hAnsi="Arial" w:cs="Arial"/>
                <w:b/>
                <w:bCs/>
                <w:iCs/>
                <w:sz w:val="20"/>
                <w:szCs w:val="20"/>
              </w:rPr>
            </w:pPr>
          </w:p>
          <w:p w:rsidR="00E83D80" w:rsidRDefault="00E83D80" w:rsidP="00E83D80">
            <w:pPr>
              <w:numPr>
                <w:ilvl w:val="0"/>
                <w:numId w:val="2"/>
              </w:numPr>
              <w:rPr>
                <w:rFonts w:ascii="Arial" w:hAnsi="Arial" w:cs="Arial"/>
                <w:b/>
                <w:bCs/>
                <w:iCs/>
                <w:u w:val="single"/>
              </w:rPr>
            </w:pPr>
            <w:r w:rsidRPr="008D128C">
              <w:rPr>
                <w:rFonts w:ascii="Arial" w:hAnsi="Arial" w:cs="Arial"/>
                <w:b/>
                <w:bCs/>
                <w:iCs/>
                <w:u w:val="single"/>
              </w:rPr>
              <w:t xml:space="preserve">Background </w:t>
            </w:r>
          </w:p>
          <w:p w:rsidR="00E83D80" w:rsidRDefault="00E83D80" w:rsidP="00503A94">
            <w:pPr>
              <w:rPr>
                <w:rFonts w:ascii="Arial" w:hAnsi="Arial" w:cs="Arial"/>
                <w:b/>
                <w:bCs/>
                <w:iCs/>
                <w:u w:val="single"/>
              </w:rPr>
            </w:pPr>
          </w:p>
          <w:p w:rsidR="00E83D80" w:rsidRDefault="00E83D80" w:rsidP="00503A94">
            <w:pPr>
              <w:rPr>
                <w:rFonts w:ascii="Arial" w:hAnsi="Arial" w:cs="Arial"/>
                <w:bCs/>
                <w:iCs/>
              </w:rPr>
            </w:pPr>
            <w:r>
              <w:rPr>
                <w:rFonts w:ascii="Arial" w:hAnsi="Arial" w:cs="Arial"/>
                <w:bCs/>
                <w:iCs/>
              </w:rPr>
              <w:t>Wolverhampton City Council is leading on the major regeneration of the City Centre. A number of significant development opportunities will be coming forward over the next 10-15 years.</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In July 2012 the City launched the City Centre Prospectus which set out the priorities and principles for taking forward the regeneration of the City Centre. The priority projects have been affirmed in the emerging Action Plan for the City Centre.</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Significant progress has been made on the delivery of regeneration in the City Centre. Wolverhampton Interchange is progressing with the construction of i10 underway. Demolition of the Steam Mill started on site in September 2015 as part of the enabling works for Wolverhampton Interchange, and the extension of the Multi-Storey car park will commence in December 2015. Interchange is critically important to the wider City Centre regeneration and the transport components are expected to complete in late 2018. The Council is bringing forward the regeneration of Westside with land assembly and decanting of uses from the site underway to make way for the regeneration of the area. This 6 acre opportunity will be brought forward to the market in October 2015.</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The University has invested in the City Centre through building a Science Facility building (The Rosalind Franklin Building) and new Wolverhampton Business School. A new Sainsbury store has been developed at Westside.  In addition the first phases of the transport and movement works have been implemented. Marston’s are on site with the development of a new HQ office at Chapel Ash and the refurbishment of the former Sunbeam factory is in progress to form 115 apartments.</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The Council is preparing the refurbishment and extension to the Civic Halls and Local Growth Fund (LGF) has been awarded to lever the development of the Grand Theatre. Enabling works are underway at Southside, where the Council has acquired extensive landholdings. The first phase of land will be marketed in Spring 2016.</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Planning permission has been granted for the refurbishment of the Mander Centre which will see works start in January 2016. Tesco are in the process of selling the former Royal hospital site for redevelopment following the restoration of the shell of the Listed Building and the substantial clearance and remediation of the site.</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The University has acquired the former Springfield Brewery site to develop as an education and training hub which will see the development of a West Midlands Construction University Training College UTC which commenced on site in August 2015 and Elite Skill Manufacturing Centre. Along with Interchange these developments will kick-start the regeneration of the Canalside area. The development of a Strategic Regeneration Framework will be commissioned as a separate study for Canalside and a demonstration project is being developed to secure external funding for improved pedestrian linkages between Interchange and the Springfield Brewery site – Springfield Campus.</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The Council is also working with the University and Football Club to develop a Development Framework for the Molineux Quarter that will facilitate the development opportunities for the area, whilst improving the experience for pedestrians, visitors, enhance the green scape and rationalise car-parking in the area. This area experiences significant footfall and there is an opportunity to capture this to support the City Centre facilities and adding to its vitality.</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In addition the Council has commissioned a car parking strategy to support the regeneration proposals of the City Centre.</w:t>
            </w:r>
          </w:p>
          <w:p w:rsidR="00E83D80" w:rsidRDefault="00E83D80" w:rsidP="00503A94">
            <w:pPr>
              <w:rPr>
                <w:rFonts w:ascii="Arial" w:hAnsi="Arial" w:cs="Arial"/>
                <w:iCs/>
              </w:rPr>
            </w:pPr>
            <w:r>
              <w:rPr>
                <w:rFonts w:ascii="Arial" w:hAnsi="Arial" w:cs="Arial"/>
                <w:iCs/>
              </w:rPr>
              <w:t xml:space="preserve"> </w:t>
            </w:r>
          </w:p>
          <w:p w:rsidR="00E83D80" w:rsidRDefault="00E83D80" w:rsidP="00503A94">
            <w:pPr>
              <w:rPr>
                <w:rFonts w:ascii="Arial" w:hAnsi="Arial" w:cs="Arial"/>
                <w:iCs/>
              </w:rPr>
            </w:pPr>
            <w:r>
              <w:rPr>
                <w:rFonts w:ascii="Arial" w:hAnsi="Arial" w:cs="Arial"/>
                <w:iCs/>
              </w:rPr>
              <w:t>Many of these regeneration opportunities sit within the ring road whilst several significant scale opportunities lie outside of the ring road eg. Canalside, Molineux Quarter and the Royal Hospital site.</w:t>
            </w:r>
          </w:p>
          <w:p w:rsidR="00E83D80" w:rsidRDefault="00E83D80" w:rsidP="00503A94">
            <w:pPr>
              <w:rPr>
                <w:rFonts w:ascii="Arial" w:hAnsi="Arial" w:cs="Arial"/>
                <w:iCs/>
              </w:rPr>
            </w:pPr>
          </w:p>
          <w:p w:rsidR="00E83D80" w:rsidRDefault="00E83D80" w:rsidP="00503A94">
            <w:pPr>
              <w:rPr>
                <w:rFonts w:ascii="Arial" w:hAnsi="Arial" w:cs="Arial"/>
                <w:iCs/>
              </w:rPr>
            </w:pPr>
            <w:r>
              <w:rPr>
                <w:rFonts w:ascii="Arial" w:hAnsi="Arial" w:cs="Arial"/>
                <w:iCs/>
              </w:rPr>
              <w:t>It is critical that these regeneration opportunities are linked together and are accessible by foot and cycling. It is important that the connectivity between these areas of the City not only functions well but is clearly legible and people feel safe.  The City requires a quality of connecting space that is visually appealing and contributes to the amenity of the City Centre. An environment which is attractive to residents, visitors and businesses.</w:t>
            </w:r>
          </w:p>
          <w:p w:rsidR="00E83D80" w:rsidRDefault="00E83D80" w:rsidP="00503A94">
            <w:pPr>
              <w:rPr>
                <w:rFonts w:ascii="Arial" w:hAnsi="Arial" w:cs="Arial"/>
                <w:iCs/>
              </w:rPr>
            </w:pPr>
          </w:p>
          <w:p w:rsidR="00E83D80" w:rsidRDefault="00E83D80" w:rsidP="00503A94">
            <w:pPr>
              <w:rPr>
                <w:rFonts w:ascii="Arial" w:hAnsi="Arial" w:cs="Arial"/>
                <w:iCs/>
              </w:rPr>
            </w:pPr>
          </w:p>
          <w:p w:rsidR="00E83D80" w:rsidRDefault="00E83D80" w:rsidP="00503A94">
            <w:pPr>
              <w:rPr>
                <w:rFonts w:ascii="Arial" w:hAnsi="Arial" w:cs="Arial"/>
                <w:iCs/>
              </w:rPr>
            </w:pPr>
          </w:p>
          <w:p w:rsidR="00E83D80" w:rsidRPr="004E16DD" w:rsidRDefault="00E83D80" w:rsidP="00E83D80">
            <w:pPr>
              <w:numPr>
                <w:ilvl w:val="0"/>
                <w:numId w:val="2"/>
              </w:numPr>
              <w:rPr>
                <w:rFonts w:ascii="Arial" w:hAnsi="Arial" w:cs="Arial"/>
                <w:b/>
                <w:bCs/>
                <w:iCs/>
                <w:u w:val="single"/>
              </w:rPr>
            </w:pPr>
            <w:r w:rsidRPr="008D128C">
              <w:rPr>
                <w:rFonts w:ascii="Arial" w:hAnsi="Arial" w:cs="Arial"/>
                <w:b/>
                <w:bCs/>
                <w:iCs/>
                <w:u w:val="single"/>
              </w:rPr>
              <w:t>Objectives</w:t>
            </w:r>
            <w:r>
              <w:rPr>
                <w:rFonts w:ascii="Arial" w:hAnsi="Arial" w:cs="Arial"/>
                <w:b/>
                <w:bCs/>
                <w:iCs/>
                <w:u w:val="single"/>
              </w:rPr>
              <w:t xml:space="preserve"> and context</w:t>
            </w:r>
          </w:p>
          <w:p w:rsidR="00E83D80" w:rsidRPr="007E0FC7" w:rsidRDefault="00E83D80" w:rsidP="00503A94">
            <w:pPr>
              <w:rPr>
                <w:rFonts w:ascii="Arial" w:hAnsi="Arial" w:cs="Arial"/>
                <w:iCs/>
                <w:u w:val="single"/>
              </w:rPr>
            </w:pPr>
          </w:p>
          <w:p w:rsidR="00E83D80" w:rsidRDefault="00E83D80" w:rsidP="00503A94">
            <w:pPr>
              <w:spacing w:after="200" w:line="276" w:lineRule="auto"/>
              <w:rPr>
                <w:rFonts w:ascii="Arial" w:eastAsia="Calibri" w:hAnsi="Arial" w:cs="Arial"/>
              </w:rPr>
            </w:pPr>
            <w:r>
              <w:rPr>
                <w:rFonts w:ascii="Arial" w:eastAsia="Calibri" w:hAnsi="Arial" w:cs="Arial"/>
              </w:rPr>
              <w:t xml:space="preserve">The objective of the commission is to produce a Connected Places strategy and delivery plan that will create a significantly improved public realm throughout the City Centre to support economic business activity , which will seek to align and complement existing strategies and initiatives referred to above. </w:t>
            </w:r>
          </w:p>
          <w:p w:rsidR="00E83D80" w:rsidRDefault="00E83D80" w:rsidP="00503A94">
            <w:pPr>
              <w:spacing w:after="200" w:line="276" w:lineRule="auto"/>
              <w:rPr>
                <w:rFonts w:ascii="Arial" w:eastAsia="Calibri" w:hAnsi="Arial" w:cs="Arial"/>
              </w:rPr>
            </w:pPr>
            <w:r>
              <w:rPr>
                <w:rFonts w:ascii="Arial" w:eastAsia="Calibri" w:hAnsi="Arial" w:cs="Arial"/>
              </w:rPr>
              <w:t>Each element of work should be produced in the context of;</w:t>
            </w:r>
          </w:p>
          <w:p w:rsidR="00E83D80" w:rsidRDefault="00E83D80" w:rsidP="00E83D80">
            <w:pPr>
              <w:numPr>
                <w:ilvl w:val="0"/>
                <w:numId w:val="3"/>
              </w:numPr>
              <w:spacing w:after="200" w:line="276" w:lineRule="auto"/>
              <w:rPr>
                <w:rFonts w:ascii="Arial" w:eastAsia="Calibri" w:hAnsi="Arial" w:cs="Arial"/>
              </w:rPr>
            </w:pPr>
            <w:r>
              <w:rPr>
                <w:rFonts w:ascii="Arial" w:eastAsia="Calibri" w:hAnsi="Arial" w:cs="Arial"/>
              </w:rPr>
              <w:lastRenderedPageBreak/>
              <w:t>The regeneration strategy for the City Centre</w:t>
            </w:r>
          </w:p>
          <w:p w:rsidR="00E83D80" w:rsidRDefault="00E83D80" w:rsidP="00E83D80">
            <w:pPr>
              <w:numPr>
                <w:ilvl w:val="0"/>
                <w:numId w:val="3"/>
              </w:numPr>
              <w:spacing w:after="200" w:line="276" w:lineRule="auto"/>
              <w:rPr>
                <w:rFonts w:ascii="Arial" w:eastAsia="Calibri" w:hAnsi="Arial" w:cs="Arial"/>
              </w:rPr>
            </w:pPr>
            <w:r>
              <w:rPr>
                <w:rFonts w:ascii="Arial" w:eastAsia="Calibri" w:hAnsi="Arial" w:cs="Arial"/>
              </w:rPr>
              <w:t xml:space="preserve">Current and predicted economic, commercial and physical development and in particular the changing </w:t>
            </w:r>
            <w:r w:rsidRPr="00BA0DB9">
              <w:rPr>
                <w:rFonts w:ascii="Arial" w:eastAsia="Calibri" w:hAnsi="Arial" w:cs="Arial"/>
              </w:rPr>
              <w:t>requirements over the coming years as the cityscape changes and development sites are bro</w:t>
            </w:r>
            <w:r>
              <w:rPr>
                <w:rFonts w:ascii="Arial" w:eastAsia="Calibri" w:hAnsi="Arial" w:cs="Arial"/>
              </w:rPr>
              <w:t xml:space="preserve">ught forward for regeneration. </w:t>
            </w:r>
          </w:p>
          <w:p w:rsidR="00E83D80" w:rsidRPr="00831270" w:rsidRDefault="00E83D80" w:rsidP="00E83D80">
            <w:pPr>
              <w:numPr>
                <w:ilvl w:val="0"/>
                <w:numId w:val="3"/>
              </w:numPr>
              <w:spacing w:after="200" w:line="276" w:lineRule="auto"/>
              <w:rPr>
                <w:rFonts w:ascii="Arial" w:eastAsia="Calibri" w:hAnsi="Arial" w:cs="Arial"/>
              </w:rPr>
            </w:pPr>
            <w:r>
              <w:rPr>
                <w:rFonts w:ascii="Arial" w:eastAsia="Calibri" w:hAnsi="Arial" w:cs="Arial"/>
              </w:rPr>
              <w:t>Current and future desire lines and safe routes between key parts of the City Centre</w:t>
            </w:r>
          </w:p>
          <w:p w:rsidR="00E83D80" w:rsidRDefault="00E83D80" w:rsidP="00E83D80">
            <w:pPr>
              <w:numPr>
                <w:ilvl w:val="0"/>
                <w:numId w:val="3"/>
              </w:numPr>
              <w:spacing w:after="200" w:line="276" w:lineRule="auto"/>
              <w:rPr>
                <w:rFonts w:ascii="Arial" w:eastAsia="Calibri" w:hAnsi="Arial" w:cs="Arial"/>
              </w:rPr>
            </w:pPr>
            <w:r>
              <w:rPr>
                <w:rFonts w:ascii="Arial" w:eastAsia="Calibri" w:hAnsi="Arial" w:cs="Arial"/>
              </w:rPr>
              <w:t>The work should advise on the importance of linkage between the future likely car parking facilities.</w:t>
            </w:r>
          </w:p>
          <w:p w:rsidR="00E83D80" w:rsidRDefault="00E83D80" w:rsidP="00E83D80">
            <w:pPr>
              <w:numPr>
                <w:ilvl w:val="0"/>
                <w:numId w:val="3"/>
              </w:numPr>
              <w:spacing w:after="200" w:line="276" w:lineRule="auto"/>
              <w:rPr>
                <w:rFonts w:ascii="Arial" w:eastAsia="Calibri" w:hAnsi="Arial" w:cs="Arial"/>
              </w:rPr>
            </w:pPr>
            <w:r>
              <w:rPr>
                <w:rFonts w:ascii="Arial" w:eastAsia="Calibri" w:hAnsi="Arial" w:cs="Arial"/>
              </w:rPr>
              <w:t>P</w:t>
            </w:r>
            <w:r w:rsidRPr="005A1658">
              <w:rPr>
                <w:rFonts w:ascii="Arial" w:eastAsia="Calibri" w:hAnsi="Arial" w:cs="Arial"/>
              </w:rPr>
              <w:t xml:space="preserve">roposals for the improvements in vehicular and pedestrian </w:t>
            </w:r>
            <w:r>
              <w:rPr>
                <w:rFonts w:ascii="Arial" w:eastAsia="Calibri" w:hAnsi="Arial" w:cs="Arial"/>
              </w:rPr>
              <w:t xml:space="preserve">links </w:t>
            </w:r>
            <w:r w:rsidRPr="005A1658">
              <w:rPr>
                <w:rFonts w:ascii="Arial" w:eastAsia="Calibri" w:hAnsi="Arial" w:cs="Arial"/>
              </w:rPr>
              <w:t>within and around the City Centre</w:t>
            </w:r>
            <w:r>
              <w:rPr>
                <w:rFonts w:ascii="Arial" w:eastAsia="Calibri" w:hAnsi="Arial" w:cs="Arial"/>
              </w:rPr>
              <w:t>, including a review of existing signage and wayfinding with recommendations for improvement.</w:t>
            </w:r>
            <w:r w:rsidRPr="005A1658">
              <w:rPr>
                <w:rFonts w:ascii="Arial" w:eastAsia="Calibri" w:hAnsi="Arial" w:cs="Arial"/>
              </w:rPr>
              <w:t xml:space="preserve"> </w:t>
            </w:r>
          </w:p>
          <w:p w:rsidR="00E83D80" w:rsidRDefault="00E83D80" w:rsidP="00E83D80">
            <w:pPr>
              <w:numPr>
                <w:ilvl w:val="0"/>
                <w:numId w:val="3"/>
              </w:numPr>
              <w:spacing w:after="200" w:line="276" w:lineRule="auto"/>
              <w:rPr>
                <w:rFonts w:ascii="Arial" w:eastAsia="Calibri" w:hAnsi="Arial" w:cs="Arial"/>
              </w:rPr>
            </w:pPr>
            <w:r>
              <w:rPr>
                <w:rFonts w:ascii="Arial" w:eastAsia="Calibri" w:hAnsi="Arial" w:cs="Arial"/>
              </w:rPr>
              <w:t>Review of significant land marks of public art in respect of condition, significance and added value  to the City Centre</w:t>
            </w:r>
          </w:p>
          <w:p w:rsidR="00E83D80" w:rsidRPr="00E83D80" w:rsidRDefault="00E83D80" w:rsidP="00E83D80">
            <w:pPr>
              <w:numPr>
                <w:ilvl w:val="0"/>
                <w:numId w:val="3"/>
              </w:numPr>
              <w:spacing w:after="200" w:line="276" w:lineRule="auto"/>
              <w:rPr>
                <w:rFonts w:ascii="Arial" w:eastAsia="Calibri" w:hAnsi="Arial" w:cs="Arial"/>
              </w:rPr>
            </w:pPr>
            <w:r>
              <w:rPr>
                <w:rFonts w:ascii="Arial" w:eastAsia="Calibri" w:hAnsi="Arial" w:cs="Arial"/>
              </w:rPr>
              <w:t xml:space="preserve">Review all existing and potential public event spaces and make recommendations for the provision of infrastructure, electricity, water, telecommunications and data ie. WI-FI  </w:t>
            </w:r>
          </w:p>
          <w:p w:rsidR="00E83D80" w:rsidRPr="00BA0DB9" w:rsidRDefault="00E83D80" w:rsidP="00503A94">
            <w:pPr>
              <w:spacing w:after="200" w:line="276" w:lineRule="auto"/>
              <w:rPr>
                <w:rFonts w:ascii="Arial" w:eastAsia="Calibri" w:hAnsi="Arial" w:cs="Arial"/>
              </w:rPr>
            </w:pPr>
            <w:r>
              <w:rPr>
                <w:rFonts w:ascii="Arial" w:eastAsia="Calibri" w:hAnsi="Arial" w:cs="Arial"/>
              </w:rPr>
              <w:t>The review will be used to inform:</w:t>
            </w:r>
          </w:p>
          <w:p w:rsidR="00E83D80" w:rsidRDefault="00E83D80" w:rsidP="00503A94">
            <w:pPr>
              <w:spacing w:after="200" w:line="276" w:lineRule="auto"/>
              <w:ind w:left="720"/>
              <w:rPr>
                <w:rFonts w:ascii="Arial" w:eastAsia="Calibri" w:hAnsi="Arial" w:cs="Arial"/>
              </w:rPr>
            </w:pPr>
            <w:r w:rsidRPr="0006502A">
              <w:rPr>
                <w:rFonts w:ascii="Arial" w:eastAsia="Calibri" w:hAnsi="Arial" w:cs="Arial"/>
                <w:b/>
              </w:rPr>
              <w:t>Planning policy,</w:t>
            </w:r>
            <w:r>
              <w:rPr>
                <w:rFonts w:ascii="Arial" w:eastAsia="Calibri" w:hAnsi="Arial" w:cs="Arial"/>
              </w:rPr>
              <w:t xml:space="preserve"> particularly the publication and submission stages of the City Centre Area Action Plan (AAP) and will be published as a crucial part of the evidence. It will therefore be subject to public scrutiny.</w:t>
            </w:r>
          </w:p>
          <w:p w:rsidR="00E83D80" w:rsidRDefault="00E83D80" w:rsidP="00503A94">
            <w:pPr>
              <w:spacing w:after="200" w:line="276" w:lineRule="auto"/>
              <w:ind w:left="720"/>
              <w:rPr>
                <w:rFonts w:ascii="Arial" w:eastAsia="Calibri" w:hAnsi="Arial" w:cs="Arial"/>
              </w:rPr>
            </w:pPr>
            <w:r w:rsidRPr="0006502A">
              <w:rPr>
                <w:rFonts w:ascii="Arial" w:eastAsia="Calibri" w:hAnsi="Arial" w:cs="Arial"/>
                <w:b/>
              </w:rPr>
              <w:t>Negotiations and dialogue with potential investors, developers and transport providers.</w:t>
            </w:r>
            <w:r>
              <w:rPr>
                <w:rFonts w:ascii="Arial" w:eastAsia="Calibri" w:hAnsi="Arial" w:cs="Arial"/>
              </w:rPr>
              <w:t xml:space="preserve">  T</w:t>
            </w:r>
            <w:r w:rsidRPr="00BA0DB9">
              <w:rPr>
                <w:rFonts w:ascii="Arial" w:eastAsia="Calibri" w:hAnsi="Arial" w:cs="Arial"/>
              </w:rPr>
              <w:t>he provision of ac</w:t>
            </w:r>
            <w:r>
              <w:rPr>
                <w:rFonts w:ascii="Arial" w:eastAsia="Calibri" w:hAnsi="Arial" w:cs="Arial"/>
              </w:rPr>
              <w:t>cessible, high quality public realm i</w:t>
            </w:r>
            <w:r w:rsidRPr="00BA0DB9">
              <w:rPr>
                <w:rFonts w:ascii="Arial" w:eastAsia="Calibri" w:hAnsi="Arial" w:cs="Arial"/>
              </w:rPr>
              <w:t xml:space="preserve">n the City </w:t>
            </w:r>
            <w:r>
              <w:rPr>
                <w:rFonts w:ascii="Arial" w:eastAsia="Calibri" w:hAnsi="Arial" w:cs="Arial"/>
              </w:rPr>
              <w:t>C</w:t>
            </w:r>
            <w:r w:rsidRPr="00BA0DB9">
              <w:rPr>
                <w:rFonts w:ascii="Arial" w:eastAsia="Calibri" w:hAnsi="Arial" w:cs="Arial"/>
              </w:rPr>
              <w:t>entre</w:t>
            </w:r>
            <w:r>
              <w:rPr>
                <w:rFonts w:ascii="Arial" w:eastAsia="Calibri" w:hAnsi="Arial" w:cs="Arial"/>
              </w:rPr>
              <w:t xml:space="preserve"> to support new uses</w:t>
            </w:r>
            <w:r w:rsidRPr="00BA0DB9">
              <w:rPr>
                <w:rFonts w:ascii="Arial" w:eastAsia="Calibri" w:hAnsi="Arial" w:cs="Arial"/>
              </w:rPr>
              <w:t xml:space="preserve"> needs to be delivered alongside any proposals that seek to enhance the visitor attractions in the City </w:t>
            </w:r>
            <w:r>
              <w:rPr>
                <w:rFonts w:ascii="Arial" w:eastAsia="Calibri" w:hAnsi="Arial" w:cs="Arial"/>
              </w:rPr>
              <w:t>C</w:t>
            </w:r>
            <w:r w:rsidRPr="00BA0DB9">
              <w:rPr>
                <w:rFonts w:ascii="Arial" w:eastAsia="Calibri" w:hAnsi="Arial" w:cs="Arial"/>
              </w:rPr>
              <w:t>entre, partic</w:t>
            </w:r>
            <w:r>
              <w:rPr>
                <w:rFonts w:ascii="Arial" w:eastAsia="Calibri" w:hAnsi="Arial" w:cs="Arial"/>
              </w:rPr>
              <w:t>ularly for family entertainment</w:t>
            </w:r>
            <w:r w:rsidRPr="00BA0DB9">
              <w:rPr>
                <w:rFonts w:ascii="Arial" w:eastAsia="Calibri" w:hAnsi="Arial" w:cs="Arial"/>
              </w:rPr>
              <w:t xml:space="preserve"> and offer safe</w:t>
            </w:r>
            <w:r>
              <w:rPr>
                <w:rFonts w:ascii="Arial" w:eastAsia="Calibri" w:hAnsi="Arial" w:cs="Arial"/>
              </w:rPr>
              <w:t>r</w:t>
            </w:r>
            <w:r w:rsidRPr="00BA0DB9">
              <w:rPr>
                <w:rFonts w:ascii="Arial" w:eastAsia="Calibri" w:hAnsi="Arial" w:cs="Arial"/>
              </w:rPr>
              <w:t xml:space="preserve"> and easily accessible facilities nearby.</w:t>
            </w:r>
          </w:p>
          <w:p w:rsidR="00E83D80" w:rsidRDefault="00E83D80" w:rsidP="00503A94">
            <w:pPr>
              <w:spacing w:after="200" w:line="276" w:lineRule="auto"/>
              <w:ind w:left="720"/>
              <w:rPr>
                <w:rFonts w:ascii="Arial" w:eastAsia="Calibri" w:hAnsi="Arial" w:cs="Arial"/>
              </w:rPr>
            </w:pPr>
            <w:r>
              <w:rPr>
                <w:rFonts w:ascii="Arial" w:eastAsia="Calibri" w:hAnsi="Arial" w:cs="Arial"/>
                <w:b/>
              </w:rPr>
              <w:t>Any intervention required by the Council to work with the private sector to deliver the appropriate public realm to support regeneration in the City Centre.</w:t>
            </w:r>
          </w:p>
          <w:p w:rsidR="00E83D80" w:rsidRDefault="00E83D80" w:rsidP="00503A94">
            <w:pPr>
              <w:spacing w:after="200" w:line="276" w:lineRule="auto"/>
              <w:ind w:left="720"/>
              <w:rPr>
                <w:rFonts w:ascii="Arial" w:eastAsia="Calibri" w:hAnsi="Arial" w:cs="Arial"/>
              </w:rPr>
            </w:pPr>
            <w:r>
              <w:rPr>
                <w:rFonts w:ascii="Arial" w:eastAsia="Calibri" w:hAnsi="Arial" w:cs="Arial"/>
                <w:b/>
              </w:rPr>
              <w:t>Future</w:t>
            </w:r>
            <w:r w:rsidRPr="0006502A">
              <w:rPr>
                <w:rFonts w:ascii="Arial" w:eastAsia="Calibri" w:hAnsi="Arial" w:cs="Arial"/>
                <w:b/>
              </w:rPr>
              <w:t xml:space="preserve"> funding bids </w:t>
            </w:r>
            <w:r>
              <w:rPr>
                <w:rFonts w:ascii="Arial" w:eastAsia="Calibri" w:hAnsi="Arial" w:cs="Arial"/>
              </w:rPr>
              <w:t xml:space="preserve"> e.g. Growth Deal Funding</w:t>
            </w:r>
          </w:p>
          <w:p w:rsidR="00E83D80" w:rsidRDefault="00E83D80" w:rsidP="00503A94">
            <w:pPr>
              <w:rPr>
                <w:rFonts w:ascii="Arial" w:hAnsi="Arial" w:cs="Arial"/>
                <w:iCs/>
                <w:color w:val="0000FF"/>
                <w:sz w:val="20"/>
                <w:szCs w:val="20"/>
              </w:rPr>
            </w:pPr>
          </w:p>
          <w:p w:rsidR="00E83D80" w:rsidRDefault="00E83D80" w:rsidP="00503A94">
            <w:pPr>
              <w:rPr>
                <w:rFonts w:ascii="Arial" w:hAnsi="Arial" w:cs="Arial"/>
                <w:iCs/>
                <w:color w:val="0000FF"/>
                <w:sz w:val="20"/>
                <w:szCs w:val="20"/>
              </w:rPr>
            </w:pPr>
          </w:p>
          <w:p w:rsidR="00E83D80" w:rsidRDefault="00E83D80" w:rsidP="00503A94">
            <w:pPr>
              <w:rPr>
                <w:rFonts w:ascii="Arial" w:hAnsi="Arial" w:cs="Arial"/>
                <w:iCs/>
                <w:color w:val="0000FF"/>
                <w:sz w:val="20"/>
                <w:szCs w:val="20"/>
              </w:rPr>
            </w:pPr>
          </w:p>
          <w:p w:rsidR="00E83D80" w:rsidRDefault="00E83D80" w:rsidP="00503A94">
            <w:pPr>
              <w:rPr>
                <w:rFonts w:ascii="Arial" w:hAnsi="Arial" w:cs="Arial"/>
                <w:iCs/>
                <w:color w:val="0000FF"/>
                <w:sz w:val="20"/>
                <w:szCs w:val="20"/>
              </w:rPr>
            </w:pPr>
          </w:p>
          <w:p w:rsidR="00E83D80" w:rsidRDefault="00E83D80" w:rsidP="00503A94">
            <w:pPr>
              <w:rPr>
                <w:rFonts w:ascii="Arial" w:hAnsi="Arial" w:cs="Arial"/>
                <w:iCs/>
                <w:color w:val="0000FF"/>
                <w:sz w:val="20"/>
                <w:szCs w:val="20"/>
              </w:rPr>
            </w:pPr>
          </w:p>
          <w:p w:rsidR="00E83D80" w:rsidRPr="00D13600" w:rsidRDefault="00E83D80" w:rsidP="00503A94">
            <w:pPr>
              <w:rPr>
                <w:rFonts w:ascii="Arial" w:hAnsi="Arial" w:cs="Arial"/>
                <w:iCs/>
                <w:color w:val="0000FF"/>
                <w:sz w:val="20"/>
                <w:szCs w:val="20"/>
              </w:rPr>
            </w:pPr>
          </w:p>
          <w:p w:rsidR="00E83D80" w:rsidRPr="00613D06" w:rsidRDefault="00E83D80" w:rsidP="00E83D80">
            <w:pPr>
              <w:numPr>
                <w:ilvl w:val="0"/>
                <w:numId w:val="2"/>
              </w:numPr>
              <w:rPr>
                <w:rFonts w:ascii="Arial" w:hAnsi="Arial" w:cs="Arial"/>
                <w:b/>
                <w:iCs/>
                <w:sz w:val="20"/>
                <w:szCs w:val="20"/>
                <w:u w:val="single"/>
              </w:rPr>
            </w:pPr>
            <w:r w:rsidRPr="00613D06">
              <w:rPr>
                <w:rFonts w:ascii="Arial" w:hAnsi="Arial" w:cs="Arial"/>
                <w:b/>
                <w:bCs/>
                <w:iCs/>
                <w:u w:val="single"/>
              </w:rPr>
              <w:t>Scope</w:t>
            </w:r>
          </w:p>
          <w:p w:rsidR="00E83D80" w:rsidRDefault="00E83D80" w:rsidP="00503A94">
            <w:pPr>
              <w:rPr>
                <w:rFonts w:ascii="Arial" w:hAnsi="Arial" w:cs="Arial"/>
                <w:i/>
                <w:iCs/>
                <w:sz w:val="20"/>
                <w:szCs w:val="20"/>
              </w:rPr>
            </w:pPr>
          </w:p>
          <w:p w:rsidR="00E83D80" w:rsidRPr="007C530C" w:rsidRDefault="00E83D80" w:rsidP="00503A94">
            <w:pPr>
              <w:rPr>
                <w:rFonts w:ascii="Arial" w:eastAsia="Calibri" w:hAnsi="Arial" w:cs="Arial"/>
                <w:u w:val="single"/>
              </w:rPr>
            </w:pPr>
            <w:r>
              <w:rPr>
                <w:rFonts w:ascii="Arial" w:eastAsia="Calibri" w:hAnsi="Arial" w:cs="Arial"/>
              </w:rPr>
              <w:t xml:space="preserve">    </w:t>
            </w:r>
            <w:r w:rsidRPr="0051570B">
              <w:rPr>
                <w:rFonts w:ascii="Arial" w:eastAsia="Calibri" w:hAnsi="Arial" w:cs="Arial"/>
              </w:rPr>
              <w:t>It is proposed that the scope of the review will :</w:t>
            </w:r>
            <w:r w:rsidRPr="007C530C">
              <w:rPr>
                <w:rFonts w:ascii="Arial" w:eastAsia="Calibri" w:hAnsi="Arial" w:cs="Arial"/>
                <w:u w:val="single"/>
              </w:rPr>
              <w:t xml:space="preserve"> </w:t>
            </w:r>
          </w:p>
          <w:p w:rsidR="00E83D80" w:rsidRPr="00981385" w:rsidRDefault="00E83D80" w:rsidP="00503A94">
            <w:pPr>
              <w:rPr>
                <w:rFonts w:ascii="Arial" w:eastAsia="Calibri" w:hAnsi="Arial" w:cs="Arial"/>
                <w:u w:val="single"/>
              </w:rPr>
            </w:pPr>
          </w:p>
          <w:p w:rsidR="00E83D80" w:rsidRPr="00981385" w:rsidRDefault="00E83D80" w:rsidP="00E83D80">
            <w:pPr>
              <w:numPr>
                <w:ilvl w:val="0"/>
                <w:numId w:val="4"/>
              </w:numPr>
              <w:spacing w:after="200" w:line="276" w:lineRule="auto"/>
              <w:contextualSpacing/>
              <w:rPr>
                <w:rFonts w:ascii="Arial" w:eastAsia="Calibri" w:hAnsi="Arial" w:cs="Arial"/>
              </w:rPr>
            </w:pPr>
            <w:r>
              <w:rPr>
                <w:rFonts w:ascii="Arial" w:eastAsia="Calibri" w:hAnsi="Arial" w:cs="Arial"/>
              </w:rPr>
              <w:t>A</w:t>
            </w:r>
            <w:r w:rsidRPr="00981385">
              <w:rPr>
                <w:rFonts w:ascii="Arial" w:eastAsia="Calibri" w:hAnsi="Arial" w:cs="Arial"/>
              </w:rPr>
              <w:t xml:space="preserve">nalyse </w:t>
            </w:r>
            <w:r>
              <w:rPr>
                <w:rFonts w:ascii="Arial" w:eastAsia="Calibri" w:hAnsi="Arial" w:cs="Arial"/>
              </w:rPr>
              <w:t xml:space="preserve">and detail </w:t>
            </w:r>
            <w:r w:rsidRPr="00981385">
              <w:rPr>
                <w:rFonts w:ascii="Arial" w:eastAsia="Calibri" w:hAnsi="Arial" w:cs="Arial"/>
              </w:rPr>
              <w:t>eco</w:t>
            </w:r>
            <w:r>
              <w:rPr>
                <w:rFonts w:ascii="Arial" w:eastAsia="Calibri" w:hAnsi="Arial" w:cs="Arial"/>
              </w:rPr>
              <w:t>nomic intelligence and its implications for the design and function of  City Centre</w:t>
            </w:r>
            <w:r w:rsidRPr="00981385">
              <w:rPr>
                <w:rFonts w:ascii="Arial" w:eastAsia="Calibri" w:hAnsi="Arial" w:cs="Arial"/>
              </w:rPr>
              <w:t xml:space="preserve"> </w:t>
            </w:r>
            <w:r>
              <w:rPr>
                <w:rFonts w:ascii="Arial" w:eastAsia="Calibri" w:hAnsi="Arial" w:cs="Arial"/>
              </w:rPr>
              <w:t xml:space="preserve">public realm </w:t>
            </w:r>
            <w:r w:rsidRPr="00981385">
              <w:rPr>
                <w:rFonts w:ascii="Arial" w:eastAsia="Calibri" w:hAnsi="Arial" w:cs="Arial"/>
              </w:rPr>
              <w:t>in relation to;</w:t>
            </w:r>
          </w:p>
          <w:p w:rsidR="00E83D80" w:rsidRPr="00981385" w:rsidRDefault="00E83D80" w:rsidP="00E83D80">
            <w:pPr>
              <w:numPr>
                <w:ilvl w:val="0"/>
                <w:numId w:val="5"/>
              </w:numPr>
              <w:spacing w:after="200" w:line="276" w:lineRule="auto"/>
              <w:contextualSpacing/>
              <w:rPr>
                <w:rFonts w:ascii="Arial" w:eastAsia="Calibri" w:hAnsi="Arial" w:cs="Arial"/>
              </w:rPr>
            </w:pPr>
            <w:r w:rsidRPr="00981385">
              <w:rPr>
                <w:rFonts w:ascii="Arial" w:eastAsia="Calibri" w:hAnsi="Arial" w:cs="Arial"/>
              </w:rPr>
              <w:t xml:space="preserve">Pedestrian movement within and around the City </w:t>
            </w:r>
            <w:r>
              <w:rPr>
                <w:rFonts w:ascii="Arial" w:eastAsia="Calibri" w:hAnsi="Arial" w:cs="Arial"/>
              </w:rPr>
              <w:t>C</w:t>
            </w:r>
            <w:r w:rsidRPr="00981385">
              <w:rPr>
                <w:rFonts w:ascii="Arial" w:eastAsia="Calibri" w:hAnsi="Arial" w:cs="Arial"/>
              </w:rPr>
              <w:t>entre identifying key lines of connectivity and linkages between e</w:t>
            </w:r>
            <w:r>
              <w:rPr>
                <w:rFonts w:ascii="Arial" w:eastAsia="Calibri" w:hAnsi="Arial" w:cs="Arial"/>
              </w:rPr>
              <w:t>xisting spaces and destinations</w:t>
            </w:r>
            <w:r w:rsidRPr="00981385">
              <w:rPr>
                <w:rFonts w:ascii="Arial" w:eastAsia="Calibri" w:hAnsi="Arial" w:cs="Arial"/>
              </w:rPr>
              <w:t>.</w:t>
            </w:r>
          </w:p>
          <w:p w:rsidR="00E83D80" w:rsidRPr="00981385" w:rsidRDefault="00E83D80" w:rsidP="00E83D80">
            <w:pPr>
              <w:numPr>
                <w:ilvl w:val="0"/>
                <w:numId w:val="5"/>
              </w:numPr>
              <w:spacing w:after="200" w:line="276" w:lineRule="auto"/>
              <w:contextualSpacing/>
              <w:rPr>
                <w:rFonts w:ascii="Arial" w:eastAsia="Calibri" w:hAnsi="Arial" w:cs="Arial"/>
              </w:rPr>
            </w:pPr>
            <w:r w:rsidRPr="00981385">
              <w:rPr>
                <w:rFonts w:ascii="Arial" w:eastAsia="Calibri" w:hAnsi="Arial" w:cs="Arial"/>
              </w:rPr>
              <w:t xml:space="preserve">Make an assessment of the quality and functionality of </w:t>
            </w:r>
            <w:r>
              <w:rPr>
                <w:rFonts w:ascii="Arial" w:eastAsia="Calibri" w:hAnsi="Arial" w:cs="Arial"/>
              </w:rPr>
              <w:t>existing public realm spaces and routes, by providing a baseline audit.</w:t>
            </w:r>
          </w:p>
          <w:p w:rsidR="00E83D80" w:rsidRPr="00981385" w:rsidRDefault="00E83D80" w:rsidP="00E83D80">
            <w:pPr>
              <w:numPr>
                <w:ilvl w:val="0"/>
                <w:numId w:val="5"/>
              </w:numPr>
              <w:spacing w:after="200" w:line="276" w:lineRule="auto"/>
              <w:contextualSpacing/>
              <w:rPr>
                <w:rFonts w:ascii="Arial" w:eastAsia="Calibri" w:hAnsi="Arial" w:cs="Arial"/>
              </w:rPr>
            </w:pPr>
            <w:r w:rsidRPr="00981385">
              <w:rPr>
                <w:rFonts w:ascii="Arial" w:eastAsia="Calibri" w:hAnsi="Arial" w:cs="Arial"/>
              </w:rPr>
              <w:t>Business requirements for traffic movement and footfall particularly in respect of servicing needs.</w:t>
            </w:r>
          </w:p>
          <w:p w:rsidR="00E83D80" w:rsidRPr="00981385" w:rsidRDefault="00E83D80" w:rsidP="00E83D80">
            <w:pPr>
              <w:numPr>
                <w:ilvl w:val="0"/>
                <w:numId w:val="5"/>
              </w:numPr>
              <w:spacing w:after="200" w:line="276" w:lineRule="auto"/>
              <w:contextualSpacing/>
              <w:rPr>
                <w:rFonts w:ascii="Arial" w:eastAsia="Calibri" w:hAnsi="Arial" w:cs="Arial"/>
              </w:rPr>
            </w:pPr>
            <w:r w:rsidRPr="00981385">
              <w:rPr>
                <w:rFonts w:ascii="Arial" w:eastAsia="Calibri" w:hAnsi="Arial" w:cs="Arial"/>
              </w:rPr>
              <w:t>Identify key lines of future footfall movement in relation to new strategic development sites and open space / squares.</w:t>
            </w:r>
          </w:p>
          <w:p w:rsidR="00E83D80" w:rsidRPr="00981385" w:rsidRDefault="00E83D80" w:rsidP="00503A94">
            <w:pPr>
              <w:spacing w:after="200" w:line="276" w:lineRule="auto"/>
              <w:contextualSpacing/>
              <w:rPr>
                <w:rFonts w:ascii="Arial" w:eastAsia="Calibri" w:hAnsi="Arial" w:cs="Arial"/>
              </w:rPr>
            </w:pPr>
          </w:p>
          <w:p w:rsidR="00E83D80" w:rsidRPr="00981385" w:rsidRDefault="00E83D80" w:rsidP="00E83D80">
            <w:pPr>
              <w:numPr>
                <w:ilvl w:val="0"/>
                <w:numId w:val="4"/>
              </w:numPr>
              <w:spacing w:after="200" w:line="276" w:lineRule="auto"/>
              <w:contextualSpacing/>
              <w:rPr>
                <w:rFonts w:ascii="Arial" w:eastAsia="Calibri" w:hAnsi="Arial" w:cs="Arial"/>
              </w:rPr>
            </w:pPr>
            <w:r w:rsidRPr="00981385">
              <w:rPr>
                <w:rFonts w:ascii="Arial" w:eastAsia="Calibri" w:hAnsi="Arial" w:cs="Arial"/>
              </w:rPr>
              <w:t>Summarise the strengths</w:t>
            </w:r>
            <w:r>
              <w:rPr>
                <w:rFonts w:ascii="Arial" w:eastAsia="Calibri" w:hAnsi="Arial" w:cs="Arial"/>
              </w:rPr>
              <w:t>, weaknesses, opportunities</w:t>
            </w:r>
            <w:r w:rsidRPr="00981385">
              <w:rPr>
                <w:rFonts w:ascii="Arial" w:eastAsia="Calibri" w:hAnsi="Arial" w:cs="Arial"/>
              </w:rPr>
              <w:t xml:space="preserve"> and threats to dealing with an improved public realm in the City </w:t>
            </w:r>
            <w:r>
              <w:rPr>
                <w:rFonts w:ascii="Arial" w:eastAsia="Calibri" w:hAnsi="Arial" w:cs="Arial"/>
              </w:rPr>
              <w:t>C</w:t>
            </w:r>
            <w:r w:rsidRPr="00981385">
              <w:rPr>
                <w:rFonts w:ascii="Arial" w:eastAsia="Calibri" w:hAnsi="Arial" w:cs="Arial"/>
              </w:rPr>
              <w:t>entre. Particularly in relation to changing demands and opportunities from users.</w:t>
            </w:r>
          </w:p>
          <w:p w:rsidR="00E83D80" w:rsidRPr="00981385" w:rsidRDefault="00E83D80" w:rsidP="00503A94">
            <w:pPr>
              <w:spacing w:after="200" w:line="276" w:lineRule="auto"/>
              <w:ind w:left="720"/>
              <w:contextualSpacing/>
              <w:rPr>
                <w:rFonts w:ascii="Arial" w:eastAsia="Calibri" w:hAnsi="Arial" w:cs="Arial"/>
              </w:rPr>
            </w:pPr>
          </w:p>
          <w:p w:rsidR="00E83D80" w:rsidRPr="00981385" w:rsidRDefault="00E83D80" w:rsidP="00E83D80">
            <w:pPr>
              <w:numPr>
                <w:ilvl w:val="0"/>
                <w:numId w:val="4"/>
              </w:numPr>
              <w:spacing w:after="200" w:line="276" w:lineRule="auto"/>
              <w:contextualSpacing/>
              <w:rPr>
                <w:rFonts w:ascii="Arial" w:eastAsia="Calibri" w:hAnsi="Arial" w:cs="Arial"/>
              </w:rPr>
            </w:pPr>
            <w:r w:rsidRPr="00981385">
              <w:rPr>
                <w:rFonts w:ascii="Arial" w:eastAsia="Calibri" w:hAnsi="Arial" w:cs="Arial"/>
              </w:rPr>
              <w:t>Produce a vision statement which identifies principles and key deliverables supported by a set of strategic objectives and impact measures.</w:t>
            </w:r>
          </w:p>
          <w:p w:rsidR="00E83D80" w:rsidRPr="00981385" w:rsidRDefault="00E83D80" w:rsidP="00503A94">
            <w:pPr>
              <w:spacing w:after="200" w:line="276" w:lineRule="auto"/>
              <w:contextualSpacing/>
              <w:rPr>
                <w:rFonts w:ascii="Arial" w:eastAsia="Calibri" w:hAnsi="Arial" w:cs="Arial"/>
              </w:rPr>
            </w:pPr>
          </w:p>
          <w:p w:rsidR="00E83D80" w:rsidRPr="00981385" w:rsidRDefault="00E83D80" w:rsidP="00E83D80">
            <w:pPr>
              <w:numPr>
                <w:ilvl w:val="0"/>
                <w:numId w:val="4"/>
              </w:numPr>
              <w:spacing w:after="200" w:line="276" w:lineRule="auto"/>
              <w:contextualSpacing/>
              <w:rPr>
                <w:rFonts w:ascii="Arial" w:eastAsia="Calibri" w:hAnsi="Arial" w:cs="Arial"/>
              </w:rPr>
            </w:pPr>
            <w:r w:rsidRPr="00981385">
              <w:rPr>
                <w:rFonts w:ascii="Arial" w:eastAsia="Calibri" w:hAnsi="Arial" w:cs="Arial"/>
              </w:rPr>
              <w:t>Produce a project development plan including key milestones, timescales,</w:t>
            </w:r>
            <w:r>
              <w:rPr>
                <w:rFonts w:ascii="Arial" w:eastAsia="Calibri" w:hAnsi="Arial" w:cs="Arial"/>
              </w:rPr>
              <w:t xml:space="preserve"> sequencing,</w:t>
            </w:r>
            <w:r w:rsidRPr="00981385">
              <w:rPr>
                <w:rFonts w:ascii="Arial" w:eastAsia="Calibri" w:hAnsi="Arial" w:cs="Arial"/>
              </w:rPr>
              <w:t xml:space="preserve"> delivery mechanisms and funding opportunities. To be developed in the context of existing strategies and commissions including the Molineux Quarter master planning, car parking strategy and Springfield brewery / Interchange </w:t>
            </w:r>
            <w:r>
              <w:rPr>
                <w:rFonts w:ascii="Arial" w:eastAsia="Calibri" w:hAnsi="Arial" w:cs="Arial"/>
              </w:rPr>
              <w:t xml:space="preserve">European Regional Development Fund  </w:t>
            </w:r>
            <w:r w:rsidRPr="00981385">
              <w:rPr>
                <w:rFonts w:ascii="Arial" w:eastAsia="Calibri" w:hAnsi="Arial" w:cs="Arial"/>
              </w:rPr>
              <w:t xml:space="preserve">ERDF </w:t>
            </w:r>
            <w:r>
              <w:rPr>
                <w:rFonts w:ascii="Arial" w:eastAsia="Calibri" w:hAnsi="Arial" w:cs="Arial"/>
              </w:rPr>
              <w:t>/ LGF</w:t>
            </w:r>
            <w:r w:rsidRPr="00981385">
              <w:rPr>
                <w:rFonts w:ascii="Arial" w:eastAsia="Calibri" w:hAnsi="Arial" w:cs="Arial"/>
              </w:rPr>
              <w:t>unding.</w:t>
            </w:r>
          </w:p>
          <w:p w:rsidR="00E83D80" w:rsidRPr="00981385" w:rsidRDefault="00E83D80" w:rsidP="00503A94">
            <w:pPr>
              <w:spacing w:after="200" w:line="276" w:lineRule="auto"/>
              <w:ind w:left="720"/>
              <w:contextualSpacing/>
              <w:rPr>
                <w:rFonts w:ascii="Arial" w:eastAsia="Calibri" w:hAnsi="Arial" w:cs="Arial"/>
              </w:rPr>
            </w:pPr>
          </w:p>
          <w:p w:rsidR="00E83D80" w:rsidRPr="00981385" w:rsidRDefault="00E83D80" w:rsidP="00E83D80">
            <w:pPr>
              <w:numPr>
                <w:ilvl w:val="0"/>
                <w:numId w:val="4"/>
              </w:numPr>
              <w:spacing w:after="200" w:line="276" w:lineRule="auto"/>
              <w:contextualSpacing/>
              <w:rPr>
                <w:rFonts w:ascii="Arial" w:eastAsia="Calibri" w:hAnsi="Arial" w:cs="Arial"/>
              </w:rPr>
            </w:pPr>
            <w:r w:rsidRPr="00981385">
              <w:rPr>
                <w:rFonts w:ascii="Arial" w:eastAsia="Calibri" w:hAnsi="Arial" w:cs="Arial"/>
              </w:rPr>
              <w:t xml:space="preserve">Produce a stakeholder engagement plan to ensure early consultation with City </w:t>
            </w:r>
            <w:r>
              <w:rPr>
                <w:rFonts w:ascii="Arial" w:eastAsia="Calibri" w:hAnsi="Arial" w:cs="Arial"/>
              </w:rPr>
              <w:t>C</w:t>
            </w:r>
            <w:r w:rsidRPr="00981385">
              <w:rPr>
                <w:rFonts w:ascii="Arial" w:eastAsia="Calibri" w:hAnsi="Arial" w:cs="Arial"/>
              </w:rPr>
              <w:t xml:space="preserve">entre businesses, residents and users, in line with the City </w:t>
            </w:r>
            <w:r>
              <w:rPr>
                <w:rFonts w:ascii="Arial" w:eastAsia="Calibri" w:hAnsi="Arial" w:cs="Arial"/>
              </w:rPr>
              <w:t>C</w:t>
            </w:r>
            <w:r w:rsidRPr="00981385">
              <w:rPr>
                <w:rFonts w:ascii="Arial" w:eastAsia="Calibri" w:hAnsi="Arial" w:cs="Arial"/>
              </w:rPr>
              <w:t>entre consultation protocol.</w:t>
            </w:r>
          </w:p>
          <w:p w:rsidR="00E83D80" w:rsidRPr="00981385" w:rsidRDefault="00E83D80" w:rsidP="00503A94">
            <w:pPr>
              <w:spacing w:after="200" w:line="276" w:lineRule="auto"/>
              <w:ind w:left="720"/>
              <w:contextualSpacing/>
              <w:rPr>
                <w:rFonts w:ascii="Arial" w:eastAsia="Calibri" w:hAnsi="Arial" w:cs="Arial"/>
              </w:rPr>
            </w:pPr>
          </w:p>
          <w:p w:rsidR="00E83D80" w:rsidRPr="00981385" w:rsidRDefault="00E83D80" w:rsidP="00E83D80">
            <w:pPr>
              <w:numPr>
                <w:ilvl w:val="0"/>
                <w:numId w:val="4"/>
              </w:numPr>
              <w:spacing w:after="200" w:line="276" w:lineRule="auto"/>
              <w:contextualSpacing/>
              <w:rPr>
                <w:rFonts w:ascii="Arial" w:eastAsia="Calibri" w:hAnsi="Arial" w:cs="Arial"/>
              </w:rPr>
            </w:pPr>
            <w:r w:rsidRPr="00981385">
              <w:rPr>
                <w:rFonts w:ascii="Arial" w:eastAsia="Calibri" w:hAnsi="Arial" w:cs="Arial"/>
              </w:rPr>
              <w:t>Develop a phased plan of public realm improvements. Themes to be covered to include;</w:t>
            </w:r>
          </w:p>
          <w:p w:rsidR="00E83D80" w:rsidRPr="00981385"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Access and connectivity (walking, cycling, public transport usage, parking)</w:t>
            </w:r>
          </w:p>
          <w:p w:rsidR="00E83D80" w:rsidRPr="00981385"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First impressions of the City ( visual appearance, welcoming, legibility, and way finding)</w:t>
            </w:r>
          </w:p>
          <w:p w:rsidR="00E83D80" w:rsidRPr="00981385"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Creation of new and improve</w:t>
            </w:r>
            <w:r>
              <w:rPr>
                <w:rFonts w:ascii="Arial" w:eastAsia="Calibri" w:hAnsi="Arial" w:cs="Arial"/>
              </w:rPr>
              <w:t>d</w:t>
            </w:r>
            <w:r w:rsidRPr="00981385">
              <w:rPr>
                <w:rFonts w:ascii="Arial" w:eastAsia="Calibri" w:hAnsi="Arial" w:cs="Arial"/>
              </w:rPr>
              <w:t xml:space="preserve"> public spaces</w:t>
            </w:r>
          </w:p>
          <w:p w:rsidR="00E83D80" w:rsidRPr="00981385"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 xml:space="preserve">Highway improvements, management and maintenance </w:t>
            </w:r>
            <w:r w:rsidRPr="00981385">
              <w:rPr>
                <w:rFonts w:ascii="Arial" w:eastAsia="Calibri" w:hAnsi="Arial" w:cs="Arial"/>
              </w:rPr>
              <w:lastRenderedPageBreak/>
              <w:t>principles.</w:t>
            </w:r>
          </w:p>
          <w:p w:rsidR="00E83D80" w:rsidRPr="00981385"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Low carbon and greening</w:t>
            </w:r>
          </w:p>
          <w:p w:rsidR="00E83D80" w:rsidRPr="00981385"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 xml:space="preserve">Events and activities </w:t>
            </w:r>
          </w:p>
          <w:p w:rsidR="00E83D80" w:rsidRPr="00981385"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 xml:space="preserve">Safety and </w:t>
            </w:r>
            <w:r>
              <w:rPr>
                <w:rFonts w:ascii="Arial" w:eastAsia="Calibri" w:hAnsi="Arial" w:cs="Arial"/>
              </w:rPr>
              <w:t>S</w:t>
            </w:r>
            <w:r w:rsidRPr="00981385">
              <w:rPr>
                <w:rFonts w:ascii="Arial" w:eastAsia="Calibri" w:hAnsi="Arial" w:cs="Arial"/>
              </w:rPr>
              <w:t>ecurity</w:t>
            </w:r>
          </w:p>
          <w:p w:rsidR="00E83D80" w:rsidRDefault="00E83D80" w:rsidP="00E83D80">
            <w:pPr>
              <w:numPr>
                <w:ilvl w:val="0"/>
                <w:numId w:val="6"/>
              </w:numPr>
              <w:spacing w:after="200" w:line="276" w:lineRule="auto"/>
              <w:contextualSpacing/>
              <w:rPr>
                <w:rFonts w:ascii="Arial" w:eastAsia="Calibri" w:hAnsi="Arial" w:cs="Arial"/>
              </w:rPr>
            </w:pPr>
            <w:r w:rsidRPr="00981385">
              <w:rPr>
                <w:rFonts w:ascii="Arial" w:eastAsia="Calibri" w:hAnsi="Arial" w:cs="Arial"/>
              </w:rPr>
              <w:t xml:space="preserve">Functionality </w:t>
            </w:r>
            <w:r>
              <w:rPr>
                <w:rFonts w:ascii="Arial" w:eastAsia="Calibri" w:hAnsi="Arial" w:cs="Arial"/>
              </w:rPr>
              <w:t>and condition of space</w:t>
            </w:r>
          </w:p>
          <w:p w:rsidR="00E83D80" w:rsidRPr="007D4288" w:rsidRDefault="00E83D80" w:rsidP="00E83D80">
            <w:pPr>
              <w:numPr>
                <w:ilvl w:val="0"/>
                <w:numId w:val="6"/>
              </w:numPr>
              <w:spacing w:after="200" w:line="276" w:lineRule="auto"/>
              <w:contextualSpacing/>
              <w:rPr>
                <w:rFonts w:ascii="Arial" w:eastAsia="Calibri" w:hAnsi="Arial" w:cs="Arial"/>
              </w:rPr>
            </w:pPr>
            <w:r w:rsidRPr="007D4288">
              <w:rPr>
                <w:rFonts w:ascii="Arial" w:eastAsia="Calibri" w:hAnsi="Arial" w:cs="Arial"/>
              </w:rPr>
              <w:t>Ensure that circulation between spaces is efficient and effective.</w:t>
            </w:r>
          </w:p>
          <w:p w:rsidR="00E83D80" w:rsidRPr="00981385" w:rsidRDefault="00E83D80" w:rsidP="00503A94">
            <w:pPr>
              <w:spacing w:after="200" w:line="276" w:lineRule="auto"/>
              <w:ind w:left="1485"/>
              <w:contextualSpacing/>
              <w:rPr>
                <w:rFonts w:ascii="Arial" w:eastAsia="Calibri" w:hAnsi="Arial" w:cs="Arial"/>
              </w:rPr>
            </w:pPr>
          </w:p>
          <w:p w:rsidR="00E83D80" w:rsidRPr="00981385" w:rsidRDefault="00E83D80" w:rsidP="00E83D80">
            <w:pPr>
              <w:numPr>
                <w:ilvl w:val="0"/>
                <w:numId w:val="4"/>
              </w:numPr>
              <w:spacing w:after="200" w:line="276" w:lineRule="auto"/>
              <w:contextualSpacing/>
              <w:rPr>
                <w:rFonts w:ascii="Arial" w:eastAsia="Calibri" w:hAnsi="Arial" w:cs="Arial"/>
              </w:rPr>
            </w:pPr>
            <w:r w:rsidRPr="00981385">
              <w:rPr>
                <w:rFonts w:ascii="Arial" w:eastAsia="Calibri" w:hAnsi="Arial" w:cs="Arial"/>
              </w:rPr>
              <w:t xml:space="preserve">Develop a delivery strategy identifying </w:t>
            </w:r>
            <w:r>
              <w:rPr>
                <w:rFonts w:ascii="Arial" w:eastAsia="Calibri" w:hAnsi="Arial" w:cs="Arial"/>
              </w:rPr>
              <w:t xml:space="preserve">the key components and </w:t>
            </w:r>
            <w:r w:rsidRPr="00981385">
              <w:rPr>
                <w:rFonts w:ascii="Arial" w:eastAsia="Calibri" w:hAnsi="Arial" w:cs="Arial"/>
              </w:rPr>
              <w:t xml:space="preserve">phasing in relation to wider City </w:t>
            </w:r>
            <w:r>
              <w:rPr>
                <w:rFonts w:ascii="Arial" w:eastAsia="Calibri" w:hAnsi="Arial" w:cs="Arial"/>
              </w:rPr>
              <w:t>C</w:t>
            </w:r>
            <w:r w:rsidRPr="00981385">
              <w:rPr>
                <w:rFonts w:ascii="Arial" w:eastAsia="Calibri" w:hAnsi="Arial" w:cs="Arial"/>
              </w:rPr>
              <w:t>entre regeneration activity, partners, timescales, funding streams and mechanisms.</w:t>
            </w:r>
            <w:r>
              <w:rPr>
                <w:rFonts w:ascii="Arial" w:eastAsia="Calibri" w:hAnsi="Arial" w:cs="Arial"/>
              </w:rPr>
              <w:t xml:space="preserve"> This should indicate if there are opportunities to link with other development schemes coming forward or if there are critical areas where additional land is required.</w:t>
            </w:r>
          </w:p>
          <w:p w:rsidR="00E83D80" w:rsidRPr="0051570B" w:rsidRDefault="00E83D80" w:rsidP="00503A94">
            <w:pPr>
              <w:spacing w:after="200" w:line="276" w:lineRule="auto"/>
              <w:rPr>
                <w:rFonts w:ascii="Arial" w:eastAsia="Calibri" w:hAnsi="Arial" w:cs="Arial"/>
                <w:b/>
              </w:rPr>
            </w:pPr>
          </w:p>
          <w:p w:rsidR="00E83D80" w:rsidRDefault="00E83D80" w:rsidP="00E83D80">
            <w:pPr>
              <w:numPr>
                <w:ilvl w:val="0"/>
                <w:numId w:val="2"/>
              </w:numPr>
              <w:rPr>
                <w:rFonts w:ascii="Arial" w:hAnsi="Arial" w:cs="Arial"/>
                <w:b/>
                <w:bCs/>
                <w:iCs/>
                <w:u w:val="single"/>
              </w:rPr>
            </w:pPr>
            <w:r w:rsidRPr="0051570B">
              <w:rPr>
                <w:rFonts w:ascii="Arial" w:hAnsi="Arial" w:cs="Arial"/>
                <w:b/>
                <w:bCs/>
                <w:iCs/>
                <w:u w:val="single"/>
              </w:rPr>
              <w:t xml:space="preserve">Key deliverables </w:t>
            </w:r>
          </w:p>
          <w:p w:rsidR="00E83D80" w:rsidRDefault="00E83D80" w:rsidP="00503A94">
            <w:pPr>
              <w:ind w:left="360"/>
              <w:rPr>
                <w:rFonts w:ascii="Arial" w:hAnsi="Arial" w:cs="Arial"/>
                <w:b/>
                <w:bCs/>
                <w:iCs/>
                <w:u w:val="single"/>
              </w:rPr>
            </w:pPr>
          </w:p>
          <w:p w:rsidR="00E83D80" w:rsidRPr="007868AD" w:rsidRDefault="00E83D80" w:rsidP="00E83D80">
            <w:pPr>
              <w:numPr>
                <w:ilvl w:val="0"/>
                <w:numId w:val="7"/>
              </w:numPr>
              <w:rPr>
                <w:rFonts w:ascii="Arial" w:hAnsi="Arial" w:cs="Arial"/>
                <w:bCs/>
                <w:iCs/>
              </w:rPr>
            </w:pPr>
            <w:r w:rsidRPr="007868AD">
              <w:rPr>
                <w:rFonts w:ascii="Arial" w:hAnsi="Arial" w:cs="Arial"/>
                <w:bCs/>
                <w:iCs/>
              </w:rPr>
              <w:t>Baseline report</w:t>
            </w:r>
          </w:p>
          <w:p w:rsidR="00E83D80" w:rsidRDefault="00E83D80" w:rsidP="00503A94">
            <w:pPr>
              <w:ind w:left="360"/>
              <w:rPr>
                <w:rFonts w:ascii="Arial" w:hAnsi="Arial" w:cs="Arial"/>
                <w:b/>
                <w:bCs/>
                <w:iCs/>
                <w:u w:val="single"/>
              </w:rPr>
            </w:pPr>
          </w:p>
          <w:p w:rsidR="00E83D80" w:rsidRPr="007868AD" w:rsidRDefault="00E83D80" w:rsidP="00E83D80">
            <w:pPr>
              <w:numPr>
                <w:ilvl w:val="0"/>
                <w:numId w:val="7"/>
              </w:numPr>
              <w:rPr>
                <w:rFonts w:ascii="Arial" w:hAnsi="Arial" w:cs="Arial"/>
                <w:b/>
                <w:bCs/>
                <w:iCs/>
                <w:u w:val="single"/>
              </w:rPr>
            </w:pPr>
            <w:r w:rsidRPr="0051570B">
              <w:rPr>
                <w:rFonts w:ascii="Arial" w:hAnsi="Arial" w:cs="Arial"/>
                <w:bCs/>
                <w:iCs/>
              </w:rPr>
              <w:t>Strate</w:t>
            </w:r>
            <w:r>
              <w:rPr>
                <w:rFonts w:ascii="Arial" w:hAnsi="Arial" w:cs="Arial"/>
                <w:bCs/>
                <w:iCs/>
              </w:rPr>
              <w:t>gy and vision</w:t>
            </w:r>
          </w:p>
          <w:p w:rsidR="00E83D80" w:rsidRDefault="00E83D80" w:rsidP="00503A94">
            <w:pPr>
              <w:pStyle w:val="ListParagraph"/>
              <w:rPr>
                <w:rFonts w:ascii="Arial" w:hAnsi="Arial" w:cs="Arial"/>
                <w:b/>
                <w:bCs/>
                <w:iCs/>
                <w:u w:val="single"/>
              </w:rPr>
            </w:pPr>
          </w:p>
          <w:p w:rsidR="00E83D80" w:rsidRDefault="00E83D80" w:rsidP="00E83D80">
            <w:pPr>
              <w:numPr>
                <w:ilvl w:val="0"/>
                <w:numId w:val="7"/>
              </w:numPr>
              <w:rPr>
                <w:rFonts w:ascii="Arial" w:hAnsi="Arial" w:cs="Arial"/>
                <w:bCs/>
                <w:iCs/>
              </w:rPr>
            </w:pPr>
            <w:r w:rsidRPr="007868AD">
              <w:rPr>
                <w:rFonts w:ascii="Arial" w:hAnsi="Arial" w:cs="Arial"/>
                <w:bCs/>
                <w:iCs/>
              </w:rPr>
              <w:t>P</w:t>
            </w:r>
            <w:r>
              <w:rPr>
                <w:rFonts w:ascii="Arial" w:hAnsi="Arial" w:cs="Arial"/>
                <w:bCs/>
                <w:iCs/>
              </w:rPr>
              <w:t>hased project</w:t>
            </w:r>
            <w:r w:rsidRPr="007868AD">
              <w:rPr>
                <w:rFonts w:ascii="Arial" w:hAnsi="Arial" w:cs="Arial"/>
                <w:bCs/>
                <w:iCs/>
              </w:rPr>
              <w:t xml:space="preserve"> </w:t>
            </w:r>
            <w:r>
              <w:rPr>
                <w:rFonts w:ascii="Arial" w:hAnsi="Arial" w:cs="Arial"/>
                <w:bCs/>
                <w:iCs/>
              </w:rPr>
              <w:t>delivery plan</w:t>
            </w:r>
          </w:p>
          <w:p w:rsidR="00E83D80" w:rsidRDefault="00E83D80" w:rsidP="00503A94">
            <w:pPr>
              <w:pStyle w:val="ListParagraph"/>
              <w:rPr>
                <w:rFonts w:ascii="Arial" w:hAnsi="Arial" w:cs="Arial"/>
                <w:bCs/>
                <w:iCs/>
              </w:rPr>
            </w:pPr>
          </w:p>
          <w:p w:rsidR="00E83D80" w:rsidRDefault="00E83D80" w:rsidP="00503A94">
            <w:pPr>
              <w:rPr>
                <w:rFonts w:ascii="Arial" w:hAnsi="Arial" w:cs="Arial"/>
                <w:iCs/>
              </w:rPr>
            </w:pPr>
          </w:p>
          <w:p w:rsidR="00E83D80" w:rsidRDefault="00E83D80" w:rsidP="00503A94">
            <w:pPr>
              <w:rPr>
                <w:rFonts w:ascii="Arial" w:hAnsi="Arial" w:cs="Arial"/>
                <w:iCs/>
              </w:rPr>
            </w:pPr>
          </w:p>
          <w:p w:rsidR="00E83D80" w:rsidRPr="00010277" w:rsidRDefault="00E83D80" w:rsidP="00E83D80">
            <w:pPr>
              <w:numPr>
                <w:ilvl w:val="0"/>
                <w:numId w:val="2"/>
              </w:numPr>
              <w:rPr>
                <w:rFonts w:ascii="Arial" w:hAnsi="Arial" w:cs="Arial"/>
                <w:b/>
                <w:iCs/>
                <w:u w:val="single"/>
              </w:rPr>
            </w:pPr>
            <w:r w:rsidRPr="00010277">
              <w:rPr>
                <w:rFonts w:ascii="Arial" w:hAnsi="Arial" w:cs="Arial"/>
                <w:b/>
                <w:iCs/>
                <w:u w:val="single"/>
              </w:rPr>
              <w:t xml:space="preserve">Reporting </w:t>
            </w:r>
          </w:p>
          <w:p w:rsidR="00E83D80" w:rsidRPr="00151F0C" w:rsidRDefault="00E83D80" w:rsidP="00503A94">
            <w:pPr>
              <w:rPr>
                <w:rFonts w:ascii="Arial" w:hAnsi="Arial" w:cs="Arial"/>
                <w:iCs/>
              </w:rPr>
            </w:pPr>
          </w:p>
          <w:p w:rsidR="00E83D80" w:rsidRDefault="00E83D80" w:rsidP="00503A94">
            <w:pPr>
              <w:rPr>
                <w:rFonts w:ascii="Arial" w:hAnsi="Arial" w:cs="Arial"/>
                <w:iCs/>
              </w:rPr>
            </w:pPr>
            <w:r w:rsidRPr="00151F0C">
              <w:rPr>
                <w:rFonts w:ascii="Arial" w:hAnsi="Arial" w:cs="Arial"/>
                <w:iCs/>
              </w:rPr>
              <w:t>The appointed consultant will be r</w:t>
            </w:r>
            <w:r>
              <w:rPr>
                <w:rFonts w:ascii="Arial" w:hAnsi="Arial" w:cs="Arial"/>
                <w:iCs/>
              </w:rPr>
              <w:t xml:space="preserve">equired to attend an inception meeting at which the work programme </w:t>
            </w:r>
            <w:r w:rsidRPr="00151F0C">
              <w:rPr>
                <w:rFonts w:ascii="Arial" w:hAnsi="Arial" w:cs="Arial"/>
                <w:iCs/>
              </w:rPr>
              <w:t>and framework for the project will be confirmed and key baseline information discussed. The appointed consultant will also be required to attend regular pr</w:t>
            </w:r>
            <w:r>
              <w:rPr>
                <w:rFonts w:ascii="Arial" w:hAnsi="Arial" w:cs="Arial"/>
                <w:iCs/>
              </w:rPr>
              <w:t>ogress meetings. The framework and strategy will be delivered through 3 stages of reporting as detailed below.</w:t>
            </w:r>
          </w:p>
          <w:p w:rsidR="00E83D80" w:rsidRPr="00151F0C" w:rsidRDefault="00E83D80" w:rsidP="00503A94">
            <w:pPr>
              <w:rPr>
                <w:rFonts w:ascii="Arial" w:hAnsi="Arial" w:cs="Arial"/>
                <w:iCs/>
              </w:rPr>
            </w:pPr>
          </w:p>
          <w:p w:rsidR="00E83D80" w:rsidRPr="00151F0C" w:rsidRDefault="00E83D80" w:rsidP="00503A94">
            <w:pPr>
              <w:rPr>
                <w:rFonts w:ascii="Arial" w:hAnsi="Arial" w:cs="Arial"/>
                <w:iCs/>
              </w:rPr>
            </w:pPr>
            <w:r w:rsidRPr="00151F0C">
              <w:rPr>
                <w:rFonts w:ascii="Arial" w:hAnsi="Arial" w:cs="Arial"/>
                <w:iCs/>
              </w:rPr>
              <w:t>The client for the commission will be the City Development Team within Wolverhampton City Council. The project manager for the commission will be:</w:t>
            </w:r>
          </w:p>
          <w:p w:rsidR="00E83D80" w:rsidRPr="00151F0C" w:rsidRDefault="00E83D80" w:rsidP="00503A94">
            <w:pPr>
              <w:rPr>
                <w:rFonts w:ascii="Arial" w:hAnsi="Arial" w:cs="Arial"/>
                <w:iCs/>
              </w:rPr>
            </w:pPr>
          </w:p>
          <w:p w:rsidR="00E83D80" w:rsidRPr="00151F0C" w:rsidRDefault="00E83D80" w:rsidP="00503A94">
            <w:pPr>
              <w:rPr>
                <w:rFonts w:ascii="Arial" w:hAnsi="Arial" w:cs="Arial"/>
                <w:b/>
                <w:iCs/>
              </w:rPr>
            </w:pPr>
            <w:r w:rsidRPr="00151F0C">
              <w:rPr>
                <w:rFonts w:ascii="Arial" w:hAnsi="Arial" w:cs="Arial"/>
                <w:b/>
                <w:iCs/>
              </w:rPr>
              <w:t>Ruth Taylor</w:t>
            </w:r>
          </w:p>
          <w:p w:rsidR="00E83D80" w:rsidRPr="00151F0C" w:rsidRDefault="00E83D80" w:rsidP="00503A94">
            <w:pPr>
              <w:rPr>
                <w:rFonts w:ascii="Arial" w:hAnsi="Arial" w:cs="Arial"/>
                <w:b/>
                <w:iCs/>
              </w:rPr>
            </w:pPr>
            <w:r w:rsidRPr="00151F0C">
              <w:rPr>
                <w:rFonts w:ascii="Arial" w:hAnsi="Arial" w:cs="Arial"/>
                <w:b/>
                <w:iCs/>
              </w:rPr>
              <w:t>Development and Regeneration Officer</w:t>
            </w:r>
          </w:p>
          <w:p w:rsidR="00E83D80" w:rsidRPr="00151F0C" w:rsidRDefault="00E83D80" w:rsidP="00503A94">
            <w:pPr>
              <w:rPr>
                <w:rFonts w:ascii="Arial" w:hAnsi="Arial" w:cs="Arial"/>
                <w:b/>
                <w:iCs/>
              </w:rPr>
            </w:pPr>
            <w:r w:rsidRPr="00151F0C">
              <w:rPr>
                <w:rFonts w:ascii="Arial" w:hAnsi="Arial" w:cs="Arial"/>
                <w:b/>
                <w:iCs/>
              </w:rPr>
              <w:t>Place Directorate</w:t>
            </w:r>
          </w:p>
          <w:p w:rsidR="00E83D80" w:rsidRDefault="00E83D80" w:rsidP="00503A94">
            <w:pPr>
              <w:rPr>
                <w:rFonts w:ascii="Arial" w:hAnsi="Arial" w:cs="Arial"/>
                <w:b/>
                <w:iCs/>
              </w:rPr>
            </w:pPr>
          </w:p>
          <w:p w:rsidR="00E83D80" w:rsidRDefault="00E83D80" w:rsidP="00503A94">
            <w:pPr>
              <w:rPr>
                <w:rFonts w:ascii="Arial" w:hAnsi="Arial" w:cs="Arial"/>
                <w:b/>
                <w:iCs/>
              </w:rPr>
            </w:pPr>
          </w:p>
          <w:p w:rsidR="00E83D80" w:rsidRDefault="00E83D80" w:rsidP="00503A94">
            <w:pPr>
              <w:rPr>
                <w:rFonts w:ascii="Arial" w:hAnsi="Arial" w:cs="Arial"/>
                <w:b/>
                <w:iCs/>
              </w:rPr>
            </w:pPr>
          </w:p>
          <w:p w:rsidR="00E83D80" w:rsidRDefault="00E83D80" w:rsidP="00503A94">
            <w:pPr>
              <w:rPr>
                <w:rFonts w:ascii="Arial" w:hAnsi="Arial" w:cs="Arial"/>
                <w:b/>
                <w:iCs/>
              </w:rPr>
            </w:pPr>
          </w:p>
          <w:p w:rsidR="00E83D80" w:rsidRDefault="00E83D80" w:rsidP="00503A94">
            <w:pPr>
              <w:rPr>
                <w:rFonts w:ascii="Arial" w:hAnsi="Arial" w:cs="Arial"/>
                <w:b/>
                <w:iCs/>
              </w:rPr>
            </w:pPr>
          </w:p>
          <w:p w:rsidR="00E83D80" w:rsidRDefault="00E83D80" w:rsidP="00503A94">
            <w:pPr>
              <w:rPr>
                <w:rFonts w:ascii="Arial" w:hAnsi="Arial" w:cs="Arial"/>
                <w:b/>
                <w:iCs/>
              </w:rPr>
            </w:pPr>
          </w:p>
          <w:p w:rsidR="00E83D80" w:rsidRDefault="00E83D80" w:rsidP="00503A94">
            <w:pPr>
              <w:rPr>
                <w:rFonts w:ascii="Arial" w:hAnsi="Arial" w:cs="Arial"/>
                <w:b/>
                <w:iCs/>
              </w:rPr>
            </w:pPr>
          </w:p>
          <w:p w:rsidR="00E83D80" w:rsidRPr="00151F0C" w:rsidRDefault="00E83D80" w:rsidP="00503A94">
            <w:pPr>
              <w:rPr>
                <w:rFonts w:ascii="Arial" w:hAnsi="Arial" w:cs="Arial"/>
                <w:b/>
                <w:iCs/>
              </w:rPr>
            </w:pPr>
          </w:p>
          <w:p w:rsidR="00E83D80" w:rsidRPr="00151F0C" w:rsidRDefault="00E83D80" w:rsidP="00503A94">
            <w:pPr>
              <w:rPr>
                <w:rFonts w:ascii="Arial" w:hAnsi="Arial" w:cs="Arial"/>
                <w:iCs/>
              </w:rPr>
            </w:pPr>
          </w:p>
          <w:p w:rsidR="00E83D80" w:rsidRPr="008D128C" w:rsidRDefault="00E83D80" w:rsidP="00E83D80">
            <w:pPr>
              <w:numPr>
                <w:ilvl w:val="0"/>
                <w:numId w:val="2"/>
              </w:numPr>
              <w:rPr>
                <w:rFonts w:ascii="Arial" w:hAnsi="Arial" w:cs="Arial"/>
                <w:b/>
                <w:bCs/>
                <w:iCs/>
                <w:u w:val="single"/>
              </w:rPr>
            </w:pPr>
            <w:r w:rsidRPr="008D128C">
              <w:rPr>
                <w:rFonts w:ascii="Arial" w:hAnsi="Arial" w:cs="Arial"/>
                <w:b/>
                <w:bCs/>
                <w:iCs/>
                <w:u w:val="single"/>
              </w:rPr>
              <w:t>Programme</w:t>
            </w:r>
          </w:p>
          <w:p w:rsidR="00E83D80" w:rsidRPr="00151F0C" w:rsidRDefault="00E83D80" w:rsidP="00503A94">
            <w:pPr>
              <w:rPr>
                <w:rFonts w:ascii="Arial" w:hAnsi="Arial" w:cs="Arial"/>
                <w:b/>
                <w:bCs/>
                <w:iCs/>
              </w:rPr>
            </w:pPr>
          </w:p>
          <w:p w:rsidR="00E83D80" w:rsidRDefault="00E83D80" w:rsidP="00503A94">
            <w:pPr>
              <w:rPr>
                <w:rFonts w:ascii="Arial" w:hAnsi="Arial" w:cs="Arial"/>
                <w:bCs/>
                <w:iCs/>
              </w:rPr>
            </w:pPr>
            <w:r w:rsidRPr="00151F0C">
              <w:rPr>
                <w:rFonts w:ascii="Arial" w:hAnsi="Arial" w:cs="Arial"/>
                <w:bCs/>
                <w:iCs/>
              </w:rPr>
              <w:t>Indic</w:t>
            </w:r>
            <w:r>
              <w:rPr>
                <w:rFonts w:ascii="Arial" w:hAnsi="Arial" w:cs="Arial"/>
                <w:bCs/>
                <w:iCs/>
              </w:rPr>
              <w:t>ative timescales are as follows;</w:t>
            </w:r>
          </w:p>
          <w:p w:rsidR="00E83D80" w:rsidRDefault="00E83D80" w:rsidP="00503A94">
            <w:pPr>
              <w:rPr>
                <w:rFonts w:ascii="Arial" w:hAnsi="Arial" w:cs="Arial"/>
                <w:bCs/>
                <w:iCs/>
              </w:rPr>
            </w:pPr>
          </w:p>
          <w:p w:rsidR="00E83D80" w:rsidRPr="00151F0C" w:rsidRDefault="00E83D80" w:rsidP="00503A94">
            <w:pPr>
              <w:rPr>
                <w:rFonts w:ascii="Arial" w:hAnsi="Arial" w:cs="Arial"/>
                <w:bCs/>
                <w:i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29"/>
              <w:gridCol w:w="4100"/>
            </w:tblGrid>
            <w:tr w:rsidR="00E83D80" w:rsidRPr="001D2099" w:rsidTr="00503A94">
              <w:tc>
                <w:tcPr>
                  <w:tcW w:w="4129" w:type="dxa"/>
                  <w:shd w:val="clear" w:color="auto" w:fill="auto"/>
                </w:tcPr>
                <w:p w:rsidR="00E83D80" w:rsidRPr="005C287A" w:rsidRDefault="00E83D80" w:rsidP="00503A94">
                  <w:pPr>
                    <w:rPr>
                      <w:rFonts w:ascii="Arial" w:hAnsi="Arial" w:cs="Arial"/>
                    </w:rPr>
                  </w:pPr>
                  <w:r>
                    <w:rPr>
                      <w:rFonts w:ascii="Arial" w:hAnsi="Arial" w:cs="Arial"/>
                    </w:rPr>
                    <w:t>Consultants submission deadline</w:t>
                  </w:r>
                </w:p>
              </w:tc>
              <w:tc>
                <w:tcPr>
                  <w:tcW w:w="4100" w:type="dxa"/>
                  <w:shd w:val="clear" w:color="auto" w:fill="auto"/>
                </w:tcPr>
                <w:p w:rsidR="00E83D80" w:rsidRPr="005C287A" w:rsidRDefault="00E83D80" w:rsidP="00503A94">
                  <w:pPr>
                    <w:rPr>
                      <w:rFonts w:ascii="Arial" w:hAnsi="Arial" w:cs="Arial"/>
                    </w:rPr>
                  </w:pPr>
                  <w:r>
                    <w:rPr>
                      <w:rFonts w:ascii="Arial" w:hAnsi="Arial" w:cs="Arial"/>
                    </w:rPr>
                    <w:t>11 Dec 2015</w:t>
                  </w:r>
                </w:p>
              </w:tc>
            </w:tr>
            <w:tr w:rsidR="00E83D80" w:rsidRPr="001D2099" w:rsidTr="00503A94">
              <w:tc>
                <w:tcPr>
                  <w:tcW w:w="4129" w:type="dxa"/>
                  <w:shd w:val="clear" w:color="auto" w:fill="auto"/>
                </w:tcPr>
                <w:p w:rsidR="00E83D80" w:rsidRDefault="00E83D80" w:rsidP="00503A94">
                  <w:pPr>
                    <w:rPr>
                      <w:rFonts w:ascii="Arial" w:hAnsi="Arial" w:cs="Arial"/>
                    </w:rPr>
                  </w:pPr>
                  <w:r>
                    <w:rPr>
                      <w:rFonts w:ascii="Arial" w:hAnsi="Arial" w:cs="Arial"/>
                    </w:rPr>
                    <w:t>Interviews ( if required)</w:t>
                  </w:r>
                </w:p>
              </w:tc>
              <w:tc>
                <w:tcPr>
                  <w:tcW w:w="4100" w:type="dxa"/>
                  <w:shd w:val="clear" w:color="auto" w:fill="auto"/>
                </w:tcPr>
                <w:p w:rsidR="00E83D80" w:rsidRDefault="00E83D80" w:rsidP="00503A94">
                  <w:pPr>
                    <w:rPr>
                      <w:rFonts w:ascii="Arial" w:hAnsi="Arial" w:cs="Arial"/>
                    </w:rPr>
                  </w:pPr>
                  <w:r>
                    <w:rPr>
                      <w:rFonts w:ascii="Arial" w:hAnsi="Arial" w:cs="Arial"/>
                    </w:rPr>
                    <w:t>16/17 Dec 2015</w:t>
                  </w:r>
                </w:p>
              </w:tc>
            </w:tr>
            <w:tr w:rsidR="00E83D80" w:rsidRPr="001D2099" w:rsidTr="00503A94">
              <w:tc>
                <w:tcPr>
                  <w:tcW w:w="4129" w:type="dxa"/>
                  <w:shd w:val="clear" w:color="auto" w:fill="auto"/>
                </w:tcPr>
                <w:p w:rsidR="00E83D80" w:rsidRPr="005C287A" w:rsidRDefault="00E83D80" w:rsidP="00503A94">
                  <w:pPr>
                    <w:rPr>
                      <w:rFonts w:ascii="Arial" w:hAnsi="Arial" w:cs="Arial"/>
                    </w:rPr>
                  </w:pPr>
                  <w:r>
                    <w:rPr>
                      <w:rFonts w:ascii="Arial" w:hAnsi="Arial" w:cs="Arial"/>
                    </w:rPr>
                    <w:t>Appointment of consultants</w:t>
                  </w:r>
                </w:p>
              </w:tc>
              <w:tc>
                <w:tcPr>
                  <w:tcW w:w="4100" w:type="dxa"/>
                  <w:shd w:val="clear" w:color="auto" w:fill="auto"/>
                </w:tcPr>
                <w:p w:rsidR="00E83D80" w:rsidRPr="005C287A" w:rsidRDefault="00E83D80" w:rsidP="00503A94">
                  <w:pPr>
                    <w:rPr>
                      <w:rFonts w:ascii="Arial" w:hAnsi="Arial" w:cs="Arial"/>
                    </w:rPr>
                  </w:pPr>
                  <w:r>
                    <w:rPr>
                      <w:rFonts w:ascii="Arial" w:hAnsi="Arial" w:cs="Arial"/>
                    </w:rPr>
                    <w:t>21 Dec 2015</w:t>
                  </w:r>
                </w:p>
              </w:tc>
            </w:tr>
            <w:tr w:rsidR="00E83D80" w:rsidRPr="001D2099" w:rsidTr="00503A94">
              <w:tc>
                <w:tcPr>
                  <w:tcW w:w="4129" w:type="dxa"/>
                  <w:shd w:val="clear" w:color="auto" w:fill="auto"/>
                </w:tcPr>
                <w:p w:rsidR="00E83D80" w:rsidRPr="005C287A" w:rsidRDefault="00E83D80" w:rsidP="00503A94">
                  <w:pPr>
                    <w:rPr>
                      <w:rFonts w:ascii="Arial" w:hAnsi="Arial" w:cs="Arial"/>
                    </w:rPr>
                  </w:pPr>
                  <w:r>
                    <w:rPr>
                      <w:rFonts w:ascii="Arial" w:hAnsi="Arial" w:cs="Arial"/>
                    </w:rPr>
                    <w:t>Inception meeting</w:t>
                  </w:r>
                </w:p>
              </w:tc>
              <w:tc>
                <w:tcPr>
                  <w:tcW w:w="4100" w:type="dxa"/>
                  <w:shd w:val="clear" w:color="auto" w:fill="auto"/>
                </w:tcPr>
                <w:p w:rsidR="00E83D80" w:rsidRPr="005C287A" w:rsidRDefault="00E83D80" w:rsidP="00503A94">
                  <w:pPr>
                    <w:rPr>
                      <w:rFonts w:ascii="Arial" w:hAnsi="Arial" w:cs="Arial"/>
                    </w:rPr>
                  </w:pPr>
                  <w:r>
                    <w:rPr>
                      <w:rFonts w:ascii="Arial" w:hAnsi="Arial" w:cs="Arial"/>
                    </w:rPr>
                    <w:t>w/c 4 Jan 2016</w:t>
                  </w:r>
                </w:p>
              </w:tc>
            </w:tr>
            <w:tr w:rsidR="00E83D80" w:rsidRPr="001D2099" w:rsidTr="00503A94">
              <w:tc>
                <w:tcPr>
                  <w:tcW w:w="4129" w:type="dxa"/>
                  <w:shd w:val="clear" w:color="auto" w:fill="auto"/>
                </w:tcPr>
                <w:p w:rsidR="00E83D80" w:rsidRPr="005C287A" w:rsidRDefault="00E83D80" w:rsidP="00503A94">
                  <w:pPr>
                    <w:rPr>
                      <w:rFonts w:ascii="Arial" w:hAnsi="Arial" w:cs="Arial"/>
                    </w:rPr>
                  </w:pPr>
                  <w:r>
                    <w:rPr>
                      <w:rFonts w:ascii="Arial" w:hAnsi="Arial" w:cs="Arial"/>
                    </w:rPr>
                    <w:t>Submission of stage 1(draft) - Review</w:t>
                  </w:r>
                </w:p>
              </w:tc>
              <w:tc>
                <w:tcPr>
                  <w:tcW w:w="4100" w:type="dxa"/>
                  <w:shd w:val="clear" w:color="auto" w:fill="auto"/>
                </w:tcPr>
                <w:p w:rsidR="00E83D80" w:rsidRPr="005C287A" w:rsidRDefault="00E83D80" w:rsidP="00503A94">
                  <w:pPr>
                    <w:rPr>
                      <w:rFonts w:ascii="Arial" w:hAnsi="Arial" w:cs="Arial"/>
                    </w:rPr>
                  </w:pPr>
                  <w:r>
                    <w:rPr>
                      <w:rFonts w:ascii="Arial" w:hAnsi="Arial" w:cs="Arial"/>
                    </w:rPr>
                    <w:t>February 2016</w:t>
                  </w:r>
                </w:p>
              </w:tc>
            </w:tr>
            <w:tr w:rsidR="00E83D80" w:rsidRPr="001D2099" w:rsidTr="00503A94">
              <w:tc>
                <w:tcPr>
                  <w:tcW w:w="4129" w:type="dxa"/>
                  <w:shd w:val="clear" w:color="auto" w:fill="auto"/>
                </w:tcPr>
                <w:p w:rsidR="00E83D80" w:rsidRPr="005C287A" w:rsidRDefault="00E83D80" w:rsidP="00503A94">
                  <w:pPr>
                    <w:rPr>
                      <w:rFonts w:ascii="Arial" w:hAnsi="Arial" w:cs="Arial"/>
                    </w:rPr>
                  </w:pPr>
                  <w:r>
                    <w:rPr>
                      <w:rFonts w:ascii="Arial" w:hAnsi="Arial" w:cs="Arial"/>
                    </w:rPr>
                    <w:t xml:space="preserve">Submission of Stage 2 (draft) – </w:t>
                  </w:r>
                </w:p>
              </w:tc>
              <w:tc>
                <w:tcPr>
                  <w:tcW w:w="4100" w:type="dxa"/>
                  <w:shd w:val="clear" w:color="auto" w:fill="auto"/>
                </w:tcPr>
                <w:p w:rsidR="00E83D80" w:rsidRPr="005C287A" w:rsidRDefault="00E83D80" w:rsidP="00503A94">
                  <w:pPr>
                    <w:rPr>
                      <w:rFonts w:ascii="Arial" w:hAnsi="Arial" w:cs="Arial"/>
                    </w:rPr>
                  </w:pPr>
                  <w:r>
                    <w:rPr>
                      <w:rFonts w:ascii="Arial" w:hAnsi="Arial" w:cs="Arial"/>
                    </w:rPr>
                    <w:t>March 2016</w:t>
                  </w:r>
                </w:p>
              </w:tc>
            </w:tr>
            <w:tr w:rsidR="00E83D80" w:rsidRPr="001D2099" w:rsidTr="00503A94">
              <w:tc>
                <w:tcPr>
                  <w:tcW w:w="4129" w:type="dxa"/>
                  <w:shd w:val="clear" w:color="auto" w:fill="auto"/>
                </w:tcPr>
                <w:p w:rsidR="00E83D80" w:rsidRDefault="00E83D80" w:rsidP="00503A94">
                  <w:pPr>
                    <w:rPr>
                      <w:rFonts w:ascii="Arial" w:hAnsi="Arial" w:cs="Arial"/>
                    </w:rPr>
                  </w:pPr>
                  <w:r>
                    <w:rPr>
                      <w:rFonts w:ascii="Arial" w:hAnsi="Arial" w:cs="Arial"/>
                    </w:rPr>
                    <w:t>Submission of stage 3 (draft)-</w:t>
                  </w:r>
                </w:p>
                <w:p w:rsidR="00E83D80" w:rsidRPr="005C287A" w:rsidRDefault="00E83D80" w:rsidP="00503A94">
                  <w:pPr>
                    <w:rPr>
                      <w:rFonts w:ascii="Arial" w:hAnsi="Arial" w:cs="Arial"/>
                    </w:rPr>
                  </w:pPr>
                </w:p>
              </w:tc>
              <w:tc>
                <w:tcPr>
                  <w:tcW w:w="4100" w:type="dxa"/>
                  <w:shd w:val="clear" w:color="auto" w:fill="auto"/>
                </w:tcPr>
                <w:p w:rsidR="00E83D80" w:rsidRPr="005C287A" w:rsidRDefault="00E83D80" w:rsidP="00503A94">
                  <w:pPr>
                    <w:rPr>
                      <w:rFonts w:ascii="Arial" w:hAnsi="Arial" w:cs="Arial"/>
                    </w:rPr>
                  </w:pPr>
                  <w:r>
                    <w:rPr>
                      <w:rFonts w:ascii="Arial" w:hAnsi="Arial" w:cs="Arial"/>
                    </w:rPr>
                    <w:t>April 2016</w:t>
                  </w:r>
                </w:p>
              </w:tc>
            </w:tr>
            <w:tr w:rsidR="00E83D80" w:rsidRPr="001D2099" w:rsidTr="00503A94">
              <w:tc>
                <w:tcPr>
                  <w:tcW w:w="4129" w:type="dxa"/>
                  <w:shd w:val="clear" w:color="auto" w:fill="auto"/>
                </w:tcPr>
                <w:p w:rsidR="00E83D80" w:rsidRPr="005C287A" w:rsidRDefault="00E83D80" w:rsidP="00503A94">
                  <w:pPr>
                    <w:rPr>
                      <w:rFonts w:ascii="Arial" w:hAnsi="Arial" w:cs="Arial"/>
                    </w:rPr>
                  </w:pPr>
                  <w:r>
                    <w:rPr>
                      <w:rFonts w:ascii="Arial" w:hAnsi="Arial" w:cs="Arial"/>
                    </w:rPr>
                    <w:t>Final draft report</w:t>
                  </w:r>
                </w:p>
              </w:tc>
              <w:tc>
                <w:tcPr>
                  <w:tcW w:w="4100" w:type="dxa"/>
                  <w:shd w:val="clear" w:color="auto" w:fill="auto"/>
                </w:tcPr>
                <w:p w:rsidR="00E83D80" w:rsidRPr="005C287A" w:rsidRDefault="00E83D80" w:rsidP="00503A94">
                  <w:pPr>
                    <w:ind w:left="5040" w:hanging="5040"/>
                    <w:rPr>
                      <w:rFonts w:ascii="Arial" w:hAnsi="Arial" w:cs="Arial"/>
                    </w:rPr>
                  </w:pPr>
                  <w:r>
                    <w:rPr>
                      <w:rFonts w:ascii="Arial" w:hAnsi="Arial" w:cs="Arial"/>
                    </w:rPr>
                    <w:t>April 2016</w:t>
                  </w:r>
                </w:p>
              </w:tc>
            </w:tr>
            <w:tr w:rsidR="00E83D80" w:rsidRPr="001D2099" w:rsidTr="00503A94">
              <w:tc>
                <w:tcPr>
                  <w:tcW w:w="4129" w:type="dxa"/>
                  <w:shd w:val="clear" w:color="auto" w:fill="auto"/>
                </w:tcPr>
                <w:p w:rsidR="00E83D80" w:rsidRPr="005C287A" w:rsidRDefault="00E83D80" w:rsidP="00503A94">
                  <w:pPr>
                    <w:rPr>
                      <w:rFonts w:ascii="Arial" w:hAnsi="Arial" w:cs="Arial"/>
                    </w:rPr>
                  </w:pPr>
                  <w:r>
                    <w:rPr>
                      <w:rFonts w:ascii="Arial" w:hAnsi="Arial" w:cs="Arial"/>
                    </w:rPr>
                    <w:t>Final report submission</w:t>
                  </w:r>
                </w:p>
              </w:tc>
              <w:tc>
                <w:tcPr>
                  <w:tcW w:w="4100" w:type="dxa"/>
                  <w:shd w:val="clear" w:color="auto" w:fill="auto"/>
                </w:tcPr>
                <w:p w:rsidR="00E83D80" w:rsidRPr="005C287A" w:rsidRDefault="00E83D80" w:rsidP="00503A94">
                  <w:pPr>
                    <w:rPr>
                      <w:rFonts w:ascii="Arial" w:hAnsi="Arial" w:cs="Arial"/>
                    </w:rPr>
                  </w:pPr>
                  <w:r>
                    <w:rPr>
                      <w:rFonts w:ascii="Arial" w:hAnsi="Arial" w:cs="Arial"/>
                    </w:rPr>
                    <w:t>April 2016</w:t>
                  </w:r>
                </w:p>
              </w:tc>
            </w:tr>
          </w:tbl>
          <w:p w:rsidR="00E83D80" w:rsidRDefault="00E83D80" w:rsidP="00503A94">
            <w:pPr>
              <w:rPr>
                <w:rFonts w:ascii="Arial" w:hAnsi="Arial" w:cs="Arial"/>
                <w:i/>
                <w:iCs/>
                <w:sz w:val="20"/>
                <w:szCs w:val="20"/>
              </w:rPr>
            </w:pPr>
          </w:p>
          <w:p w:rsidR="00E83D80" w:rsidRDefault="00E83D80" w:rsidP="00503A94">
            <w:pPr>
              <w:rPr>
                <w:rFonts w:ascii="Arial" w:hAnsi="Arial" w:cs="Arial"/>
                <w:i/>
                <w:iCs/>
                <w:sz w:val="20"/>
                <w:szCs w:val="20"/>
              </w:rPr>
            </w:pPr>
            <w:r>
              <w:rPr>
                <w:rFonts w:ascii="Arial" w:hAnsi="Arial" w:cs="Arial"/>
                <w:i/>
                <w:iCs/>
                <w:sz w:val="20"/>
                <w:szCs w:val="20"/>
              </w:rPr>
              <w:t>The above dates are subject to change.</w:t>
            </w:r>
          </w:p>
          <w:p w:rsidR="00E83D80" w:rsidRDefault="00E83D80" w:rsidP="00503A94">
            <w:pPr>
              <w:rPr>
                <w:rFonts w:ascii="Arial" w:hAnsi="Arial" w:cs="Arial"/>
                <w:i/>
                <w:iCs/>
                <w:sz w:val="20"/>
                <w:szCs w:val="20"/>
              </w:rPr>
            </w:pPr>
          </w:p>
          <w:p w:rsidR="00E83D80" w:rsidRDefault="00E83D80" w:rsidP="00503A94">
            <w:pPr>
              <w:rPr>
                <w:rFonts w:ascii="Arial" w:hAnsi="Arial" w:cs="Arial"/>
                <w:i/>
                <w:iCs/>
                <w:sz w:val="20"/>
                <w:szCs w:val="20"/>
              </w:rPr>
            </w:pPr>
          </w:p>
          <w:p w:rsidR="00E83D80" w:rsidRPr="008D128C" w:rsidRDefault="00E83D80" w:rsidP="00E83D80">
            <w:pPr>
              <w:numPr>
                <w:ilvl w:val="0"/>
                <w:numId w:val="2"/>
              </w:numPr>
              <w:rPr>
                <w:rFonts w:ascii="Arial" w:hAnsi="Arial" w:cs="Arial"/>
                <w:b/>
                <w:bCs/>
                <w:iCs/>
                <w:u w:val="single"/>
              </w:rPr>
            </w:pPr>
            <w:r>
              <w:rPr>
                <w:rFonts w:ascii="Arial" w:hAnsi="Arial" w:cs="Arial"/>
                <w:bCs/>
                <w:iCs/>
              </w:rPr>
              <w:t xml:space="preserve">     </w:t>
            </w:r>
            <w:r w:rsidRPr="008D128C">
              <w:rPr>
                <w:rFonts w:ascii="Arial" w:hAnsi="Arial" w:cs="Arial"/>
                <w:b/>
                <w:bCs/>
                <w:iCs/>
                <w:u w:val="single"/>
              </w:rPr>
              <w:t>The Services</w:t>
            </w:r>
          </w:p>
          <w:p w:rsidR="00E83D80" w:rsidRPr="008D128C" w:rsidRDefault="00E83D80" w:rsidP="00503A94">
            <w:pPr>
              <w:rPr>
                <w:rFonts w:ascii="Arial" w:hAnsi="Arial" w:cs="Arial"/>
                <w:b/>
                <w:bCs/>
                <w:iCs/>
              </w:rPr>
            </w:pPr>
          </w:p>
          <w:p w:rsidR="00E83D80" w:rsidRPr="008D128C" w:rsidRDefault="00E83D80" w:rsidP="00503A94">
            <w:pPr>
              <w:rPr>
                <w:rFonts w:ascii="Arial" w:hAnsi="Arial" w:cs="Arial"/>
                <w:bCs/>
                <w:iCs/>
              </w:rPr>
            </w:pPr>
            <w:r w:rsidRPr="008D128C">
              <w:rPr>
                <w:rFonts w:ascii="Arial" w:hAnsi="Arial" w:cs="Arial"/>
                <w:bCs/>
                <w:iCs/>
              </w:rPr>
              <w:t>All necessary duties to achieve the deliverables.</w:t>
            </w:r>
          </w:p>
          <w:p w:rsidR="00E83D80" w:rsidRDefault="00E83D80" w:rsidP="00503A94">
            <w:pPr>
              <w:rPr>
                <w:rFonts w:ascii="Arial" w:hAnsi="Arial" w:cs="Arial"/>
                <w:b/>
                <w:bCs/>
                <w:iCs/>
                <w:sz w:val="20"/>
                <w:szCs w:val="20"/>
              </w:rPr>
            </w:pPr>
          </w:p>
          <w:p w:rsidR="00E83D80" w:rsidRDefault="00E83D80" w:rsidP="00503A94">
            <w:pPr>
              <w:rPr>
                <w:rFonts w:ascii="Arial" w:hAnsi="Arial" w:cs="Arial"/>
                <w:b/>
                <w:bCs/>
                <w:iCs/>
                <w:sz w:val="20"/>
                <w:szCs w:val="20"/>
              </w:rPr>
            </w:pPr>
          </w:p>
          <w:p w:rsidR="00E83D80" w:rsidRDefault="00E83D80" w:rsidP="00503A94">
            <w:pPr>
              <w:rPr>
                <w:rFonts w:ascii="Arial" w:hAnsi="Arial" w:cs="Arial"/>
                <w:b/>
                <w:bCs/>
                <w:iCs/>
                <w:sz w:val="20"/>
                <w:szCs w:val="20"/>
              </w:rPr>
            </w:pPr>
          </w:p>
          <w:p w:rsidR="00E83D80" w:rsidRDefault="00E83D80" w:rsidP="00503A94">
            <w:pPr>
              <w:rPr>
                <w:rFonts w:ascii="Arial" w:hAnsi="Arial" w:cs="Arial"/>
                <w:b/>
                <w:bCs/>
                <w:iCs/>
                <w:sz w:val="20"/>
                <w:szCs w:val="20"/>
              </w:rPr>
            </w:pPr>
          </w:p>
          <w:p w:rsidR="00E83D80" w:rsidRPr="008D128C" w:rsidRDefault="00E83D80" w:rsidP="00E83D80">
            <w:pPr>
              <w:numPr>
                <w:ilvl w:val="0"/>
                <w:numId w:val="2"/>
              </w:numPr>
              <w:rPr>
                <w:rFonts w:ascii="Arial" w:hAnsi="Arial" w:cs="Arial"/>
                <w:b/>
                <w:bCs/>
                <w:iCs/>
                <w:u w:val="single"/>
              </w:rPr>
            </w:pPr>
            <w:r w:rsidRPr="008D128C">
              <w:rPr>
                <w:rFonts w:ascii="Arial" w:hAnsi="Arial" w:cs="Arial"/>
                <w:b/>
                <w:bCs/>
                <w:iCs/>
                <w:u w:val="single"/>
              </w:rPr>
              <w:t>Evaluation criteria</w:t>
            </w:r>
          </w:p>
          <w:p w:rsidR="00E83D80" w:rsidRPr="008D128C" w:rsidRDefault="00E83D80" w:rsidP="00503A94">
            <w:pPr>
              <w:rPr>
                <w:rFonts w:ascii="Arial" w:hAnsi="Arial" w:cs="Arial"/>
                <w:b/>
                <w:bCs/>
                <w:i/>
                <w:iCs/>
              </w:rPr>
            </w:pPr>
          </w:p>
          <w:p w:rsidR="00E83D80" w:rsidRPr="008D128C" w:rsidRDefault="00E83D80" w:rsidP="00503A94">
            <w:pPr>
              <w:rPr>
                <w:rFonts w:ascii="Arial" w:hAnsi="Arial" w:cs="Arial"/>
                <w:iCs/>
              </w:rPr>
            </w:pPr>
            <w:r w:rsidRPr="008D128C">
              <w:rPr>
                <w:rFonts w:ascii="Arial" w:hAnsi="Arial" w:cs="Arial"/>
                <w:iCs/>
              </w:rPr>
              <w:t>The</w:t>
            </w:r>
            <w:r>
              <w:rPr>
                <w:rFonts w:ascii="Arial" w:hAnsi="Arial" w:cs="Arial"/>
                <w:iCs/>
              </w:rPr>
              <w:t xml:space="preserve"> commission</w:t>
            </w:r>
            <w:r w:rsidRPr="008D128C">
              <w:rPr>
                <w:rFonts w:ascii="Arial" w:hAnsi="Arial" w:cs="Arial"/>
                <w:iCs/>
              </w:rPr>
              <w:t xml:space="preserve"> proposal should be n</w:t>
            </w:r>
            <w:r>
              <w:rPr>
                <w:rFonts w:ascii="Arial" w:hAnsi="Arial" w:cs="Arial"/>
                <w:iCs/>
              </w:rPr>
              <w:t>o longer than 10 pages in total</w:t>
            </w:r>
            <w:r w:rsidRPr="008D128C">
              <w:rPr>
                <w:rFonts w:ascii="Arial" w:hAnsi="Arial" w:cs="Arial"/>
                <w:iCs/>
              </w:rPr>
              <w:t xml:space="preserve"> and should outline the following;</w:t>
            </w:r>
          </w:p>
          <w:p w:rsidR="00E83D80" w:rsidRDefault="00E83D80" w:rsidP="00503A94">
            <w:pPr>
              <w:rPr>
                <w:rFonts w:ascii="Arial" w:hAnsi="Arial" w:cs="Arial"/>
                <w:iCs/>
              </w:rPr>
            </w:pPr>
          </w:p>
          <w:p w:rsidR="00E83D80" w:rsidRPr="0082273F" w:rsidRDefault="00E83D80" w:rsidP="00503A94">
            <w:pPr>
              <w:ind w:left="738"/>
              <w:rPr>
                <w:rFonts w:ascii="Arial" w:hAnsi="Arial" w:cs="Arial"/>
                <w:b/>
                <w:iCs/>
              </w:rPr>
            </w:pPr>
            <w:r w:rsidRPr="0082273F">
              <w:rPr>
                <w:rFonts w:ascii="Arial" w:hAnsi="Arial" w:cs="Arial"/>
                <w:b/>
                <w:iCs/>
              </w:rPr>
              <w:t>Understanding of the brief and requirements</w:t>
            </w:r>
          </w:p>
          <w:p w:rsidR="00E83D80" w:rsidRDefault="00E83D80" w:rsidP="00503A94">
            <w:pPr>
              <w:ind w:left="738"/>
              <w:rPr>
                <w:rFonts w:ascii="Arial" w:hAnsi="Arial" w:cs="Arial"/>
                <w:iCs/>
              </w:rPr>
            </w:pPr>
            <w:r w:rsidRPr="0082273F">
              <w:rPr>
                <w:rFonts w:ascii="Arial" w:hAnsi="Arial" w:cs="Arial"/>
                <w:iCs/>
              </w:rPr>
              <w:t xml:space="preserve">Demonstrate a clear understanding of the requirements needed to undertake this study and the outputs which will be </w:t>
            </w:r>
            <w:r>
              <w:rPr>
                <w:rFonts w:ascii="Arial" w:hAnsi="Arial" w:cs="Arial"/>
                <w:iCs/>
              </w:rPr>
              <w:t>delivered.</w:t>
            </w:r>
          </w:p>
          <w:p w:rsidR="00E83D80" w:rsidRPr="008D128C" w:rsidRDefault="00E83D80" w:rsidP="00503A94">
            <w:pPr>
              <w:rPr>
                <w:rFonts w:ascii="Arial" w:hAnsi="Arial" w:cs="Arial"/>
                <w:iCs/>
              </w:rPr>
            </w:pPr>
          </w:p>
          <w:p w:rsidR="00E83D80" w:rsidRPr="0082273F" w:rsidRDefault="00E83D80" w:rsidP="00503A94">
            <w:pPr>
              <w:ind w:left="720"/>
              <w:rPr>
                <w:rFonts w:ascii="Arial" w:hAnsi="Arial" w:cs="Arial"/>
                <w:b/>
                <w:iCs/>
              </w:rPr>
            </w:pPr>
            <w:r w:rsidRPr="0082273F">
              <w:rPr>
                <w:rFonts w:ascii="Arial" w:hAnsi="Arial" w:cs="Arial"/>
                <w:b/>
                <w:iCs/>
              </w:rPr>
              <w:t xml:space="preserve">Approach and methodology  </w:t>
            </w:r>
          </w:p>
          <w:p w:rsidR="00E83D80" w:rsidRPr="0082273F" w:rsidRDefault="00E83D80" w:rsidP="00503A94">
            <w:pPr>
              <w:pStyle w:val="wpBodyText"/>
              <w:spacing w:after="0" w:line="276" w:lineRule="auto"/>
              <w:ind w:left="720"/>
              <w:rPr>
                <w:rFonts w:ascii="Arial" w:hAnsi="Arial" w:cs="Arial"/>
                <w:sz w:val="24"/>
                <w:szCs w:val="24"/>
              </w:rPr>
            </w:pPr>
            <w:r w:rsidRPr="0082273F">
              <w:rPr>
                <w:rFonts w:ascii="Arial" w:hAnsi="Arial" w:cs="Arial"/>
                <w:sz w:val="24"/>
                <w:szCs w:val="24"/>
              </w:rPr>
              <w:t xml:space="preserve">Proposed scope and methodology to address this commission and </w:t>
            </w:r>
            <w:r>
              <w:rPr>
                <w:rFonts w:ascii="Arial" w:hAnsi="Arial" w:cs="Arial"/>
                <w:sz w:val="24"/>
                <w:szCs w:val="24"/>
              </w:rPr>
              <w:t>detail h</w:t>
            </w:r>
            <w:r w:rsidRPr="0082273F">
              <w:rPr>
                <w:rFonts w:ascii="Arial" w:hAnsi="Arial" w:cs="Arial"/>
                <w:sz w:val="24"/>
                <w:szCs w:val="24"/>
              </w:rPr>
              <w:t>ow the commission will be managed identifying the lead consultant and project manager for the work, factoring in capacity and availability to meet timescales.</w:t>
            </w:r>
          </w:p>
          <w:p w:rsidR="00E83D80" w:rsidRDefault="00E83D80" w:rsidP="00503A94">
            <w:pPr>
              <w:rPr>
                <w:rFonts w:ascii="Arial" w:hAnsi="Arial" w:cs="Arial"/>
              </w:rPr>
            </w:pPr>
          </w:p>
          <w:p w:rsidR="00E83D80" w:rsidRPr="0082273F" w:rsidRDefault="00E83D80" w:rsidP="00503A94">
            <w:pPr>
              <w:ind w:left="720"/>
              <w:rPr>
                <w:rFonts w:ascii="Arial" w:hAnsi="Arial" w:cs="Arial"/>
                <w:b/>
                <w:iCs/>
              </w:rPr>
            </w:pPr>
            <w:r w:rsidRPr="0082273F">
              <w:rPr>
                <w:rFonts w:ascii="Arial" w:hAnsi="Arial" w:cs="Arial"/>
                <w:b/>
                <w:iCs/>
              </w:rPr>
              <w:t>Knowledge and experience of the professional team (cite contract specific experiences)</w:t>
            </w:r>
          </w:p>
          <w:p w:rsidR="00E83D80" w:rsidRPr="0082273F" w:rsidRDefault="00E83D80" w:rsidP="00503A94">
            <w:pPr>
              <w:ind w:left="720"/>
              <w:rPr>
                <w:rFonts w:ascii="Arial" w:hAnsi="Arial" w:cs="Arial"/>
                <w:iCs/>
              </w:rPr>
            </w:pPr>
            <w:r w:rsidRPr="008D128C">
              <w:rPr>
                <w:rFonts w:ascii="Arial" w:hAnsi="Arial" w:cs="Arial"/>
                <w:iCs/>
              </w:rPr>
              <w:t>Details of similar commissions which</w:t>
            </w:r>
            <w:r>
              <w:rPr>
                <w:rFonts w:ascii="Arial" w:hAnsi="Arial" w:cs="Arial"/>
                <w:iCs/>
              </w:rPr>
              <w:t xml:space="preserve"> have </w:t>
            </w:r>
            <w:r w:rsidRPr="008D128C">
              <w:rPr>
                <w:rFonts w:ascii="Arial" w:hAnsi="Arial" w:cs="Arial"/>
                <w:iCs/>
              </w:rPr>
              <w:t>previously been undertaken in terms of size and</w:t>
            </w:r>
            <w:r w:rsidRPr="008D128C">
              <w:rPr>
                <w:rFonts w:ascii="Arial" w:hAnsi="Arial" w:cs="Arial"/>
                <w:iCs/>
                <w:color w:val="0000FF"/>
              </w:rPr>
              <w:t xml:space="preserve"> </w:t>
            </w:r>
            <w:r w:rsidRPr="008D128C">
              <w:rPr>
                <w:rFonts w:ascii="Arial" w:hAnsi="Arial" w:cs="Arial"/>
                <w:iCs/>
              </w:rPr>
              <w:t>complexity should be provided including client contact details, details of your role and how</w:t>
            </w:r>
            <w:r>
              <w:rPr>
                <w:rFonts w:ascii="Arial" w:hAnsi="Arial" w:cs="Arial"/>
                <w:iCs/>
              </w:rPr>
              <w:t xml:space="preserve"> that commission compares with </w:t>
            </w:r>
            <w:r w:rsidRPr="008D128C">
              <w:rPr>
                <w:rFonts w:ascii="Arial" w:hAnsi="Arial" w:cs="Arial"/>
                <w:iCs/>
              </w:rPr>
              <w:t>that which you are proposing in Wolverhampton.</w:t>
            </w:r>
            <w:r>
              <w:rPr>
                <w:rFonts w:ascii="Arial" w:hAnsi="Arial" w:cs="Arial"/>
                <w:iCs/>
              </w:rPr>
              <w:t xml:space="preserve">  Please also provide c</w:t>
            </w:r>
            <w:r w:rsidRPr="00B11AA0">
              <w:rPr>
                <w:rFonts w:ascii="Arial" w:hAnsi="Arial" w:cs="Arial"/>
              </w:rPr>
              <w:t xml:space="preserve">onfirmation of the team you plan to use </w:t>
            </w:r>
            <w:r w:rsidRPr="00B11AA0">
              <w:rPr>
                <w:rFonts w:ascii="Arial" w:hAnsi="Arial" w:cs="Arial"/>
              </w:rPr>
              <w:lastRenderedPageBreak/>
              <w:t xml:space="preserve">(including any external resources to your company) detailing relevant experience together with short CV’s for </w:t>
            </w:r>
            <w:r>
              <w:rPr>
                <w:rFonts w:ascii="Arial" w:hAnsi="Arial" w:cs="Arial"/>
              </w:rPr>
              <w:t>the key</w:t>
            </w:r>
            <w:r w:rsidRPr="00B11AA0">
              <w:rPr>
                <w:rFonts w:ascii="Arial" w:hAnsi="Arial" w:cs="Arial"/>
              </w:rPr>
              <w:t xml:space="preserve"> members of the team.</w:t>
            </w:r>
            <w:r>
              <w:rPr>
                <w:rFonts w:ascii="Arial" w:hAnsi="Arial" w:cs="Arial"/>
              </w:rPr>
              <w:t xml:space="preserve"> </w:t>
            </w:r>
          </w:p>
          <w:p w:rsidR="00E83D80" w:rsidRDefault="00E83D80" w:rsidP="00503A94">
            <w:pPr>
              <w:rPr>
                <w:rFonts w:ascii="Arial" w:hAnsi="Arial" w:cs="Arial"/>
              </w:rPr>
            </w:pPr>
          </w:p>
          <w:p w:rsidR="00E83D80" w:rsidRPr="0082273F" w:rsidRDefault="00E83D80" w:rsidP="00503A94">
            <w:pPr>
              <w:ind w:left="720"/>
              <w:rPr>
                <w:rFonts w:ascii="Arial" w:hAnsi="Arial" w:cs="Arial"/>
                <w:b/>
                <w:iCs/>
              </w:rPr>
            </w:pPr>
            <w:r w:rsidRPr="0082273F">
              <w:rPr>
                <w:rFonts w:ascii="Arial" w:hAnsi="Arial" w:cs="Arial"/>
                <w:b/>
                <w:iCs/>
              </w:rPr>
              <w:t>Ability to meet timescales, proposed programme</w:t>
            </w:r>
          </w:p>
          <w:p w:rsidR="00E83D80" w:rsidRDefault="00E83D80" w:rsidP="00503A94">
            <w:pPr>
              <w:pStyle w:val="wpBodyText"/>
              <w:spacing w:after="0" w:line="276" w:lineRule="auto"/>
              <w:ind w:left="720"/>
              <w:rPr>
                <w:rFonts w:ascii="Arial" w:hAnsi="Arial" w:cs="Arial"/>
                <w:sz w:val="24"/>
                <w:szCs w:val="24"/>
              </w:rPr>
            </w:pPr>
            <w:r w:rsidRPr="00B11AA0">
              <w:rPr>
                <w:rFonts w:ascii="Arial" w:hAnsi="Arial" w:cs="Arial"/>
                <w:sz w:val="24"/>
                <w:szCs w:val="24"/>
              </w:rPr>
              <w:t>Programme for key stages of the commission.</w:t>
            </w:r>
          </w:p>
          <w:p w:rsidR="00E83D80" w:rsidRDefault="00E83D80" w:rsidP="00503A94">
            <w:pPr>
              <w:pStyle w:val="wpBodyText"/>
              <w:spacing w:after="0" w:line="276" w:lineRule="auto"/>
              <w:ind w:left="1080"/>
              <w:rPr>
                <w:rFonts w:ascii="Arial" w:hAnsi="Arial" w:cs="Arial"/>
                <w:sz w:val="24"/>
                <w:szCs w:val="24"/>
              </w:rPr>
            </w:pPr>
          </w:p>
          <w:p w:rsidR="00E83D80" w:rsidRPr="0082273F" w:rsidRDefault="00E83D80" w:rsidP="00503A94">
            <w:pPr>
              <w:ind w:left="720"/>
              <w:rPr>
                <w:rFonts w:ascii="Arial" w:hAnsi="Arial" w:cs="Arial"/>
                <w:b/>
                <w:iCs/>
              </w:rPr>
            </w:pPr>
            <w:r w:rsidRPr="0082273F">
              <w:rPr>
                <w:rFonts w:ascii="Arial" w:hAnsi="Arial" w:cs="Arial"/>
                <w:b/>
                <w:iCs/>
              </w:rPr>
              <w:t>Price / Value for money (based on fee proposal)</w:t>
            </w:r>
          </w:p>
          <w:p w:rsidR="00E83D80" w:rsidRDefault="00E83D80" w:rsidP="00503A94">
            <w:pPr>
              <w:ind w:left="720"/>
              <w:rPr>
                <w:rFonts w:ascii="Arial" w:hAnsi="Arial" w:cs="Arial"/>
              </w:rPr>
            </w:pPr>
            <w:r>
              <w:rPr>
                <w:rFonts w:ascii="Arial" w:hAnsi="Arial" w:cs="Arial"/>
              </w:rPr>
              <w:t>Fee proposal including a breakdown of fee rates for each member of the team including hourly rates and time to be spent on the commission by each member of the team.</w:t>
            </w:r>
          </w:p>
          <w:p w:rsidR="00E83D80" w:rsidRDefault="00E83D80" w:rsidP="00503A94">
            <w:pPr>
              <w:pStyle w:val="wpBodyText"/>
              <w:spacing w:after="0" w:line="276" w:lineRule="auto"/>
              <w:rPr>
                <w:rFonts w:ascii="Arial" w:hAnsi="Arial" w:cs="Arial"/>
                <w:sz w:val="24"/>
                <w:szCs w:val="24"/>
              </w:rPr>
            </w:pPr>
          </w:p>
          <w:p w:rsidR="00E83D80" w:rsidRPr="00B11AA0" w:rsidRDefault="00E83D80" w:rsidP="00503A94">
            <w:pPr>
              <w:ind w:left="360"/>
              <w:rPr>
                <w:rFonts w:ascii="Arial" w:hAnsi="Arial" w:cs="Arial"/>
                <w:i/>
                <w:iCs/>
              </w:rPr>
            </w:pPr>
          </w:p>
          <w:p w:rsidR="00E83D80" w:rsidRPr="008A1909" w:rsidRDefault="00E83D80" w:rsidP="00503A94">
            <w:pPr>
              <w:rPr>
                <w:rFonts w:ascii="Arial" w:hAnsi="Arial" w:cs="Arial"/>
                <w:b/>
                <w:bCs/>
                <w:i/>
                <w:iCs/>
                <w:sz w:val="20"/>
                <w:szCs w:val="20"/>
              </w:rPr>
            </w:pPr>
          </w:p>
          <w:p w:rsidR="00E83D80" w:rsidRPr="00CC6BDC" w:rsidRDefault="00E83D80" w:rsidP="00503A94">
            <w:pPr>
              <w:spacing w:line="276" w:lineRule="auto"/>
              <w:jc w:val="both"/>
              <w:rPr>
                <w:rFonts w:ascii="Arial" w:hAnsi="Arial" w:cs="Arial"/>
              </w:rPr>
            </w:pPr>
            <w:r w:rsidRPr="00CC6BDC">
              <w:rPr>
                <w:rFonts w:ascii="Arial" w:hAnsi="Arial" w:cs="Arial"/>
              </w:rPr>
              <w:t>Your proposals which should be submitted as directed via Wolverhampton City Council’s  Due North tendering portal (Pro-Contract) by no later than</w:t>
            </w:r>
            <w:r>
              <w:rPr>
                <w:rFonts w:ascii="Arial" w:hAnsi="Arial" w:cs="Arial"/>
              </w:rPr>
              <w:t xml:space="preserve"> 11 December.  </w:t>
            </w:r>
            <w:r w:rsidRPr="00CC6BDC">
              <w:rPr>
                <w:rFonts w:ascii="Arial" w:hAnsi="Arial" w:cs="Arial"/>
              </w:rPr>
              <w:t>Submissions should be clearly marked as follows:</w:t>
            </w:r>
          </w:p>
          <w:p w:rsidR="00E83D80" w:rsidRPr="00CC6BDC" w:rsidRDefault="00E83D80" w:rsidP="00503A94">
            <w:pPr>
              <w:spacing w:line="276" w:lineRule="auto"/>
              <w:jc w:val="both"/>
              <w:rPr>
                <w:rFonts w:ascii="Arial" w:hAnsi="Arial" w:cs="Arial"/>
              </w:rPr>
            </w:pPr>
          </w:p>
          <w:p w:rsidR="00E83D80" w:rsidRPr="00CC6BDC" w:rsidRDefault="00E83D80" w:rsidP="00503A94">
            <w:pPr>
              <w:spacing w:line="276" w:lineRule="auto"/>
              <w:jc w:val="both"/>
              <w:rPr>
                <w:rFonts w:ascii="Arial" w:hAnsi="Arial" w:cs="Arial"/>
              </w:rPr>
            </w:pPr>
            <w:r w:rsidRPr="00CC6BDC">
              <w:rPr>
                <w:rFonts w:ascii="Arial" w:hAnsi="Arial" w:cs="Arial"/>
              </w:rPr>
              <w:t>Proposal Submission for</w:t>
            </w:r>
            <w:r w:rsidRPr="00CC6BDC">
              <w:rPr>
                <w:rFonts w:ascii="Arial" w:hAnsi="Arial" w:cs="Arial"/>
                <w:b/>
              </w:rPr>
              <w:t xml:space="preserve"> </w:t>
            </w:r>
            <w:r>
              <w:rPr>
                <w:rFonts w:ascii="Arial" w:hAnsi="Arial" w:cs="Arial"/>
                <w:b/>
              </w:rPr>
              <w:t>Connected Places Strategy and Delivery Plan for</w:t>
            </w:r>
            <w:r w:rsidRPr="00CC6BDC">
              <w:rPr>
                <w:rFonts w:ascii="Arial" w:hAnsi="Arial" w:cs="Arial"/>
                <w:b/>
              </w:rPr>
              <w:t xml:space="preserve"> Wolverhampton City Centre</w:t>
            </w:r>
            <w:r>
              <w:rPr>
                <w:rFonts w:ascii="Arial" w:hAnsi="Arial" w:cs="Arial"/>
                <w:b/>
              </w:rPr>
              <w:t>.</w:t>
            </w:r>
          </w:p>
          <w:p w:rsidR="00E83D80" w:rsidRPr="00CC6BDC" w:rsidRDefault="00E83D80" w:rsidP="00503A94">
            <w:pPr>
              <w:spacing w:line="276" w:lineRule="auto"/>
              <w:jc w:val="both"/>
              <w:rPr>
                <w:rFonts w:ascii="Arial" w:hAnsi="Arial" w:cs="Arial"/>
              </w:rPr>
            </w:pPr>
          </w:p>
          <w:p w:rsidR="00E83D80" w:rsidRPr="00CC6BDC" w:rsidRDefault="00E83D80" w:rsidP="00503A94">
            <w:pPr>
              <w:spacing w:line="276" w:lineRule="auto"/>
              <w:jc w:val="both"/>
              <w:rPr>
                <w:rFonts w:ascii="Arial" w:hAnsi="Arial" w:cs="Arial"/>
              </w:rPr>
            </w:pPr>
            <w:r w:rsidRPr="00CC6BDC">
              <w:rPr>
                <w:rFonts w:ascii="Arial" w:hAnsi="Arial" w:cs="Arial"/>
              </w:rPr>
              <w:t>The submission will be assessed on the following basis: –</w:t>
            </w:r>
          </w:p>
          <w:p w:rsidR="00E83D80" w:rsidRPr="00B428E3" w:rsidRDefault="00E83D80" w:rsidP="00503A94">
            <w:pPr>
              <w:rPr>
                <w:rFonts w:ascii="Arial" w:hAnsi="Arial" w:cs="Arial"/>
                <w:i/>
                <w:iCs/>
                <w:color w:val="0000FF"/>
                <w:sz w:val="20"/>
                <w:szCs w:val="20"/>
              </w:rPr>
            </w:pPr>
          </w:p>
          <w:p w:rsidR="00E83D80" w:rsidRPr="006904D4" w:rsidRDefault="00E83D80" w:rsidP="00503A94">
            <w:pPr>
              <w:rPr>
                <w:rFonts w:ascii="Arial" w:hAnsi="Arial" w:cs="Arial"/>
                <w:b/>
                <w:bCs/>
                <w:iCs/>
                <w:sz w:val="20"/>
                <w:szCs w:val="20"/>
              </w:rPr>
            </w:pPr>
          </w:p>
          <w:tbl>
            <w:tblPr>
              <w:tblW w:w="0" w:type="auto"/>
              <w:tblCellMar>
                <w:left w:w="0" w:type="dxa"/>
                <w:right w:w="0" w:type="dxa"/>
              </w:tblCellMar>
              <w:tblLook w:val="04A0" w:firstRow="1" w:lastRow="0" w:firstColumn="1" w:lastColumn="0" w:noHBand="0" w:noVBand="1"/>
            </w:tblPr>
            <w:tblGrid>
              <w:gridCol w:w="451"/>
              <w:gridCol w:w="6241"/>
              <w:gridCol w:w="1527"/>
            </w:tblGrid>
            <w:tr w:rsidR="00E83D80" w:rsidTr="00503A94">
              <w:tc>
                <w:tcPr>
                  <w:tcW w:w="512"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E83D80" w:rsidRPr="003C1CBF" w:rsidRDefault="00E83D80" w:rsidP="00503A94">
                  <w:pPr>
                    <w:spacing w:before="60" w:after="60" w:line="276" w:lineRule="auto"/>
                    <w:rPr>
                      <w:rFonts w:ascii="Arial" w:eastAsia="Calibri" w:hAnsi="Arial" w:cs="Arial"/>
                      <w:b/>
                      <w:bCs/>
                      <w:sz w:val="20"/>
                      <w:szCs w:val="20"/>
                    </w:rPr>
                  </w:pPr>
                </w:p>
              </w:tc>
              <w:tc>
                <w:tcPr>
                  <w:tcW w:w="751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E83D80" w:rsidRPr="003C1CBF" w:rsidRDefault="00E83D80" w:rsidP="00503A94">
                  <w:pPr>
                    <w:spacing w:before="60" w:after="60" w:line="276" w:lineRule="auto"/>
                    <w:rPr>
                      <w:rFonts w:ascii="Arial" w:eastAsia="Calibri" w:hAnsi="Arial" w:cs="Arial"/>
                      <w:b/>
                      <w:bCs/>
                      <w:sz w:val="20"/>
                      <w:szCs w:val="20"/>
                    </w:rPr>
                  </w:pPr>
                  <w:r>
                    <w:rPr>
                      <w:rFonts w:ascii="Arial" w:hAnsi="Arial" w:cs="Arial"/>
                      <w:b/>
                      <w:bCs/>
                      <w:sz w:val="20"/>
                      <w:szCs w:val="20"/>
                    </w:rPr>
                    <w:t>Item</w:t>
                  </w:r>
                </w:p>
              </w:tc>
              <w:tc>
                <w:tcPr>
                  <w:tcW w:w="162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E83D80" w:rsidRPr="003C1CBF" w:rsidRDefault="00E83D80" w:rsidP="00503A94">
                  <w:pPr>
                    <w:spacing w:before="60" w:after="60" w:line="276" w:lineRule="auto"/>
                    <w:rPr>
                      <w:rFonts w:ascii="Arial" w:eastAsia="Calibri" w:hAnsi="Arial" w:cs="Arial"/>
                      <w:b/>
                      <w:bCs/>
                      <w:sz w:val="20"/>
                      <w:szCs w:val="20"/>
                    </w:rPr>
                  </w:pPr>
                  <w:r>
                    <w:rPr>
                      <w:rFonts w:ascii="Arial" w:hAnsi="Arial" w:cs="Arial"/>
                      <w:b/>
                      <w:bCs/>
                      <w:sz w:val="20"/>
                      <w:szCs w:val="20"/>
                    </w:rPr>
                    <w:t>Weighting %</w:t>
                  </w:r>
                </w:p>
              </w:tc>
            </w:tr>
            <w:tr w:rsidR="00E83D80" w:rsidTr="00503A94">
              <w:tc>
                <w:tcPr>
                  <w:tcW w:w="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D80" w:rsidRPr="003C1CBF" w:rsidRDefault="00E83D80" w:rsidP="00E83D80">
                  <w:pPr>
                    <w:numPr>
                      <w:ilvl w:val="0"/>
                      <w:numId w:val="1"/>
                    </w:numPr>
                    <w:spacing w:before="40" w:after="40" w:line="276" w:lineRule="auto"/>
                    <w:rPr>
                      <w:rFonts w:ascii="Arial" w:eastAsia="Calibri" w:hAnsi="Arial" w:cs="Arial"/>
                      <w:sz w:val="20"/>
                      <w:szCs w:val="20"/>
                    </w:rPr>
                  </w:pPr>
                </w:p>
              </w:tc>
              <w:tc>
                <w:tcPr>
                  <w:tcW w:w="7516"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rPr>
                      <w:rFonts w:ascii="Arial" w:eastAsia="Calibri" w:hAnsi="Arial" w:cs="Arial"/>
                      <w:sz w:val="20"/>
                      <w:szCs w:val="20"/>
                    </w:rPr>
                  </w:pPr>
                  <w:r>
                    <w:rPr>
                      <w:rFonts w:ascii="Arial" w:hAnsi="Arial" w:cs="Arial"/>
                      <w:sz w:val="20"/>
                      <w:szCs w:val="20"/>
                    </w:rPr>
                    <w:t>Understanding of the brief and requirements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jc w:val="center"/>
                    <w:rPr>
                      <w:rFonts w:ascii="Arial" w:eastAsia="Calibri" w:hAnsi="Arial" w:cs="Arial"/>
                      <w:sz w:val="20"/>
                      <w:szCs w:val="20"/>
                    </w:rPr>
                  </w:pPr>
                  <w:r>
                    <w:rPr>
                      <w:rFonts w:ascii="Arial" w:hAnsi="Arial" w:cs="Arial"/>
                      <w:sz w:val="20"/>
                      <w:szCs w:val="20"/>
                    </w:rPr>
                    <w:t>20%</w:t>
                  </w:r>
                </w:p>
              </w:tc>
            </w:tr>
            <w:tr w:rsidR="00E83D80" w:rsidTr="00503A94">
              <w:tc>
                <w:tcPr>
                  <w:tcW w:w="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D80" w:rsidRPr="003C1CBF" w:rsidRDefault="00E83D80" w:rsidP="00E83D80">
                  <w:pPr>
                    <w:numPr>
                      <w:ilvl w:val="0"/>
                      <w:numId w:val="1"/>
                    </w:numPr>
                    <w:spacing w:before="40" w:after="40" w:line="276" w:lineRule="auto"/>
                    <w:rPr>
                      <w:rFonts w:ascii="Arial" w:eastAsia="Calibri" w:hAnsi="Arial" w:cs="Arial"/>
                      <w:sz w:val="20"/>
                      <w:szCs w:val="20"/>
                    </w:rPr>
                  </w:pPr>
                </w:p>
              </w:tc>
              <w:tc>
                <w:tcPr>
                  <w:tcW w:w="7516"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rPr>
                      <w:rFonts w:ascii="Arial" w:eastAsia="Calibri" w:hAnsi="Arial" w:cs="Arial"/>
                      <w:sz w:val="20"/>
                      <w:szCs w:val="20"/>
                    </w:rPr>
                  </w:pPr>
                  <w:r>
                    <w:rPr>
                      <w:rFonts w:ascii="Arial" w:hAnsi="Arial" w:cs="Arial"/>
                      <w:sz w:val="20"/>
                      <w:szCs w:val="20"/>
                    </w:rPr>
                    <w:t xml:space="preserve">Approach and methodology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jc w:val="center"/>
                    <w:rPr>
                      <w:rFonts w:ascii="Arial" w:eastAsia="Calibri" w:hAnsi="Arial" w:cs="Arial"/>
                      <w:sz w:val="20"/>
                      <w:szCs w:val="20"/>
                    </w:rPr>
                  </w:pPr>
                  <w:r>
                    <w:rPr>
                      <w:rFonts w:ascii="Arial" w:hAnsi="Arial" w:cs="Arial"/>
                      <w:sz w:val="20"/>
                      <w:szCs w:val="20"/>
                    </w:rPr>
                    <w:t>25%</w:t>
                  </w:r>
                </w:p>
              </w:tc>
            </w:tr>
            <w:tr w:rsidR="00E83D80" w:rsidTr="00503A94">
              <w:tc>
                <w:tcPr>
                  <w:tcW w:w="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D80" w:rsidRPr="003C1CBF" w:rsidRDefault="00E83D80" w:rsidP="00E83D80">
                  <w:pPr>
                    <w:numPr>
                      <w:ilvl w:val="0"/>
                      <w:numId w:val="1"/>
                    </w:numPr>
                    <w:spacing w:before="40" w:after="40" w:line="276" w:lineRule="auto"/>
                    <w:rPr>
                      <w:rFonts w:ascii="Arial" w:eastAsia="Calibri" w:hAnsi="Arial" w:cs="Arial"/>
                      <w:sz w:val="20"/>
                      <w:szCs w:val="20"/>
                    </w:rPr>
                  </w:pPr>
                </w:p>
              </w:tc>
              <w:tc>
                <w:tcPr>
                  <w:tcW w:w="7516"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rPr>
                      <w:rFonts w:ascii="Arial" w:eastAsia="Calibri" w:hAnsi="Arial" w:cs="Arial"/>
                      <w:sz w:val="20"/>
                      <w:szCs w:val="20"/>
                    </w:rPr>
                  </w:pPr>
                  <w:r>
                    <w:rPr>
                      <w:rFonts w:ascii="Arial" w:hAnsi="Arial" w:cs="Arial"/>
                      <w:sz w:val="20"/>
                      <w:szCs w:val="20"/>
                    </w:rPr>
                    <w:t xml:space="preserve">Knowledge and experience of the professional team (cite contract specific experiences)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jc w:val="center"/>
                    <w:rPr>
                      <w:rFonts w:ascii="Arial" w:eastAsia="Calibri" w:hAnsi="Arial" w:cs="Arial"/>
                      <w:sz w:val="20"/>
                      <w:szCs w:val="20"/>
                    </w:rPr>
                  </w:pPr>
                  <w:r>
                    <w:rPr>
                      <w:rFonts w:ascii="Arial" w:hAnsi="Arial" w:cs="Arial"/>
                      <w:sz w:val="20"/>
                      <w:szCs w:val="20"/>
                    </w:rPr>
                    <w:t>20%</w:t>
                  </w:r>
                </w:p>
              </w:tc>
            </w:tr>
            <w:tr w:rsidR="00E83D80" w:rsidTr="00503A94">
              <w:tc>
                <w:tcPr>
                  <w:tcW w:w="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D80" w:rsidRPr="003C1CBF" w:rsidRDefault="00E83D80" w:rsidP="00E83D80">
                  <w:pPr>
                    <w:numPr>
                      <w:ilvl w:val="0"/>
                      <w:numId w:val="1"/>
                    </w:numPr>
                    <w:spacing w:before="40" w:after="40" w:line="276" w:lineRule="auto"/>
                    <w:rPr>
                      <w:rFonts w:ascii="Arial" w:eastAsia="Calibri" w:hAnsi="Arial" w:cs="Arial"/>
                      <w:sz w:val="20"/>
                      <w:szCs w:val="20"/>
                    </w:rPr>
                  </w:pPr>
                </w:p>
              </w:tc>
              <w:tc>
                <w:tcPr>
                  <w:tcW w:w="7516"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rPr>
                      <w:rFonts w:ascii="Arial" w:eastAsia="Calibri" w:hAnsi="Arial" w:cs="Arial"/>
                      <w:sz w:val="20"/>
                      <w:szCs w:val="20"/>
                    </w:rPr>
                  </w:pPr>
                  <w:r>
                    <w:rPr>
                      <w:rFonts w:ascii="Arial" w:hAnsi="Arial" w:cs="Arial"/>
                      <w:sz w:val="20"/>
                      <w:szCs w:val="20"/>
                    </w:rPr>
                    <w:t>Ability to meet timescales, proposed programme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jc w:val="center"/>
                    <w:rPr>
                      <w:rFonts w:ascii="Arial" w:eastAsia="Calibri" w:hAnsi="Arial" w:cs="Arial"/>
                      <w:sz w:val="20"/>
                      <w:szCs w:val="20"/>
                    </w:rPr>
                  </w:pPr>
                  <w:r>
                    <w:rPr>
                      <w:rFonts w:ascii="Arial" w:hAnsi="Arial" w:cs="Arial"/>
                      <w:sz w:val="20"/>
                      <w:szCs w:val="20"/>
                    </w:rPr>
                    <w:t>15%</w:t>
                  </w:r>
                </w:p>
              </w:tc>
            </w:tr>
            <w:tr w:rsidR="00E83D80" w:rsidTr="00503A94">
              <w:tc>
                <w:tcPr>
                  <w:tcW w:w="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D80" w:rsidRPr="003C1CBF" w:rsidRDefault="00E83D80" w:rsidP="00E83D80">
                  <w:pPr>
                    <w:numPr>
                      <w:ilvl w:val="0"/>
                      <w:numId w:val="1"/>
                    </w:numPr>
                    <w:spacing w:before="40" w:after="40" w:line="276" w:lineRule="auto"/>
                    <w:rPr>
                      <w:rFonts w:ascii="Arial" w:eastAsia="Calibri" w:hAnsi="Arial" w:cs="Arial"/>
                      <w:sz w:val="20"/>
                      <w:szCs w:val="20"/>
                    </w:rPr>
                  </w:pPr>
                </w:p>
              </w:tc>
              <w:tc>
                <w:tcPr>
                  <w:tcW w:w="7516"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rPr>
                      <w:rFonts w:ascii="Arial" w:eastAsia="Calibri" w:hAnsi="Arial" w:cs="Arial"/>
                      <w:sz w:val="20"/>
                      <w:szCs w:val="20"/>
                    </w:rPr>
                  </w:pPr>
                  <w:r>
                    <w:rPr>
                      <w:rFonts w:ascii="Arial" w:hAnsi="Arial" w:cs="Arial"/>
                      <w:sz w:val="20"/>
                      <w:szCs w:val="20"/>
                    </w:rPr>
                    <w:t>Price / Value for money (based on fee proposal)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E83D80" w:rsidRPr="003C1CBF" w:rsidRDefault="00E83D80" w:rsidP="00503A94">
                  <w:pPr>
                    <w:spacing w:before="40" w:after="40" w:line="276" w:lineRule="auto"/>
                    <w:jc w:val="center"/>
                    <w:rPr>
                      <w:rFonts w:ascii="Arial" w:eastAsia="Calibri" w:hAnsi="Arial" w:cs="Arial"/>
                      <w:sz w:val="20"/>
                      <w:szCs w:val="20"/>
                    </w:rPr>
                  </w:pPr>
                  <w:r>
                    <w:rPr>
                      <w:rFonts w:ascii="Arial" w:hAnsi="Arial" w:cs="Arial"/>
                      <w:sz w:val="20"/>
                      <w:szCs w:val="20"/>
                    </w:rPr>
                    <w:t>20%</w:t>
                  </w:r>
                </w:p>
              </w:tc>
            </w:tr>
          </w:tbl>
          <w:p w:rsidR="00E83D80" w:rsidRDefault="00E83D80" w:rsidP="00503A94">
            <w:pPr>
              <w:rPr>
                <w:rFonts w:ascii="Arial" w:hAnsi="Arial" w:cs="Arial"/>
                <w:b/>
                <w:bCs/>
                <w:i/>
                <w:iCs/>
                <w:sz w:val="20"/>
                <w:szCs w:val="20"/>
              </w:rPr>
            </w:pPr>
          </w:p>
          <w:p w:rsidR="00E83D80" w:rsidRDefault="00E83D80" w:rsidP="00503A94">
            <w:pPr>
              <w:autoSpaceDE w:val="0"/>
              <w:autoSpaceDN w:val="0"/>
              <w:adjustRightInd w:val="0"/>
              <w:spacing w:line="240" w:lineRule="atLeast"/>
              <w:rPr>
                <w:rFonts w:ascii="Arial" w:hAnsi="Arial" w:cs="Arial"/>
                <w:sz w:val="20"/>
                <w:szCs w:val="20"/>
              </w:rPr>
            </w:pPr>
          </w:p>
        </w:tc>
      </w:tr>
      <w:tr w:rsidR="00E83D80" w:rsidTr="00503A94">
        <w:tblPrEx>
          <w:tblCellMar>
            <w:top w:w="0" w:type="dxa"/>
            <w:bottom w:w="0" w:type="dxa"/>
          </w:tblCellMar>
        </w:tblPrEx>
        <w:trPr>
          <w:trHeight w:val="630"/>
        </w:trPr>
        <w:tc>
          <w:tcPr>
            <w:tcW w:w="8455" w:type="dxa"/>
            <w:vAlign w:val="center"/>
          </w:tcPr>
          <w:p w:rsidR="00E83D80" w:rsidRPr="00DE4B47" w:rsidRDefault="00E83D80" w:rsidP="00503A94">
            <w:pPr>
              <w:pStyle w:val="Heading4"/>
              <w:jc w:val="left"/>
              <w:rPr>
                <w:b w:val="0"/>
                <w:szCs w:val="20"/>
              </w:rPr>
            </w:pPr>
            <w:r>
              <w:rPr>
                <w:szCs w:val="20"/>
              </w:rPr>
              <w:lastRenderedPageBreak/>
              <w:t xml:space="preserve">Date response required by: </w:t>
            </w:r>
            <w:r>
              <w:rPr>
                <w:b w:val="0"/>
                <w:szCs w:val="20"/>
              </w:rPr>
              <w:t>11 December 2015</w:t>
            </w:r>
          </w:p>
          <w:p w:rsidR="00E83D80" w:rsidRDefault="00E83D80" w:rsidP="00503A94">
            <w:pPr>
              <w:rPr>
                <w:sz w:val="20"/>
                <w:szCs w:val="20"/>
              </w:rPr>
            </w:pPr>
          </w:p>
        </w:tc>
      </w:tr>
    </w:tbl>
    <w:p w:rsidR="00E83D80" w:rsidRDefault="00E83D80" w:rsidP="00E83D80">
      <w:pPr>
        <w:jc w:val="both"/>
        <w:rPr>
          <w:rFonts w:ascii="Arial" w:hAnsi="Arial" w:cs="Arial"/>
          <w:b/>
        </w:rPr>
      </w:pPr>
    </w:p>
    <w:p w:rsidR="00BB2D6A" w:rsidRDefault="00E83D80">
      <w:bookmarkStart w:id="0" w:name="_GoBack"/>
      <w:bookmarkEnd w:id="0"/>
    </w:p>
    <w:sectPr w:rsidR="00BB2D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80" w:rsidRDefault="00E83D80" w:rsidP="00E83D80">
      <w:r>
        <w:separator/>
      </w:r>
    </w:p>
  </w:endnote>
  <w:endnote w:type="continuationSeparator" w:id="0">
    <w:p w:rsidR="00E83D80" w:rsidRDefault="00E83D80" w:rsidP="00E8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80" w:rsidRDefault="00E83D80" w:rsidP="00E83D80">
      <w:r>
        <w:separator/>
      </w:r>
    </w:p>
  </w:footnote>
  <w:footnote w:type="continuationSeparator" w:id="0">
    <w:p w:rsidR="00E83D80" w:rsidRDefault="00E83D80" w:rsidP="00E83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B05"/>
    <w:multiLevelType w:val="hybridMultilevel"/>
    <w:tmpl w:val="5EE84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9E7F02"/>
    <w:multiLevelType w:val="hybridMultilevel"/>
    <w:tmpl w:val="71206FB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nsid w:val="0B71145D"/>
    <w:multiLevelType w:val="hybridMultilevel"/>
    <w:tmpl w:val="772A0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E95EB6"/>
    <w:multiLevelType w:val="hybridMultilevel"/>
    <w:tmpl w:val="7A8A6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B01088"/>
    <w:multiLevelType w:val="hybridMultilevel"/>
    <w:tmpl w:val="99BA2296"/>
    <w:lvl w:ilvl="0" w:tplc="0809000F">
      <w:start w:val="1"/>
      <w:numFmt w:val="decimal"/>
      <w:lvlText w:val="%1."/>
      <w:lvlJc w:val="left"/>
      <w:pPr>
        <w:tabs>
          <w:tab w:val="num" w:pos="360"/>
        </w:tabs>
        <w:ind w:left="360" w:hanging="360"/>
      </w:pPr>
    </w:lvl>
    <w:lvl w:ilvl="1" w:tplc="91C23D8E">
      <w:start w:val="8"/>
      <w:numFmt w:val="bullet"/>
      <w:lvlText w:val="-"/>
      <w:lvlJc w:val="left"/>
      <w:pPr>
        <w:tabs>
          <w:tab w:val="num" w:pos="1080"/>
        </w:tabs>
        <w:ind w:left="1080" w:hanging="360"/>
      </w:pPr>
      <w:rPr>
        <w:rFonts w:ascii="Arial" w:eastAsia="Times New Roman" w:hAnsi="Arial" w:cs="Aria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nsid w:val="55FC75E1"/>
    <w:multiLevelType w:val="hybridMultilevel"/>
    <w:tmpl w:val="CC765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2114A3"/>
    <w:multiLevelType w:val="hybridMultilevel"/>
    <w:tmpl w:val="F9B6722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80"/>
    <w:rsid w:val="00AC6122"/>
    <w:rsid w:val="00E83D80"/>
    <w:rsid w:val="00EF3C82"/>
    <w:rsid w:val="00FF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8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83D80"/>
    <w:pPr>
      <w:keepNext/>
      <w:jc w:val="center"/>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D80"/>
    <w:pPr>
      <w:tabs>
        <w:tab w:val="center" w:pos="4513"/>
        <w:tab w:val="right" w:pos="9026"/>
      </w:tabs>
    </w:pPr>
  </w:style>
  <w:style w:type="character" w:customStyle="1" w:styleId="HeaderChar">
    <w:name w:val="Header Char"/>
    <w:basedOn w:val="DefaultParagraphFont"/>
    <w:link w:val="Header"/>
    <w:uiPriority w:val="99"/>
    <w:rsid w:val="00E83D80"/>
  </w:style>
  <w:style w:type="paragraph" w:styleId="Footer">
    <w:name w:val="footer"/>
    <w:basedOn w:val="Normal"/>
    <w:link w:val="FooterChar"/>
    <w:uiPriority w:val="99"/>
    <w:unhideWhenUsed/>
    <w:rsid w:val="00E83D80"/>
    <w:pPr>
      <w:tabs>
        <w:tab w:val="center" w:pos="4513"/>
        <w:tab w:val="right" w:pos="9026"/>
      </w:tabs>
    </w:pPr>
  </w:style>
  <w:style w:type="character" w:customStyle="1" w:styleId="FooterChar">
    <w:name w:val="Footer Char"/>
    <w:basedOn w:val="DefaultParagraphFont"/>
    <w:link w:val="Footer"/>
    <w:uiPriority w:val="99"/>
    <w:rsid w:val="00E83D80"/>
  </w:style>
  <w:style w:type="character" w:customStyle="1" w:styleId="Heading4Char">
    <w:name w:val="Heading 4 Char"/>
    <w:basedOn w:val="DefaultParagraphFont"/>
    <w:link w:val="Heading4"/>
    <w:rsid w:val="00E83D80"/>
    <w:rPr>
      <w:rFonts w:ascii="Arial" w:eastAsia="Times New Roman" w:hAnsi="Arial" w:cs="Arial"/>
      <w:b/>
      <w:bCs/>
      <w:sz w:val="20"/>
      <w:szCs w:val="24"/>
    </w:rPr>
  </w:style>
  <w:style w:type="paragraph" w:customStyle="1" w:styleId="wpBodyText">
    <w:name w:val="wp Body Text"/>
    <w:rsid w:val="00E83D80"/>
    <w:pPr>
      <w:spacing w:after="180" w:line="288" w:lineRule="auto"/>
      <w:jc w:val="both"/>
    </w:pPr>
    <w:rPr>
      <w:rFonts w:ascii="Times New Roman" w:eastAsia="Times New Roman" w:hAnsi="Times New Roman" w:cs="Times New Roman"/>
      <w:lang w:eastAsia="en-GB"/>
    </w:rPr>
  </w:style>
  <w:style w:type="paragraph" w:styleId="ListParagraph">
    <w:name w:val="List Paragraph"/>
    <w:basedOn w:val="Normal"/>
    <w:uiPriority w:val="34"/>
    <w:qFormat/>
    <w:rsid w:val="00E83D8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8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83D80"/>
    <w:pPr>
      <w:keepNext/>
      <w:jc w:val="center"/>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D80"/>
    <w:pPr>
      <w:tabs>
        <w:tab w:val="center" w:pos="4513"/>
        <w:tab w:val="right" w:pos="9026"/>
      </w:tabs>
    </w:pPr>
  </w:style>
  <w:style w:type="character" w:customStyle="1" w:styleId="HeaderChar">
    <w:name w:val="Header Char"/>
    <w:basedOn w:val="DefaultParagraphFont"/>
    <w:link w:val="Header"/>
    <w:uiPriority w:val="99"/>
    <w:rsid w:val="00E83D80"/>
  </w:style>
  <w:style w:type="paragraph" w:styleId="Footer">
    <w:name w:val="footer"/>
    <w:basedOn w:val="Normal"/>
    <w:link w:val="FooterChar"/>
    <w:uiPriority w:val="99"/>
    <w:unhideWhenUsed/>
    <w:rsid w:val="00E83D80"/>
    <w:pPr>
      <w:tabs>
        <w:tab w:val="center" w:pos="4513"/>
        <w:tab w:val="right" w:pos="9026"/>
      </w:tabs>
    </w:pPr>
  </w:style>
  <w:style w:type="character" w:customStyle="1" w:styleId="FooterChar">
    <w:name w:val="Footer Char"/>
    <w:basedOn w:val="DefaultParagraphFont"/>
    <w:link w:val="Footer"/>
    <w:uiPriority w:val="99"/>
    <w:rsid w:val="00E83D80"/>
  </w:style>
  <w:style w:type="character" w:customStyle="1" w:styleId="Heading4Char">
    <w:name w:val="Heading 4 Char"/>
    <w:basedOn w:val="DefaultParagraphFont"/>
    <w:link w:val="Heading4"/>
    <w:rsid w:val="00E83D80"/>
    <w:rPr>
      <w:rFonts w:ascii="Arial" w:eastAsia="Times New Roman" w:hAnsi="Arial" w:cs="Arial"/>
      <w:b/>
      <w:bCs/>
      <w:sz w:val="20"/>
      <w:szCs w:val="24"/>
    </w:rPr>
  </w:style>
  <w:style w:type="paragraph" w:customStyle="1" w:styleId="wpBodyText">
    <w:name w:val="wp Body Text"/>
    <w:rsid w:val="00E83D80"/>
    <w:pPr>
      <w:spacing w:after="180" w:line="288" w:lineRule="auto"/>
      <w:jc w:val="both"/>
    </w:pPr>
    <w:rPr>
      <w:rFonts w:ascii="Times New Roman" w:eastAsia="Times New Roman" w:hAnsi="Times New Roman" w:cs="Times New Roman"/>
      <w:lang w:eastAsia="en-GB"/>
    </w:rPr>
  </w:style>
  <w:style w:type="paragraph" w:styleId="ListParagraph">
    <w:name w:val="List Paragraph"/>
    <w:basedOn w:val="Normal"/>
    <w:uiPriority w:val="34"/>
    <w:qFormat/>
    <w:rsid w:val="00E83D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194BE792-31C9-49C6-A135-76CAD871E45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Prince</dc:creator>
  <cp:lastModifiedBy>Jessica Prince</cp:lastModifiedBy>
  <cp:revision>1</cp:revision>
  <dcterms:created xsi:type="dcterms:W3CDTF">2015-11-25T11:51:00Z</dcterms:created>
  <dcterms:modified xsi:type="dcterms:W3CDTF">2015-11-25T11:58:00Z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7cd15736-1e29-43fc-a769-c84604b9f4ac</vt:lpwstr>
  </property>
  <property fmtid="{D5CDD505-2E9C-101B-9397-08002B2CF9AE}" pid="3" name="bjSaver">
    <vt:lpwstr>Dzt0jQmjeD78ZMpDenncNHK2t5SC8WHg</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