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C43A5" w14:textId="77777777" w:rsidR="004E05DC" w:rsidRPr="00B91478" w:rsidRDefault="00F770DB">
      <w:pPr>
        <w:pStyle w:val="GPSTITLES"/>
        <w:rPr>
          <w:rFonts w:ascii="Arial" w:hAnsi="Arial"/>
        </w:rPr>
      </w:pPr>
      <w:r w:rsidRPr="00B91478">
        <w:rPr>
          <w:rFonts w:ascii="Arial" w:hAnsi="Arial"/>
          <w:caps w:val="0"/>
        </w:rPr>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5B3862B0"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F5C4B3A" w14:textId="5A4EE5AA" w:rsidR="004E05DC" w:rsidRPr="0074664B" w:rsidRDefault="00F770DB" w:rsidP="0074664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r w:rsidRPr="00B91478">
        <w:rPr>
          <w:i/>
          <w:color w:val="1F497D"/>
        </w:rPr>
        <w:br w:type="page"/>
      </w:r>
      <w:r w:rsidRPr="00B91478">
        <w:lastRenderedPageBreak/>
        <w:t>PART 1 – CALL OFF ORDER FORM</w:t>
      </w:r>
    </w:p>
    <w:p w14:paraId="55868BD7" w14:textId="77777777" w:rsidR="004E05DC" w:rsidRPr="00B91478" w:rsidRDefault="004E05DC">
      <w:pPr>
        <w:pStyle w:val="GPSTITLES"/>
        <w:jc w:val="both"/>
        <w:rPr>
          <w:rFonts w:ascii="Arial" w:hAnsi="Arial"/>
          <w:i/>
        </w:rPr>
      </w:pPr>
    </w:p>
    <w:p w14:paraId="25AFA819" w14:textId="31979F4D" w:rsidR="004E05DC" w:rsidRDefault="00F770DB">
      <w:pPr>
        <w:pStyle w:val="ORDERFORML1SECTIONTITLE"/>
        <w:spacing w:before="0" w:after="0"/>
        <w:rPr>
          <w:rFonts w:cs="Arial"/>
        </w:rPr>
      </w:pPr>
      <w:r w:rsidRPr="00B91478">
        <w:rPr>
          <w:rFonts w:cs="Arial"/>
        </w:rPr>
        <w:t>SECTION A</w:t>
      </w:r>
    </w:p>
    <w:p w14:paraId="20C7265D" w14:textId="13178C03" w:rsidR="00A24DC3" w:rsidRDefault="00A24DC3">
      <w:pPr>
        <w:pStyle w:val="ORDERFORML1SECTIONTITLE"/>
        <w:spacing w:before="0" w:after="0"/>
        <w:rPr>
          <w:rFonts w:cs="Arial"/>
        </w:rPr>
      </w:pPr>
    </w:p>
    <w:p w14:paraId="529B34EB" w14:textId="51D58AB7" w:rsidR="00A24DC3" w:rsidRDefault="00A24DC3" w:rsidP="00A24DC3">
      <w:pPr>
        <w:spacing w:after="0"/>
        <w:ind w:left="0"/>
      </w:pPr>
      <w:r>
        <w:t>This Call Off Order Form is issued in accordance with the provisions of the Framework Agreement</w:t>
      </w:r>
      <w:r>
        <w:rPr>
          <w:rStyle w:val="FootnoteReference"/>
          <w:b/>
        </w:rPr>
        <w:t xml:space="preserve"> </w:t>
      </w:r>
      <w:r>
        <w:t>for the provision of Complex &amp; Transformation Consulta</w:t>
      </w:r>
      <w:r w:rsidR="00AA748D">
        <w:t>n</w:t>
      </w:r>
      <w:r>
        <w:t xml:space="preserve">cy Services (Lot 3) dated </w:t>
      </w:r>
      <w:r w:rsidR="001933FF">
        <w:t>4/9/20</w:t>
      </w:r>
      <w:r w:rsidR="00FE1705">
        <w:t>18</w:t>
      </w:r>
    </w:p>
    <w:p w14:paraId="2749F716" w14:textId="77777777" w:rsidR="00A24DC3" w:rsidRDefault="00A24DC3" w:rsidP="00A24DC3">
      <w:pPr>
        <w:spacing w:after="0"/>
        <w:ind w:left="0"/>
      </w:pPr>
    </w:p>
    <w:p w14:paraId="5B98D571" w14:textId="77777777" w:rsidR="00A24DC3" w:rsidRDefault="00A24DC3" w:rsidP="00A24DC3">
      <w:pPr>
        <w:spacing w:after="0"/>
        <w:ind w:left="0"/>
      </w:pPr>
      <w:r>
        <w:t xml:space="preserve">The Supplier agrees to supply the Services specified below on and subject to the terms of this Call Off Contract. </w:t>
      </w:r>
    </w:p>
    <w:p w14:paraId="114130B6" w14:textId="77777777" w:rsidR="00A24DC3" w:rsidRDefault="00A24DC3" w:rsidP="00A24DC3">
      <w:pPr>
        <w:spacing w:after="0"/>
        <w:ind w:left="0"/>
      </w:pPr>
    </w:p>
    <w:p w14:paraId="0CF675BC" w14:textId="21D2E463" w:rsidR="00A24DC3" w:rsidRDefault="00A24DC3" w:rsidP="00A24DC3">
      <w:pPr>
        <w:spacing w:after="0"/>
        <w:ind w:left="0"/>
      </w:pPr>
      <w:r>
        <w:t>For the avoidance of doubt this Call Off Contract consists of the terms set out in this Template Call Off Order Form and the Call Off Terms.</w:t>
      </w:r>
    </w:p>
    <w:p w14:paraId="329074F8" w14:textId="6AE4211D" w:rsidR="00796219" w:rsidRDefault="00796219" w:rsidP="00A24DC3">
      <w:pPr>
        <w:spacing w:after="0"/>
        <w:ind w:left="0"/>
      </w:pPr>
    </w:p>
    <w:p w14:paraId="739B4113" w14:textId="77777777" w:rsidR="00796219" w:rsidRPr="003041C9" w:rsidRDefault="00796219" w:rsidP="00796219">
      <w:pPr>
        <w:spacing w:before="24" w:after="24"/>
        <w:ind w:left="24" w:right="24"/>
        <w:rPr>
          <w:b/>
          <w:color w:val="000000"/>
          <w:sz w:val="16"/>
          <w:szCs w:val="16"/>
        </w:rPr>
      </w:pPr>
      <w:r w:rsidRPr="003041C9">
        <w:rPr>
          <w:b/>
          <w:color w:val="000000"/>
          <w:sz w:val="16"/>
          <w:szCs w:val="16"/>
        </w:rPr>
        <w:t> </w:t>
      </w:r>
    </w:p>
    <w:p w14:paraId="4CD73944" w14:textId="77777777" w:rsidR="00796219" w:rsidRPr="003041C9" w:rsidRDefault="00796219" w:rsidP="00A24DC3">
      <w:pPr>
        <w:spacing w:after="0"/>
        <w:ind w:left="0"/>
        <w:rPr>
          <w:b/>
        </w:rPr>
      </w:pPr>
    </w:p>
    <w:p w14:paraId="09631AD9" w14:textId="77777777" w:rsidR="00A24DC3" w:rsidRPr="00B91478" w:rsidRDefault="00A24DC3">
      <w:pPr>
        <w:pStyle w:val="ORDERFORML1SECTIONTITLE"/>
        <w:spacing w:before="0" w:after="0"/>
        <w:rPr>
          <w:rFonts w:cs="Arial"/>
        </w:rPr>
      </w:pPr>
    </w:p>
    <w:p w14:paraId="5ED09D9F" w14:textId="77777777" w:rsidR="004E05DC" w:rsidRPr="00B91478" w:rsidRDefault="004E05DC">
      <w:pPr>
        <w:pStyle w:val="ORDERFORML1SECTIONTITLE"/>
        <w:spacing w:before="0" w:after="0"/>
        <w:rPr>
          <w:rFonts w:cs="Arial"/>
        </w:rPr>
      </w:pPr>
    </w:p>
    <w:p w14:paraId="1B8D9F3F" w14:textId="77777777" w:rsidR="004E05DC" w:rsidRPr="00B91478" w:rsidRDefault="004E05DC">
      <w:pPr>
        <w:spacing w:after="0"/>
        <w:ind w:left="0"/>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513"/>
      </w:tblGrid>
      <w:tr w:rsidR="00605A42" w:rsidRPr="00B91478" w14:paraId="5702F89A" w14:textId="77777777" w:rsidTr="00605A42">
        <w:tc>
          <w:tcPr>
            <w:tcW w:w="1730" w:type="dxa"/>
            <w:shd w:val="clear" w:color="auto" w:fill="auto"/>
          </w:tcPr>
          <w:p w14:paraId="2322E185" w14:textId="77777777" w:rsidR="00605A42" w:rsidRPr="00B91478" w:rsidRDefault="00605A42">
            <w:pPr>
              <w:spacing w:after="0"/>
              <w:ind w:left="0"/>
              <w:jc w:val="left"/>
            </w:pPr>
            <w:r w:rsidRPr="00B91478">
              <w:t>Order Number</w:t>
            </w:r>
          </w:p>
        </w:tc>
        <w:tc>
          <w:tcPr>
            <w:tcW w:w="7513" w:type="dxa"/>
            <w:shd w:val="clear" w:color="auto" w:fill="auto"/>
          </w:tcPr>
          <w:p w14:paraId="0C32768C" w14:textId="5BD53854" w:rsidR="00605A42" w:rsidRPr="00B91478" w:rsidRDefault="00F67B72">
            <w:pPr>
              <w:spacing w:after="0"/>
              <w:ind w:left="0"/>
              <w:jc w:val="left"/>
              <w:rPr>
                <w:b/>
              </w:rPr>
            </w:pPr>
            <w:r>
              <w:rPr>
                <w:b/>
              </w:rPr>
              <w:t>tbc</w:t>
            </w:r>
          </w:p>
        </w:tc>
      </w:tr>
      <w:tr w:rsidR="00605A42" w:rsidRPr="00B91478" w14:paraId="403BB9AF" w14:textId="77777777" w:rsidTr="00605A42">
        <w:tc>
          <w:tcPr>
            <w:tcW w:w="1730" w:type="dxa"/>
            <w:shd w:val="clear" w:color="auto" w:fill="auto"/>
          </w:tcPr>
          <w:p w14:paraId="2807FDD8" w14:textId="77777777" w:rsidR="00605A42" w:rsidRPr="00B91478" w:rsidRDefault="00605A42">
            <w:pPr>
              <w:spacing w:after="0"/>
              <w:ind w:left="0"/>
              <w:jc w:val="left"/>
            </w:pPr>
            <w:r w:rsidRPr="00B91478">
              <w:t>From</w:t>
            </w:r>
          </w:p>
        </w:tc>
        <w:tc>
          <w:tcPr>
            <w:tcW w:w="7513" w:type="dxa"/>
            <w:shd w:val="clear" w:color="auto" w:fill="auto"/>
          </w:tcPr>
          <w:p w14:paraId="05556521" w14:textId="2331DDDB" w:rsidR="00605A42" w:rsidRDefault="008D297F">
            <w:pPr>
              <w:spacing w:after="0"/>
              <w:ind w:left="0"/>
              <w:jc w:val="left"/>
              <w:rPr>
                <w:b/>
                <w:spacing w:val="-3"/>
                <w:lang w:eastAsia="en-GB"/>
              </w:rPr>
            </w:pPr>
            <w:r>
              <w:rPr>
                <w:b/>
                <w:spacing w:val="-3"/>
                <w:lang w:eastAsia="en-GB"/>
              </w:rPr>
              <w:t>Tim Broughton</w:t>
            </w:r>
          </w:p>
          <w:p w14:paraId="4535A448" w14:textId="31BD8ABF" w:rsidR="00605A42" w:rsidRPr="00B91478" w:rsidRDefault="00605A42">
            <w:pPr>
              <w:spacing w:after="0"/>
              <w:ind w:left="0"/>
              <w:jc w:val="left"/>
              <w:rPr>
                <w:b/>
              </w:rPr>
            </w:pPr>
            <w:r>
              <w:rPr>
                <w:b/>
                <w:spacing w:val="-3"/>
                <w:lang w:eastAsia="en-GB"/>
              </w:rPr>
              <w:t>HM Revenue &amp; Customs</w:t>
            </w:r>
          </w:p>
        </w:tc>
      </w:tr>
      <w:tr w:rsidR="00605A42" w:rsidRPr="00B91478" w14:paraId="7BD8D56C" w14:textId="77777777" w:rsidTr="00605A42">
        <w:tc>
          <w:tcPr>
            <w:tcW w:w="1730" w:type="dxa"/>
            <w:shd w:val="clear" w:color="auto" w:fill="auto"/>
          </w:tcPr>
          <w:p w14:paraId="4E4F3801" w14:textId="77777777" w:rsidR="00605A42" w:rsidRPr="00B91478" w:rsidRDefault="00605A42">
            <w:pPr>
              <w:spacing w:after="0"/>
              <w:ind w:left="0"/>
              <w:jc w:val="left"/>
            </w:pPr>
            <w:r w:rsidRPr="00B91478">
              <w:t>To</w:t>
            </w:r>
          </w:p>
        </w:tc>
        <w:tc>
          <w:tcPr>
            <w:tcW w:w="7513" w:type="dxa"/>
            <w:shd w:val="clear" w:color="auto" w:fill="auto"/>
          </w:tcPr>
          <w:p w14:paraId="1D64140C" w14:textId="1A29E279" w:rsidR="00605A42" w:rsidRPr="00B91478" w:rsidRDefault="00796219">
            <w:pPr>
              <w:spacing w:after="0"/>
              <w:ind w:left="0"/>
              <w:jc w:val="left"/>
              <w:rPr>
                <w:b/>
              </w:rPr>
            </w:pPr>
            <w:r>
              <w:rPr>
                <w:b/>
              </w:rPr>
              <w:t>Rupert Steptoe</w:t>
            </w:r>
          </w:p>
        </w:tc>
      </w:tr>
      <w:tr w:rsidR="00605A42" w:rsidRPr="00B91478" w14:paraId="4CE953D5" w14:textId="77777777" w:rsidTr="00605A42">
        <w:tc>
          <w:tcPr>
            <w:tcW w:w="1730" w:type="dxa"/>
            <w:shd w:val="clear" w:color="auto" w:fill="auto"/>
          </w:tcPr>
          <w:p w14:paraId="6BDC539F" w14:textId="13BD171B" w:rsidR="00605A42" w:rsidRPr="00B91478" w:rsidRDefault="00605A42">
            <w:pPr>
              <w:spacing w:after="0"/>
              <w:ind w:left="0"/>
              <w:jc w:val="left"/>
            </w:pPr>
            <w:r>
              <w:t xml:space="preserve">Date </w:t>
            </w:r>
          </w:p>
        </w:tc>
        <w:tc>
          <w:tcPr>
            <w:tcW w:w="7513" w:type="dxa"/>
            <w:shd w:val="clear" w:color="auto" w:fill="auto"/>
          </w:tcPr>
          <w:p w14:paraId="7E80E23C" w14:textId="7B4B4A90" w:rsidR="00605A42" w:rsidRPr="00605A42" w:rsidRDefault="002C72B4" w:rsidP="00B02A10">
            <w:pPr>
              <w:spacing w:after="0"/>
              <w:ind w:left="0"/>
              <w:jc w:val="left"/>
              <w:rPr>
                <w:b/>
              </w:rPr>
            </w:pPr>
            <w:r>
              <w:rPr>
                <w:b/>
              </w:rPr>
              <w:t>10</w:t>
            </w:r>
            <w:r w:rsidR="00796219">
              <w:rPr>
                <w:b/>
              </w:rPr>
              <w:t>/02/20</w:t>
            </w:r>
          </w:p>
        </w:tc>
      </w:tr>
    </w:tbl>
    <w:p w14:paraId="48809AA0" w14:textId="77777777" w:rsidR="004E05DC" w:rsidRPr="00B91478" w:rsidRDefault="004E05DC">
      <w:pPr>
        <w:spacing w:after="0"/>
        <w:ind w:left="0"/>
      </w:pPr>
    </w:p>
    <w:p w14:paraId="08B8D8DA" w14:textId="77777777" w:rsidR="004E05DC" w:rsidRPr="00B91478" w:rsidRDefault="00F770DB">
      <w:pPr>
        <w:pStyle w:val="ORDERFORML1SECTIONTITLE"/>
        <w:spacing w:before="0" w:after="0"/>
        <w:rPr>
          <w:rFonts w:cs="Arial"/>
        </w:rPr>
      </w:pPr>
      <w:r w:rsidRPr="00B91478">
        <w:rPr>
          <w:rFonts w:cs="Arial"/>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676"/>
      </w:tblGrid>
      <w:tr w:rsidR="00605A42" w:rsidRPr="00B91478" w14:paraId="6525B5BF" w14:textId="77777777" w:rsidTr="00605A42">
        <w:tc>
          <w:tcPr>
            <w:tcW w:w="567" w:type="dxa"/>
          </w:tcPr>
          <w:p w14:paraId="7F884F55" w14:textId="77777777" w:rsidR="00605A42" w:rsidRPr="00B91478" w:rsidRDefault="00605A42" w:rsidP="0056106E">
            <w:pPr>
              <w:pStyle w:val="ORDERFORML1NONBOLDNONNUMBERTEXT"/>
              <w:numPr>
                <w:ilvl w:val="1"/>
                <w:numId w:val="17"/>
              </w:numPr>
              <w:spacing w:before="0" w:after="0"/>
              <w:rPr>
                <w:rFonts w:cs="Arial"/>
                <w:b/>
              </w:rPr>
            </w:pPr>
          </w:p>
        </w:tc>
        <w:tc>
          <w:tcPr>
            <w:tcW w:w="8676" w:type="dxa"/>
            <w:shd w:val="clear" w:color="auto" w:fill="auto"/>
          </w:tcPr>
          <w:p w14:paraId="7C773470" w14:textId="54D9C565" w:rsidR="00605A42" w:rsidRPr="00605A42" w:rsidRDefault="00605A42">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Pr>
                <w:rFonts w:eastAsia="STZhongsong"/>
                <w:lang w:eastAsia="zh-CN"/>
              </w:rPr>
              <w:t xml:space="preserve">: </w:t>
            </w:r>
            <w:r w:rsidR="002C72B4">
              <w:rPr>
                <w:rFonts w:eastAsia="STZhongsong"/>
                <w:lang w:eastAsia="zh-CN"/>
              </w:rPr>
              <w:t>10</w:t>
            </w:r>
            <w:r>
              <w:rPr>
                <w:rFonts w:eastAsia="STZhongsong"/>
                <w:lang w:eastAsia="zh-CN"/>
              </w:rPr>
              <w:t>/0</w:t>
            </w:r>
            <w:r w:rsidR="000C15C2">
              <w:rPr>
                <w:rFonts w:eastAsia="STZhongsong"/>
                <w:lang w:eastAsia="zh-CN"/>
              </w:rPr>
              <w:t>2</w:t>
            </w:r>
            <w:r>
              <w:rPr>
                <w:rFonts w:eastAsia="STZhongsong"/>
                <w:lang w:eastAsia="zh-CN"/>
              </w:rPr>
              <w:t>/</w:t>
            </w:r>
            <w:r w:rsidR="008D297F">
              <w:rPr>
                <w:rFonts w:eastAsia="STZhongsong"/>
                <w:lang w:eastAsia="zh-CN"/>
              </w:rPr>
              <w:t>20</w:t>
            </w:r>
            <w:r w:rsidR="00DC3E40">
              <w:rPr>
                <w:rFonts w:eastAsia="STZhongsong"/>
                <w:lang w:eastAsia="zh-CN"/>
              </w:rPr>
              <w:t>20</w:t>
            </w:r>
          </w:p>
        </w:tc>
      </w:tr>
      <w:tr w:rsidR="00605A42" w:rsidRPr="00B91478" w14:paraId="445F7B0C" w14:textId="77777777" w:rsidTr="00605A42">
        <w:tc>
          <w:tcPr>
            <w:tcW w:w="567" w:type="dxa"/>
          </w:tcPr>
          <w:p w14:paraId="72BA4E3B" w14:textId="77777777" w:rsidR="00605A42" w:rsidRPr="00B91478" w:rsidRDefault="00605A42">
            <w:pPr>
              <w:pStyle w:val="11table"/>
              <w:rPr>
                <w:rFonts w:ascii="Arial" w:hAnsi="Arial" w:cs="Arial"/>
              </w:rPr>
            </w:pPr>
            <w:r w:rsidRPr="00B91478">
              <w:rPr>
                <w:rFonts w:ascii="Arial" w:hAnsi="Arial" w:cs="Arial"/>
              </w:rPr>
              <w:t xml:space="preserve"> </w:t>
            </w:r>
          </w:p>
          <w:p w14:paraId="70581236" w14:textId="77777777" w:rsidR="00605A42" w:rsidRPr="00B91478" w:rsidRDefault="00605A42">
            <w:pPr>
              <w:overflowPunct/>
              <w:autoSpaceDE/>
              <w:autoSpaceDN/>
              <w:spacing w:after="0"/>
              <w:ind w:left="360"/>
              <w:jc w:val="left"/>
              <w:textAlignment w:val="auto"/>
              <w:rPr>
                <w:rFonts w:eastAsia="STZhongsong"/>
                <w:b/>
                <w:lang w:eastAsia="zh-CN"/>
              </w:rPr>
            </w:pPr>
          </w:p>
        </w:tc>
        <w:tc>
          <w:tcPr>
            <w:tcW w:w="8676" w:type="dxa"/>
            <w:shd w:val="clear" w:color="auto" w:fill="auto"/>
          </w:tcPr>
          <w:p w14:paraId="7DBF874B" w14:textId="77777777" w:rsidR="00605A42" w:rsidRPr="00B91478" w:rsidRDefault="00605A42">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37B634D1" w14:textId="77777777" w:rsidR="00605A42" w:rsidRPr="00B91478" w:rsidRDefault="00605A42">
            <w:pPr>
              <w:numPr>
                <w:ilvl w:val="1"/>
                <w:numId w:val="0"/>
              </w:numPr>
              <w:overflowPunct/>
              <w:autoSpaceDE/>
              <w:autoSpaceDN/>
              <w:spacing w:after="0"/>
              <w:jc w:val="left"/>
              <w:textAlignment w:val="auto"/>
              <w:rPr>
                <w:rFonts w:eastAsia="STZhongsong"/>
                <w:lang w:eastAsia="zh-CN"/>
              </w:rPr>
            </w:pPr>
          </w:p>
          <w:p w14:paraId="64151768" w14:textId="1B99D706" w:rsidR="00605A42" w:rsidRPr="00B91478" w:rsidRDefault="00605A42">
            <w:pPr>
              <w:overflowPunct/>
              <w:autoSpaceDE/>
              <w:autoSpaceDN/>
              <w:spacing w:after="0"/>
              <w:ind w:left="0"/>
              <w:jc w:val="left"/>
              <w:textAlignment w:val="auto"/>
              <w:rPr>
                <w:rFonts w:eastAsia="STZhongsong"/>
                <w:lang w:eastAsia="zh-CN"/>
              </w:rPr>
            </w:pPr>
            <w:r w:rsidRPr="00B91478">
              <w:rPr>
                <w:rFonts w:eastAsia="STZhongsong"/>
                <w:lang w:eastAsia="zh-CN"/>
              </w:rPr>
              <w:t>End date of Initial Period</w:t>
            </w:r>
            <w:r>
              <w:rPr>
                <w:rFonts w:eastAsia="STZhongsong"/>
                <w:lang w:eastAsia="zh-CN"/>
              </w:rPr>
              <w:t>:</w:t>
            </w:r>
            <w:r w:rsidRPr="00B91478">
              <w:rPr>
                <w:rFonts w:eastAsia="STZhongsong"/>
                <w:lang w:eastAsia="zh-CN"/>
              </w:rPr>
              <w:t xml:space="preserve"> </w:t>
            </w:r>
            <w:r w:rsidR="00077584">
              <w:rPr>
                <w:rFonts w:eastAsia="STZhongsong"/>
                <w:lang w:eastAsia="zh-CN"/>
              </w:rPr>
              <w:t>04/05/2020</w:t>
            </w:r>
          </w:p>
          <w:p w14:paraId="182FD6B0" w14:textId="77777777" w:rsidR="00605A42" w:rsidRPr="00B91478" w:rsidRDefault="00605A42">
            <w:pPr>
              <w:overflowPunct/>
              <w:autoSpaceDE/>
              <w:autoSpaceDN/>
              <w:spacing w:after="0"/>
              <w:ind w:left="0"/>
              <w:jc w:val="left"/>
              <w:textAlignment w:val="auto"/>
              <w:rPr>
                <w:rFonts w:eastAsia="STZhongsong"/>
                <w:lang w:eastAsia="zh-CN"/>
              </w:rPr>
            </w:pPr>
          </w:p>
          <w:p w14:paraId="3DDB9F1C" w14:textId="3824539A" w:rsidR="00605A42" w:rsidRDefault="00605A42" w:rsidP="00BB4A0B">
            <w:pPr>
              <w:overflowPunct/>
              <w:autoSpaceDE/>
              <w:autoSpaceDN/>
              <w:spacing w:after="0"/>
              <w:ind w:left="0"/>
              <w:textAlignment w:val="auto"/>
              <w:rPr>
                <w:rFonts w:eastAsia="STZhongsong"/>
                <w:lang w:eastAsia="zh-CN"/>
              </w:rPr>
            </w:pPr>
            <w:r w:rsidRPr="00B91478">
              <w:rPr>
                <w:rFonts w:eastAsia="STZhongsong"/>
                <w:lang w:eastAsia="zh-CN"/>
              </w:rPr>
              <w:t>End date of Extension Period</w:t>
            </w:r>
            <w:r>
              <w:rPr>
                <w:rFonts w:eastAsia="STZhongsong"/>
                <w:lang w:eastAsia="zh-CN"/>
              </w:rPr>
              <w:t>:</w:t>
            </w:r>
            <w:r w:rsidRPr="00B91478">
              <w:rPr>
                <w:rFonts w:eastAsia="STZhongsong"/>
                <w:lang w:eastAsia="zh-CN"/>
              </w:rPr>
              <w:t xml:space="preserve"> </w:t>
            </w:r>
            <w:r w:rsidR="00077584">
              <w:rPr>
                <w:rFonts w:eastAsia="STZhongsong"/>
                <w:lang w:eastAsia="zh-CN"/>
              </w:rPr>
              <w:t>n/a</w:t>
            </w:r>
          </w:p>
          <w:p w14:paraId="02A1A95A" w14:textId="77777777" w:rsidR="008D297F" w:rsidRPr="00B91478" w:rsidRDefault="008D297F" w:rsidP="00BB4A0B">
            <w:pPr>
              <w:overflowPunct/>
              <w:autoSpaceDE/>
              <w:autoSpaceDN/>
              <w:spacing w:after="0"/>
              <w:ind w:left="0"/>
              <w:textAlignment w:val="auto"/>
              <w:rPr>
                <w:rFonts w:eastAsia="STZhongsong"/>
                <w:b/>
                <w:lang w:eastAsia="zh-CN"/>
              </w:rPr>
            </w:pPr>
          </w:p>
          <w:p w14:paraId="2D73D981" w14:textId="33B369A4" w:rsidR="00605A42" w:rsidRPr="00B91478" w:rsidRDefault="00605A42" w:rsidP="00BB4A0B">
            <w:pPr>
              <w:overflowPunct/>
              <w:autoSpaceDE/>
              <w:autoSpaceDN/>
              <w:spacing w:after="0"/>
              <w:ind w:left="0"/>
              <w:textAlignment w:val="auto"/>
              <w:rPr>
                <w:rFonts w:eastAsia="STZhongsong"/>
                <w:lang w:eastAsia="zh-CN"/>
              </w:rPr>
            </w:pPr>
            <w:r w:rsidRPr="00B91478">
              <w:rPr>
                <w:rFonts w:eastAsia="STZhongsong"/>
                <w:lang w:eastAsia="zh-CN"/>
              </w:rPr>
              <w:t xml:space="preserve">Minimum written notice to Supplier in respect of extension: </w:t>
            </w:r>
            <w:r w:rsidR="008D297F">
              <w:rPr>
                <w:rFonts w:eastAsia="STZhongsong"/>
                <w:lang w:eastAsia="zh-CN"/>
              </w:rPr>
              <w:t>1 month</w:t>
            </w:r>
          </w:p>
          <w:p w14:paraId="506BE5A8" w14:textId="77777777" w:rsidR="00605A42" w:rsidRPr="00B91478" w:rsidRDefault="00605A42">
            <w:pPr>
              <w:overflowPunct/>
              <w:autoSpaceDE/>
              <w:autoSpaceDN/>
              <w:spacing w:after="0"/>
              <w:ind w:left="0"/>
              <w:jc w:val="left"/>
              <w:textAlignment w:val="auto"/>
              <w:rPr>
                <w:rFonts w:eastAsia="STZhongsong"/>
                <w:lang w:eastAsia="zh-CN"/>
              </w:rPr>
            </w:pPr>
          </w:p>
        </w:tc>
      </w:tr>
    </w:tbl>
    <w:p w14:paraId="1E004CCF" w14:textId="77777777" w:rsidR="004E05DC" w:rsidRDefault="004E05DC">
      <w:pPr>
        <w:pStyle w:val="ORDERFORML1PraraNo"/>
        <w:numPr>
          <w:ilvl w:val="0"/>
          <w:numId w:val="0"/>
        </w:numPr>
        <w:ind w:left="426" w:hanging="426"/>
        <w:rPr>
          <w:rFonts w:ascii="Arial" w:hAnsi="Arial" w:cs="Arial"/>
        </w:rPr>
      </w:pPr>
    </w:p>
    <w:p w14:paraId="4B66E78D" w14:textId="77777777" w:rsidR="00605A42" w:rsidRDefault="00605A42">
      <w:pPr>
        <w:pStyle w:val="ORDERFORML1PraraNo"/>
        <w:numPr>
          <w:ilvl w:val="0"/>
          <w:numId w:val="0"/>
        </w:numPr>
        <w:ind w:left="426" w:hanging="426"/>
        <w:rPr>
          <w:rFonts w:ascii="Arial" w:hAnsi="Arial" w:cs="Arial"/>
        </w:rPr>
      </w:pPr>
    </w:p>
    <w:p w14:paraId="45CDD7E6" w14:textId="77777777" w:rsidR="00605A42" w:rsidRDefault="00605A42">
      <w:pPr>
        <w:pStyle w:val="ORDERFORML1PraraNo"/>
        <w:numPr>
          <w:ilvl w:val="0"/>
          <w:numId w:val="0"/>
        </w:numPr>
        <w:ind w:left="426" w:hanging="426"/>
        <w:rPr>
          <w:rFonts w:ascii="Arial" w:hAnsi="Arial" w:cs="Arial"/>
        </w:rPr>
      </w:pPr>
    </w:p>
    <w:p w14:paraId="04E07DEE" w14:textId="77777777" w:rsidR="00605A42" w:rsidRDefault="00605A42">
      <w:pPr>
        <w:pStyle w:val="ORDERFORML1PraraNo"/>
        <w:numPr>
          <w:ilvl w:val="0"/>
          <w:numId w:val="0"/>
        </w:numPr>
        <w:ind w:left="426" w:hanging="426"/>
        <w:rPr>
          <w:rFonts w:ascii="Arial" w:hAnsi="Arial" w:cs="Arial"/>
        </w:rPr>
      </w:pPr>
    </w:p>
    <w:p w14:paraId="3A6492A0" w14:textId="77777777" w:rsidR="00F46C54" w:rsidRDefault="00F46C54">
      <w:pPr>
        <w:pStyle w:val="ORDERFORML1PraraNo"/>
        <w:numPr>
          <w:ilvl w:val="0"/>
          <w:numId w:val="0"/>
        </w:numPr>
        <w:ind w:left="426" w:hanging="426"/>
        <w:rPr>
          <w:rFonts w:ascii="Arial" w:hAnsi="Arial" w:cs="Arial"/>
        </w:rPr>
      </w:pPr>
    </w:p>
    <w:p w14:paraId="3F59C863" w14:textId="77777777" w:rsidR="00F46C54" w:rsidRDefault="00F46C54">
      <w:pPr>
        <w:pStyle w:val="ORDERFORML1PraraNo"/>
        <w:numPr>
          <w:ilvl w:val="0"/>
          <w:numId w:val="0"/>
        </w:numPr>
        <w:ind w:left="426" w:hanging="426"/>
        <w:rPr>
          <w:rFonts w:ascii="Arial" w:hAnsi="Arial" w:cs="Arial"/>
        </w:rPr>
      </w:pPr>
    </w:p>
    <w:p w14:paraId="726943A5" w14:textId="77777777" w:rsidR="00F46C54" w:rsidRDefault="00F46C54">
      <w:pPr>
        <w:pStyle w:val="ORDERFORML1PraraNo"/>
        <w:numPr>
          <w:ilvl w:val="0"/>
          <w:numId w:val="0"/>
        </w:numPr>
        <w:ind w:left="426" w:hanging="426"/>
        <w:rPr>
          <w:rFonts w:ascii="Arial" w:hAnsi="Arial" w:cs="Arial"/>
        </w:rPr>
      </w:pPr>
    </w:p>
    <w:p w14:paraId="4B550E4C" w14:textId="77777777" w:rsidR="00F46C54" w:rsidRDefault="00F46C54">
      <w:pPr>
        <w:pStyle w:val="ORDERFORML1PraraNo"/>
        <w:numPr>
          <w:ilvl w:val="0"/>
          <w:numId w:val="0"/>
        </w:numPr>
        <w:ind w:left="426" w:hanging="426"/>
        <w:rPr>
          <w:rFonts w:ascii="Arial" w:hAnsi="Arial" w:cs="Arial"/>
        </w:rPr>
      </w:pPr>
    </w:p>
    <w:p w14:paraId="19124F1B" w14:textId="77777777" w:rsidR="00F46C54" w:rsidRDefault="00F46C54">
      <w:pPr>
        <w:pStyle w:val="ORDERFORML1PraraNo"/>
        <w:numPr>
          <w:ilvl w:val="0"/>
          <w:numId w:val="0"/>
        </w:numPr>
        <w:ind w:left="426" w:hanging="426"/>
        <w:rPr>
          <w:rFonts w:ascii="Arial" w:hAnsi="Arial" w:cs="Arial"/>
        </w:rPr>
      </w:pPr>
    </w:p>
    <w:p w14:paraId="6E717BF3" w14:textId="77777777" w:rsidR="00F46C54" w:rsidRDefault="00F46C54">
      <w:pPr>
        <w:pStyle w:val="ORDERFORML1PraraNo"/>
        <w:numPr>
          <w:ilvl w:val="0"/>
          <w:numId w:val="0"/>
        </w:numPr>
        <w:ind w:left="426" w:hanging="426"/>
        <w:rPr>
          <w:rFonts w:ascii="Arial" w:hAnsi="Arial" w:cs="Arial"/>
        </w:rPr>
      </w:pPr>
    </w:p>
    <w:p w14:paraId="12ACFB83" w14:textId="77777777" w:rsidR="00F46C54" w:rsidRDefault="00F46C54">
      <w:pPr>
        <w:pStyle w:val="ORDERFORML1PraraNo"/>
        <w:numPr>
          <w:ilvl w:val="0"/>
          <w:numId w:val="0"/>
        </w:numPr>
        <w:ind w:left="426" w:hanging="426"/>
        <w:rPr>
          <w:rFonts w:ascii="Arial" w:hAnsi="Arial" w:cs="Arial"/>
        </w:rPr>
      </w:pPr>
    </w:p>
    <w:p w14:paraId="1139892A" w14:textId="77777777" w:rsidR="00F46C54" w:rsidRDefault="00F46C54">
      <w:pPr>
        <w:pStyle w:val="ORDERFORML1PraraNo"/>
        <w:numPr>
          <w:ilvl w:val="0"/>
          <w:numId w:val="0"/>
        </w:numPr>
        <w:ind w:left="426" w:hanging="426"/>
        <w:rPr>
          <w:rFonts w:ascii="Arial" w:hAnsi="Arial" w:cs="Arial"/>
        </w:rPr>
      </w:pPr>
    </w:p>
    <w:p w14:paraId="674FC90D" w14:textId="77777777" w:rsidR="00F46C54" w:rsidRDefault="00F46C54">
      <w:pPr>
        <w:pStyle w:val="ORDERFORML1PraraNo"/>
        <w:numPr>
          <w:ilvl w:val="0"/>
          <w:numId w:val="0"/>
        </w:numPr>
        <w:ind w:left="426" w:hanging="426"/>
        <w:rPr>
          <w:rFonts w:ascii="Arial" w:hAnsi="Arial" w:cs="Arial"/>
        </w:rPr>
      </w:pPr>
    </w:p>
    <w:p w14:paraId="7AE0EBC9" w14:textId="77777777" w:rsidR="00F46C54" w:rsidRDefault="00F46C54">
      <w:pPr>
        <w:pStyle w:val="ORDERFORML1PraraNo"/>
        <w:numPr>
          <w:ilvl w:val="0"/>
          <w:numId w:val="0"/>
        </w:numPr>
        <w:ind w:left="426" w:hanging="426"/>
        <w:rPr>
          <w:rFonts w:ascii="Arial" w:hAnsi="Arial" w:cs="Arial"/>
        </w:rPr>
      </w:pPr>
    </w:p>
    <w:p w14:paraId="21C265B9" w14:textId="77777777" w:rsidR="00F46C54" w:rsidRDefault="00F46C54">
      <w:pPr>
        <w:pStyle w:val="ORDERFORML1PraraNo"/>
        <w:numPr>
          <w:ilvl w:val="0"/>
          <w:numId w:val="0"/>
        </w:numPr>
        <w:ind w:left="426" w:hanging="426"/>
        <w:rPr>
          <w:rFonts w:ascii="Arial" w:hAnsi="Arial" w:cs="Arial"/>
        </w:rPr>
      </w:pPr>
    </w:p>
    <w:p w14:paraId="39C52CAB" w14:textId="77777777" w:rsidR="00F46C54" w:rsidRDefault="00F46C54">
      <w:pPr>
        <w:pStyle w:val="ORDERFORML1PraraNo"/>
        <w:numPr>
          <w:ilvl w:val="0"/>
          <w:numId w:val="0"/>
        </w:numPr>
        <w:ind w:left="426" w:hanging="426"/>
        <w:rPr>
          <w:rFonts w:ascii="Arial" w:hAnsi="Arial" w:cs="Arial"/>
        </w:rPr>
      </w:pPr>
    </w:p>
    <w:p w14:paraId="5C4F7A61" w14:textId="77777777" w:rsidR="00F46C54" w:rsidRDefault="00F46C54">
      <w:pPr>
        <w:pStyle w:val="ORDERFORML1PraraNo"/>
        <w:numPr>
          <w:ilvl w:val="0"/>
          <w:numId w:val="0"/>
        </w:numPr>
        <w:ind w:left="426" w:hanging="426"/>
        <w:rPr>
          <w:rFonts w:ascii="Arial" w:hAnsi="Arial" w:cs="Arial"/>
        </w:rPr>
      </w:pPr>
    </w:p>
    <w:p w14:paraId="7016C868" w14:textId="77777777" w:rsidR="00F46C54" w:rsidRPr="00B91478" w:rsidRDefault="00F46C54">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798"/>
      </w:tblGrid>
      <w:tr w:rsidR="00C11A20" w:rsidRPr="00B91478" w14:paraId="557BDC08" w14:textId="77777777" w:rsidTr="00795CB5">
        <w:trPr>
          <w:trHeight w:val="2825"/>
        </w:trPr>
        <w:tc>
          <w:tcPr>
            <w:tcW w:w="553" w:type="dxa"/>
          </w:tcPr>
          <w:p w14:paraId="5A64A6E3" w14:textId="77777777" w:rsidR="00C11A20" w:rsidRPr="00B91478" w:rsidRDefault="00C11A20">
            <w:pPr>
              <w:pStyle w:val="11table"/>
              <w:numPr>
                <w:ilvl w:val="0"/>
                <w:numId w:val="0"/>
              </w:numPr>
              <w:ind w:left="360" w:hanging="360"/>
              <w:rPr>
                <w:rFonts w:ascii="Arial" w:hAnsi="Arial" w:cs="Arial"/>
              </w:rPr>
            </w:pPr>
            <w:r w:rsidRPr="00B91478">
              <w:rPr>
                <w:rFonts w:ascii="Arial" w:hAnsi="Arial" w:cs="Arial"/>
              </w:rPr>
              <w:t xml:space="preserve">2.1.  </w:t>
            </w:r>
          </w:p>
        </w:tc>
        <w:tc>
          <w:tcPr>
            <w:tcW w:w="8798" w:type="dxa"/>
            <w:shd w:val="clear" w:color="auto" w:fill="auto"/>
          </w:tcPr>
          <w:p w14:paraId="31B6517A" w14:textId="77777777" w:rsidR="00C11A20" w:rsidRPr="00B91478" w:rsidRDefault="00C11A20">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3A6083C5" w14:textId="77777777" w:rsidR="00C11A20" w:rsidRPr="00B91478" w:rsidRDefault="00C11A20">
            <w:pPr>
              <w:numPr>
                <w:ilvl w:val="1"/>
                <w:numId w:val="0"/>
              </w:numPr>
              <w:overflowPunct/>
              <w:autoSpaceDE/>
              <w:autoSpaceDN/>
              <w:spacing w:after="0"/>
              <w:jc w:val="left"/>
              <w:textAlignment w:val="auto"/>
              <w:rPr>
                <w:rFonts w:eastAsia="STZhongsong"/>
                <w:lang w:eastAsia="zh-CN"/>
              </w:rPr>
            </w:pPr>
          </w:p>
          <w:p w14:paraId="6B6D2330" w14:textId="77777777" w:rsidR="00C11A20" w:rsidRDefault="00C11A20" w:rsidP="00B02A10">
            <w:pPr>
              <w:tabs>
                <w:tab w:val="left" w:pos="577"/>
              </w:tabs>
              <w:overflowPunct/>
              <w:autoSpaceDE/>
              <w:autoSpaceDN/>
              <w:spacing w:after="0"/>
              <w:ind w:left="0"/>
              <w:textAlignment w:val="auto"/>
              <w:rPr>
                <w:rFonts w:eastAsia="STZhongsong"/>
                <w:lang w:eastAsia="zh-CN"/>
              </w:rPr>
            </w:pPr>
            <w:r w:rsidRPr="00B91478">
              <w:rPr>
                <w:rFonts w:eastAsia="STZhongsong"/>
                <w:lang w:eastAsia="zh-CN"/>
              </w:rPr>
              <w:t>In Call Off Schedule 2 (Services)</w:t>
            </w:r>
          </w:p>
          <w:p w14:paraId="54EBDA1A" w14:textId="77777777" w:rsidR="00795CB5" w:rsidRDefault="00795CB5" w:rsidP="00B02A10">
            <w:pPr>
              <w:tabs>
                <w:tab w:val="left" w:pos="577"/>
              </w:tabs>
              <w:overflowPunct/>
              <w:autoSpaceDE/>
              <w:autoSpaceDN/>
              <w:spacing w:after="0"/>
              <w:ind w:left="0"/>
              <w:textAlignment w:val="auto"/>
              <w:rPr>
                <w:rFonts w:eastAsia="STZhongsong"/>
                <w:lang w:eastAsia="zh-CN"/>
              </w:rPr>
            </w:pPr>
          </w:p>
          <w:p w14:paraId="3BCAB309" w14:textId="129127ED" w:rsidR="00FD4035" w:rsidRDefault="00FD4035" w:rsidP="000616EA">
            <w:pPr>
              <w:ind w:left="0"/>
              <w:rPr>
                <w:color w:val="000000" w:themeColor="text1"/>
                <w:sz w:val="20"/>
                <w:szCs w:val="20"/>
              </w:rPr>
            </w:pPr>
            <w:r w:rsidRPr="00FD4035">
              <w:rPr>
                <w:color w:val="000000" w:themeColor="text1"/>
              </w:rPr>
              <w:t>External support is required to establish the Transformation capability within C</w:t>
            </w:r>
            <w:r>
              <w:rPr>
                <w:color w:val="000000" w:themeColor="text1"/>
              </w:rPr>
              <w:t xml:space="preserve">ustomer </w:t>
            </w:r>
            <w:r w:rsidRPr="00FD4035">
              <w:rPr>
                <w:color w:val="000000" w:themeColor="text1"/>
              </w:rPr>
              <w:t>C</w:t>
            </w:r>
            <w:r>
              <w:rPr>
                <w:color w:val="000000" w:themeColor="text1"/>
              </w:rPr>
              <w:t xml:space="preserve">ompliance </w:t>
            </w:r>
            <w:r w:rsidRPr="00FD4035">
              <w:rPr>
                <w:color w:val="000000" w:themeColor="text1"/>
              </w:rPr>
              <w:t>G</w:t>
            </w:r>
            <w:r>
              <w:rPr>
                <w:color w:val="000000" w:themeColor="text1"/>
              </w:rPr>
              <w:t>roup (CCG), HMRC</w:t>
            </w:r>
            <w:r w:rsidRPr="00FD4035">
              <w:rPr>
                <w:color w:val="000000" w:themeColor="text1"/>
              </w:rPr>
              <w:t xml:space="preserve"> as part of a longer-term plan to successfully deliver SR20</w:t>
            </w:r>
            <w:r>
              <w:rPr>
                <w:color w:val="000000" w:themeColor="text1"/>
              </w:rPr>
              <w:t xml:space="preserve"> and CCG/HMRC’s strategic objectives. </w:t>
            </w:r>
          </w:p>
          <w:p w14:paraId="7A13A8BB" w14:textId="0075839C" w:rsidR="00126CFB" w:rsidRDefault="00E117BC" w:rsidP="00FD4035">
            <w:pPr>
              <w:ind w:left="0"/>
              <w:rPr>
                <w:rFonts w:eastAsia="STZhongsong"/>
                <w:lang w:eastAsia="zh-CN"/>
              </w:rPr>
            </w:pPr>
            <w:r>
              <w:rPr>
                <w:rFonts w:eastAsia="STZhongsong"/>
                <w:lang w:eastAsia="zh-CN"/>
              </w:rPr>
              <w:t>A</w:t>
            </w:r>
            <w:r w:rsidR="00795CB5" w:rsidRPr="00795CB5">
              <w:rPr>
                <w:rFonts w:eastAsia="STZhongsong"/>
                <w:lang w:eastAsia="zh-CN"/>
              </w:rPr>
              <w:t xml:space="preserve"> range of Commercial deliverable</w:t>
            </w:r>
            <w:r w:rsidR="003041C9">
              <w:rPr>
                <w:rFonts w:eastAsia="STZhongsong"/>
                <w:lang w:eastAsia="zh-CN"/>
              </w:rPr>
              <w:t>s</w:t>
            </w:r>
            <w:r w:rsidR="00795CB5" w:rsidRPr="00795CB5">
              <w:rPr>
                <w:rFonts w:eastAsia="STZhongsong"/>
                <w:lang w:eastAsia="zh-CN"/>
              </w:rPr>
              <w:t xml:space="preserve"> </w:t>
            </w:r>
            <w:r w:rsidR="000616EA">
              <w:rPr>
                <w:rFonts w:eastAsia="STZhongsong"/>
                <w:lang w:eastAsia="zh-CN"/>
              </w:rPr>
              <w:t>are required, including support in:</w:t>
            </w:r>
          </w:p>
          <w:p w14:paraId="2A8EB694" w14:textId="03E4C594" w:rsidR="00126CFB" w:rsidRPr="000616EA" w:rsidRDefault="00126CFB" w:rsidP="000616EA">
            <w:pPr>
              <w:pStyle w:val="ListParagraph"/>
              <w:numPr>
                <w:ilvl w:val="0"/>
                <w:numId w:val="32"/>
              </w:numPr>
              <w:rPr>
                <w:szCs w:val="24"/>
              </w:rPr>
            </w:pPr>
            <w:r w:rsidRPr="000616EA">
              <w:rPr>
                <w:szCs w:val="24"/>
              </w:rPr>
              <w:t>Implementing a programme structure, portfolio office framework and PPM collateral</w:t>
            </w:r>
          </w:p>
          <w:p w14:paraId="3FFF07DC" w14:textId="1BFE313B" w:rsidR="00126CFB" w:rsidRPr="000616EA" w:rsidRDefault="00126CFB" w:rsidP="000616EA">
            <w:pPr>
              <w:pStyle w:val="ListParagraph"/>
              <w:numPr>
                <w:ilvl w:val="0"/>
                <w:numId w:val="32"/>
              </w:numPr>
              <w:rPr>
                <w:szCs w:val="24"/>
              </w:rPr>
            </w:pPr>
            <w:r w:rsidRPr="000616EA">
              <w:rPr>
                <w:szCs w:val="24"/>
              </w:rPr>
              <w:t>Designing the longer-term permanent CCG delivery structure</w:t>
            </w:r>
          </w:p>
          <w:p w14:paraId="35DD5053" w14:textId="729CB01B" w:rsidR="00126CFB" w:rsidRPr="000616EA" w:rsidRDefault="00126CFB" w:rsidP="000616EA">
            <w:pPr>
              <w:pStyle w:val="ListParagraph"/>
              <w:numPr>
                <w:ilvl w:val="0"/>
                <w:numId w:val="32"/>
              </w:numPr>
              <w:rPr>
                <w:szCs w:val="24"/>
              </w:rPr>
            </w:pPr>
            <w:r w:rsidRPr="000616EA">
              <w:rPr>
                <w:szCs w:val="24"/>
              </w:rPr>
              <w:t>Developing a transformational roadmap establishing a prioritised, achievable and affordable transformation portfolio to deliver the CCG, and contribute to the wider HMRC, strategic objectives.</w:t>
            </w:r>
          </w:p>
          <w:p w14:paraId="065F4BFC" w14:textId="5EDC0F24" w:rsidR="00126CFB" w:rsidRPr="000616EA" w:rsidRDefault="00126CFB" w:rsidP="000616EA">
            <w:pPr>
              <w:pStyle w:val="ListParagraph"/>
              <w:numPr>
                <w:ilvl w:val="0"/>
                <w:numId w:val="32"/>
              </w:numPr>
              <w:rPr>
                <w:szCs w:val="24"/>
              </w:rPr>
            </w:pPr>
            <w:proofErr w:type="spellStart"/>
            <w:r w:rsidRPr="000616EA">
              <w:rPr>
                <w:szCs w:val="24"/>
              </w:rPr>
              <w:t>Identifing</w:t>
            </w:r>
            <w:proofErr w:type="spellEnd"/>
            <w:r w:rsidRPr="000616EA">
              <w:rPr>
                <w:szCs w:val="24"/>
              </w:rPr>
              <w:t xml:space="preserve"> a prioritised set of delivery projects established within a robust ppm governance structure </w:t>
            </w:r>
          </w:p>
          <w:p w14:paraId="10F2AF22" w14:textId="3DD7ACDC" w:rsidR="00126CFB" w:rsidRPr="000616EA" w:rsidRDefault="00126CFB" w:rsidP="000616EA">
            <w:pPr>
              <w:pStyle w:val="ListParagraph"/>
              <w:numPr>
                <w:ilvl w:val="0"/>
                <w:numId w:val="32"/>
              </w:numPr>
              <w:rPr>
                <w:szCs w:val="24"/>
              </w:rPr>
            </w:pPr>
            <w:r w:rsidRPr="000616EA">
              <w:rPr>
                <w:szCs w:val="24"/>
              </w:rPr>
              <w:t>Developing rigorous business cases</w:t>
            </w:r>
          </w:p>
          <w:p w14:paraId="493561C0" w14:textId="30F3BA86" w:rsidR="00126CFB" w:rsidRPr="000616EA" w:rsidRDefault="00126CFB" w:rsidP="000616EA">
            <w:pPr>
              <w:pStyle w:val="ListParagraph"/>
              <w:numPr>
                <w:ilvl w:val="0"/>
                <w:numId w:val="32"/>
              </w:numPr>
              <w:rPr>
                <w:szCs w:val="24"/>
              </w:rPr>
            </w:pPr>
            <w:r w:rsidRPr="000616EA">
              <w:rPr>
                <w:szCs w:val="24"/>
              </w:rPr>
              <w:t>Professionalis</w:t>
            </w:r>
            <w:r w:rsidR="000616EA" w:rsidRPr="000616EA">
              <w:rPr>
                <w:szCs w:val="24"/>
              </w:rPr>
              <w:t>ing</w:t>
            </w:r>
            <w:r w:rsidRPr="000616EA">
              <w:rPr>
                <w:szCs w:val="24"/>
              </w:rPr>
              <w:t xml:space="preserve"> business change and benefits management</w:t>
            </w:r>
          </w:p>
          <w:p w14:paraId="1FF3D7A5" w14:textId="77777777" w:rsidR="00126CFB" w:rsidRPr="00C962B4" w:rsidRDefault="00126CFB" w:rsidP="00126CFB">
            <w:pPr>
              <w:rPr>
                <w:szCs w:val="24"/>
              </w:rPr>
            </w:pPr>
          </w:p>
          <w:p w14:paraId="31604676" w14:textId="2846B3E2" w:rsidR="00795CB5" w:rsidRPr="00B91478" w:rsidRDefault="00795CB5" w:rsidP="00D2370C">
            <w:pPr>
              <w:tabs>
                <w:tab w:val="left" w:pos="577"/>
              </w:tabs>
              <w:overflowPunct/>
              <w:autoSpaceDE/>
              <w:autoSpaceDN/>
              <w:spacing w:after="0"/>
              <w:ind w:left="0"/>
              <w:textAlignment w:val="auto"/>
              <w:rPr>
                <w:rFonts w:eastAsia="STZhongsong"/>
                <w:b/>
                <w:lang w:eastAsia="zh-CN"/>
              </w:rPr>
            </w:pP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542"/>
      </w:tblGrid>
      <w:tr w:rsidR="00C11A20" w:rsidRPr="00B91478" w14:paraId="7BEDE618" w14:textId="77777777" w:rsidTr="00795CB5">
        <w:tc>
          <w:tcPr>
            <w:tcW w:w="843" w:type="dxa"/>
          </w:tcPr>
          <w:p w14:paraId="3C400C1B" w14:textId="77777777" w:rsidR="00C11A20" w:rsidRPr="00B91478" w:rsidRDefault="00C11A20">
            <w:pPr>
              <w:ind w:left="0"/>
              <w:rPr>
                <w:b/>
              </w:rPr>
            </w:pPr>
            <w:r w:rsidRPr="00B91478">
              <w:rPr>
                <w:b/>
              </w:rPr>
              <w:t xml:space="preserve">3.1. </w:t>
            </w:r>
          </w:p>
        </w:tc>
        <w:tc>
          <w:tcPr>
            <w:tcW w:w="8542" w:type="dxa"/>
            <w:shd w:val="clear" w:color="auto" w:fill="auto"/>
          </w:tcPr>
          <w:p w14:paraId="05CEC393" w14:textId="1F50A0EB" w:rsidR="00C11A20" w:rsidRDefault="00C11A20" w:rsidP="00B02A10">
            <w:pPr>
              <w:pStyle w:val="GPSL2Guidance"/>
              <w:ind w:left="0"/>
              <w:rPr>
                <w:i w:val="0"/>
              </w:rPr>
            </w:pPr>
            <w:r w:rsidRPr="00B91478">
              <w:t>Project Plan:</w:t>
            </w:r>
            <w:r>
              <w:t xml:space="preserve"> </w:t>
            </w:r>
            <w:r w:rsidR="003B5288">
              <w:t xml:space="preserve">The following are due to be delivered in the period of this contract: </w:t>
            </w:r>
          </w:p>
          <w:p w14:paraId="767347F3" w14:textId="77777777" w:rsidR="003B5288" w:rsidRPr="000616EA" w:rsidRDefault="003B5288" w:rsidP="003B5288">
            <w:pPr>
              <w:pStyle w:val="ListParagraph"/>
              <w:numPr>
                <w:ilvl w:val="0"/>
                <w:numId w:val="31"/>
              </w:numPr>
              <w:overflowPunct/>
              <w:autoSpaceDE/>
              <w:autoSpaceDN/>
              <w:adjustRightInd/>
              <w:spacing w:after="0"/>
              <w:contextualSpacing w:val="0"/>
              <w:jc w:val="left"/>
              <w:textAlignment w:val="auto"/>
              <w:rPr>
                <w:color w:val="000000" w:themeColor="text1"/>
              </w:rPr>
            </w:pPr>
            <w:r w:rsidRPr="000616EA">
              <w:rPr>
                <w:color w:val="000000" w:themeColor="text1"/>
              </w:rPr>
              <w:t>Establish Portfolio Office</w:t>
            </w:r>
          </w:p>
          <w:p w14:paraId="3F9C3422" w14:textId="77777777" w:rsidR="003B5288" w:rsidRPr="000616EA" w:rsidRDefault="003B5288" w:rsidP="003B5288">
            <w:pPr>
              <w:pStyle w:val="ListParagraph"/>
              <w:numPr>
                <w:ilvl w:val="1"/>
                <w:numId w:val="31"/>
              </w:numPr>
              <w:overflowPunct/>
              <w:autoSpaceDE/>
              <w:autoSpaceDN/>
              <w:adjustRightInd/>
              <w:spacing w:after="0"/>
              <w:ind w:left="1138"/>
              <w:contextualSpacing w:val="0"/>
              <w:jc w:val="left"/>
              <w:textAlignment w:val="auto"/>
              <w:rPr>
                <w:color w:val="000000" w:themeColor="text1"/>
              </w:rPr>
            </w:pPr>
            <w:r w:rsidRPr="000616EA">
              <w:rPr>
                <w:color w:val="000000" w:themeColor="text1"/>
              </w:rPr>
              <w:t>Professionalising PPM approach,</w:t>
            </w:r>
          </w:p>
          <w:p w14:paraId="6688C3C2" w14:textId="77777777" w:rsidR="003B5288" w:rsidRPr="000616EA" w:rsidRDefault="003B5288" w:rsidP="003B5288">
            <w:pPr>
              <w:pStyle w:val="ListParagraph"/>
              <w:numPr>
                <w:ilvl w:val="1"/>
                <w:numId w:val="31"/>
              </w:numPr>
              <w:overflowPunct/>
              <w:autoSpaceDE/>
              <w:autoSpaceDN/>
              <w:adjustRightInd/>
              <w:spacing w:after="0"/>
              <w:ind w:left="1138"/>
              <w:contextualSpacing w:val="0"/>
              <w:jc w:val="left"/>
              <w:textAlignment w:val="auto"/>
              <w:rPr>
                <w:color w:val="000000" w:themeColor="text1"/>
              </w:rPr>
            </w:pPr>
            <w:r w:rsidRPr="000616EA">
              <w:rPr>
                <w:color w:val="000000" w:themeColor="text1"/>
              </w:rPr>
              <w:t>Project commissioning governance</w:t>
            </w:r>
          </w:p>
          <w:p w14:paraId="27CAC74A" w14:textId="77777777" w:rsidR="003B5288" w:rsidRPr="000616EA" w:rsidRDefault="003B5288" w:rsidP="003B5288">
            <w:pPr>
              <w:pStyle w:val="ListParagraph"/>
              <w:numPr>
                <w:ilvl w:val="1"/>
                <w:numId w:val="31"/>
              </w:numPr>
              <w:overflowPunct/>
              <w:autoSpaceDE/>
              <w:autoSpaceDN/>
              <w:adjustRightInd/>
              <w:spacing w:after="0"/>
              <w:ind w:left="1138"/>
              <w:contextualSpacing w:val="0"/>
              <w:jc w:val="left"/>
              <w:textAlignment w:val="auto"/>
              <w:rPr>
                <w:color w:val="000000" w:themeColor="text1"/>
              </w:rPr>
            </w:pPr>
            <w:r w:rsidRPr="000616EA">
              <w:rPr>
                <w:color w:val="000000" w:themeColor="text1"/>
              </w:rPr>
              <w:t xml:space="preserve">Portfolio design, Level 0 roadmap, </w:t>
            </w:r>
          </w:p>
          <w:p w14:paraId="294C253F" w14:textId="77777777" w:rsidR="003B5288" w:rsidRPr="000616EA" w:rsidRDefault="003B5288" w:rsidP="003B5288">
            <w:pPr>
              <w:pStyle w:val="ListParagraph"/>
              <w:numPr>
                <w:ilvl w:val="1"/>
                <w:numId w:val="31"/>
              </w:numPr>
              <w:overflowPunct/>
              <w:autoSpaceDE/>
              <w:autoSpaceDN/>
              <w:adjustRightInd/>
              <w:spacing w:after="0"/>
              <w:ind w:left="1138"/>
              <w:contextualSpacing w:val="0"/>
              <w:jc w:val="left"/>
              <w:textAlignment w:val="auto"/>
              <w:rPr>
                <w:color w:val="000000" w:themeColor="text1"/>
              </w:rPr>
            </w:pPr>
            <w:r w:rsidRPr="000616EA">
              <w:rPr>
                <w:color w:val="000000" w:themeColor="text1"/>
              </w:rPr>
              <w:t>Weekly reporting dashboard</w:t>
            </w:r>
          </w:p>
          <w:p w14:paraId="77FA79CF" w14:textId="77777777" w:rsidR="003B5288" w:rsidRPr="000616EA" w:rsidRDefault="003B5288" w:rsidP="003B5288">
            <w:pPr>
              <w:pStyle w:val="ListParagraph"/>
              <w:numPr>
                <w:ilvl w:val="0"/>
                <w:numId w:val="31"/>
              </w:numPr>
              <w:overflowPunct/>
              <w:autoSpaceDE/>
              <w:autoSpaceDN/>
              <w:adjustRightInd/>
              <w:spacing w:after="0"/>
              <w:contextualSpacing w:val="0"/>
              <w:jc w:val="left"/>
              <w:textAlignment w:val="auto"/>
              <w:rPr>
                <w:color w:val="000000" w:themeColor="text1"/>
              </w:rPr>
            </w:pPr>
            <w:r w:rsidRPr="000616EA">
              <w:rPr>
                <w:color w:val="000000" w:themeColor="text1"/>
              </w:rPr>
              <w:t xml:space="preserve">Benefits Management </w:t>
            </w:r>
          </w:p>
          <w:p w14:paraId="5F1FF455" w14:textId="77777777" w:rsidR="003B5288" w:rsidRPr="000616EA" w:rsidRDefault="003B5288" w:rsidP="003B5288">
            <w:pPr>
              <w:pStyle w:val="ListParagraph"/>
              <w:numPr>
                <w:ilvl w:val="1"/>
                <w:numId w:val="31"/>
              </w:numPr>
              <w:overflowPunct/>
              <w:autoSpaceDE/>
              <w:autoSpaceDN/>
              <w:adjustRightInd/>
              <w:spacing w:after="0"/>
              <w:ind w:left="1138"/>
              <w:contextualSpacing w:val="0"/>
              <w:jc w:val="left"/>
              <w:textAlignment w:val="auto"/>
              <w:rPr>
                <w:color w:val="000000" w:themeColor="text1"/>
              </w:rPr>
            </w:pPr>
            <w:r w:rsidRPr="000616EA">
              <w:rPr>
                <w:color w:val="000000" w:themeColor="text1"/>
              </w:rPr>
              <w:t>Develop Benefits approach</w:t>
            </w:r>
          </w:p>
          <w:p w14:paraId="67ED3DB7" w14:textId="6E894A64" w:rsidR="003B5288" w:rsidRPr="000616EA" w:rsidRDefault="003B5288" w:rsidP="003B5288">
            <w:pPr>
              <w:pStyle w:val="ListParagraph"/>
              <w:numPr>
                <w:ilvl w:val="1"/>
                <w:numId w:val="31"/>
              </w:numPr>
              <w:overflowPunct/>
              <w:autoSpaceDE/>
              <w:autoSpaceDN/>
              <w:adjustRightInd/>
              <w:spacing w:after="0"/>
              <w:ind w:left="1138"/>
              <w:contextualSpacing w:val="0"/>
              <w:jc w:val="left"/>
              <w:textAlignment w:val="auto"/>
              <w:rPr>
                <w:color w:val="000000" w:themeColor="text1"/>
              </w:rPr>
            </w:pPr>
            <w:r w:rsidRPr="000616EA">
              <w:rPr>
                <w:color w:val="000000" w:themeColor="text1"/>
              </w:rPr>
              <w:t>Initial Business Case(s) development</w:t>
            </w:r>
          </w:p>
          <w:p w14:paraId="3BBE8469" w14:textId="77777777" w:rsidR="003B5288" w:rsidRPr="000616EA" w:rsidRDefault="003B5288" w:rsidP="003B5288">
            <w:pPr>
              <w:pStyle w:val="ListParagraph"/>
              <w:numPr>
                <w:ilvl w:val="0"/>
                <w:numId w:val="31"/>
              </w:numPr>
              <w:overflowPunct/>
              <w:autoSpaceDE/>
              <w:autoSpaceDN/>
              <w:adjustRightInd/>
              <w:spacing w:after="0"/>
              <w:contextualSpacing w:val="0"/>
              <w:jc w:val="left"/>
              <w:textAlignment w:val="auto"/>
              <w:rPr>
                <w:color w:val="000000" w:themeColor="text1"/>
              </w:rPr>
            </w:pPr>
            <w:r w:rsidRPr="000616EA">
              <w:rPr>
                <w:color w:val="000000" w:themeColor="text1"/>
              </w:rPr>
              <w:t>Transformation</w:t>
            </w:r>
          </w:p>
          <w:p w14:paraId="16EA9214" w14:textId="77777777" w:rsidR="003B5288" w:rsidRPr="000616EA" w:rsidRDefault="003B5288" w:rsidP="003B5288">
            <w:pPr>
              <w:pStyle w:val="ListParagraph"/>
              <w:numPr>
                <w:ilvl w:val="1"/>
                <w:numId w:val="31"/>
              </w:numPr>
              <w:overflowPunct/>
              <w:autoSpaceDE/>
              <w:autoSpaceDN/>
              <w:adjustRightInd/>
              <w:spacing w:after="0"/>
              <w:ind w:left="1138"/>
              <w:contextualSpacing w:val="0"/>
              <w:jc w:val="left"/>
              <w:textAlignment w:val="auto"/>
              <w:rPr>
                <w:color w:val="000000" w:themeColor="text1"/>
              </w:rPr>
            </w:pPr>
            <w:r w:rsidRPr="000616EA">
              <w:rPr>
                <w:color w:val="000000" w:themeColor="text1"/>
              </w:rPr>
              <w:t>Business Change Approach/ management</w:t>
            </w:r>
          </w:p>
          <w:p w14:paraId="3FF2CC40" w14:textId="77777777" w:rsidR="003B5288" w:rsidRPr="000616EA" w:rsidRDefault="003B5288" w:rsidP="003B5288">
            <w:pPr>
              <w:pStyle w:val="ListParagraph"/>
              <w:numPr>
                <w:ilvl w:val="1"/>
                <w:numId w:val="31"/>
              </w:numPr>
              <w:overflowPunct/>
              <w:autoSpaceDE/>
              <w:autoSpaceDN/>
              <w:adjustRightInd/>
              <w:spacing w:after="0"/>
              <w:ind w:left="1138"/>
              <w:contextualSpacing w:val="0"/>
              <w:jc w:val="left"/>
              <w:textAlignment w:val="auto"/>
              <w:rPr>
                <w:color w:val="000000" w:themeColor="text1"/>
              </w:rPr>
            </w:pPr>
            <w:r w:rsidRPr="000616EA">
              <w:rPr>
                <w:color w:val="000000" w:themeColor="text1"/>
              </w:rPr>
              <w:t>Stakeholder Management/CCG integration</w:t>
            </w:r>
          </w:p>
          <w:p w14:paraId="6B8CFAB4" w14:textId="486DB248" w:rsidR="00C11A20" w:rsidRDefault="003B5288" w:rsidP="003B5288">
            <w:pPr>
              <w:pStyle w:val="ListParagraph"/>
              <w:numPr>
                <w:ilvl w:val="1"/>
                <w:numId w:val="31"/>
              </w:numPr>
              <w:overflowPunct/>
              <w:autoSpaceDE/>
              <w:autoSpaceDN/>
              <w:adjustRightInd/>
              <w:spacing w:after="0"/>
              <w:ind w:left="1138"/>
              <w:contextualSpacing w:val="0"/>
              <w:jc w:val="left"/>
              <w:textAlignment w:val="auto"/>
              <w:rPr>
                <w:color w:val="000000" w:themeColor="text1"/>
              </w:rPr>
            </w:pPr>
            <w:r w:rsidRPr="000616EA">
              <w:rPr>
                <w:color w:val="000000" w:themeColor="text1"/>
              </w:rPr>
              <w:t>Review and prioritise existing activities to inform roadmap</w:t>
            </w:r>
          </w:p>
          <w:p w14:paraId="335D489A" w14:textId="77777777" w:rsidR="000616EA" w:rsidRPr="000616EA" w:rsidRDefault="000616EA" w:rsidP="000616EA">
            <w:pPr>
              <w:pStyle w:val="ListParagraph"/>
              <w:overflowPunct/>
              <w:autoSpaceDE/>
              <w:autoSpaceDN/>
              <w:adjustRightInd/>
              <w:spacing w:after="0"/>
              <w:ind w:left="1138"/>
              <w:contextualSpacing w:val="0"/>
              <w:jc w:val="left"/>
              <w:textAlignment w:val="auto"/>
              <w:rPr>
                <w:color w:val="000000" w:themeColor="text1"/>
              </w:rPr>
            </w:pPr>
          </w:p>
          <w:p w14:paraId="53D3B5AF" w14:textId="10C4DE33" w:rsidR="003B5288" w:rsidRPr="003B5288" w:rsidRDefault="003B5288" w:rsidP="003B5288">
            <w:pPr>
              <w:pStyle w:val="ListParagraph"/>
              <w:overflowPunct/>
              <w:autoSpaceDE/>
              <w:autoSpaceDN/>
              <w:adjustRightInd/>
              <w:spacing w:after="0"/>
              <w:ind w:left="1138"/>
              <w:contextualSpacing w:val="0"/>
              <w:jc w:val="left"/>
              <w:textAlignment w:val="auto"/>
              <w:rPr>
                <w:color w:val="000000" w:themeColor="text1"/>
                <w:sz w:val="20"/>
                <w:szCs w:val="20"/>
              </w:rPr>
            </w:pP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lastRenderedPageBreak/>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801"/>
      </w:tblGrid>
      <w:tr w:rsidR="00C11A20" w:rsidRPr="00B91478" w14:paraId="016BBA4A" w14:textId="77777777" w:rsidTr="00795CB5">
        <w:tc>
          <w:tcPr>
            <w:tcW w:w="584" w:type="dxa"/>
          </w:tcPr>
          <w:p w14:paraId="30227DA0" w14:textId="77777777" w:rsidR="00C11A20" w:rsidRPr="00B91478" w:rsidRDefault="00C11A2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8801" w:type="dxa"/>
            <w:shd w:val="clear" w:color="auto" w:fill="auto"/>
          </w:tcPr>
          <w:p w14:paraId="01A09131" w14:textId="77777777" w:rsidR="00C11A20" w:rsidRDefault="00C11A20" w:rsidP="00D53DE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r>
              <w:rPr>
                <w:rFonts w:eastAsia="STZhongsong"/>
                <w:b/>
                <w:lang w:eastAsia="zh-CN"/>
              </w:rPr>
              <w:t>Good Industry Practice</w:t>
            </w:r>
          </w:p>
          <w:p w14:paraId="0F2E61D4" w14:textId="205CE524" w:rsidR="00C11A20" w:rsidRPr="00B91478" w:rsidRDefault="00C11A20" w:rsidP="00D53DEB">
            <w:pPr>
              <w:numPr>
                <w:ilvl w:val="1"/>
                <w:numId w:val="0"/>
              </w:numPr>
              <w:overflowPunct/>
              <w:autoSpaceDE/>
              <w:autoSpaceDN/>
              <w:spacing w:after="120"/>
              <w:textAlignment w:val="auto"/>
              <w:rPr>
                <w:i/>
              </w:rPr>
            </w:pPr>
            <w:r w:rsidRPr="001965C3">
              <w:rPr>
                <w:i/>
              </w:rPr>
              <w:t>Not applicable.</w:t>
            </w:r>
          </w:p>
        </w:tc>
      </w:tr>
      <w:tr w:rsidR="00C11A20" w:rsidRPr="00B91478" w14:paraId="59C74AF2" w14:textId="77777777" w:rsidTr="00795CB5">
        <w:tc>
          <w:tcPr>
            <w:tcW w:w="584" w:type="dxa"/>
          </w:tcPr>
          <w:p w14:paraId="1CD66C2C" w14:textId="77777777" w:rsidR="00C11A20" w:rsidRPr="00B91478" w:rsidRDefault="00C11A20"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8801" w:type="dxa"/>
            <w:shd w:val="clear" w:color="auto" w:fill="auto"/>
          </w:tcPr>
          <w:p w14:paraId="57A05A27" w14:textId="77777777" w:rsidR="00C11A20" w:rsidRPr="00B91478" w:rsidRDefault="00C11A20"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07F8404C" w14:textId="3DAF6967" w:rsidR="00C11A20" w:rsidRPr="00B91478" w:rsidRDefault="00C11A20" w:rsidP="00BB4A0B">
            <w:pPr>
              <w:overflowPunct/>
              <w:autoSpaceDE/>
              <w:autoSpaceDN/>
              <w:spacing w:after="120"/>
              <w:ind w:left="0"/>
              <w:jc w:val="left"/>
              <w:textAlignment w:val="auto"/>
              <w:rPr>
                <w:i/>
              </w:rPr>
            </w:pPr>
            <w:r w:rsidRPr="001965C3">
              <w:rPr>
                <w:i/>
              </w:rPr>
              <w:t>Not applicable.</w:t>
            </w:r>
          </w:p>
        </w:tc>
      </w:tr>
      <w:tr w:rsidR="00C11A20" w:rsidRPr="00B91478" w14:paraId="4A58D05F" w14:textId="77777777" w:rsidTr="00795CB5">
        <w:tc>
          <w:tcPr>
            <w:tcW w:w="584" w:type="dxa"/>
          </w:tcPr>
          <w:p w14:paraId="4D930D9D" w14:textId="77777777" w:rsidR="00C11A20" w:rsidRPr="00B91478" w:rsidRDefault="00C11A20"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8801" w:type="dxa"/>
            <w:shd w:val="clear" w:color="auto" w:fill="auto"/>
          </w:tcPr>
          <w:p w14:paraId="5E15778F" w14:textId="77777777" w:rsidR="00C11A20" w:rsidRPr="00B91478" w:rsidRDefault="00C11A20"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55196587" w14:textId="7898A208" w:rsidR="00C11A20" w:rsidRPr="00B91478" w:rsidRDefault="00C11A20" w:rsidP="00BB4A0B">
            <w:pPr>
              <w:numPr>
                <w:ilvl w:val="1"/>
                <w:numId w:val="0"/>
              </w:numPr>
              <w:overflowPunct/>
              <w:autoSpaceDE/>
              <w:autoSpaceDN/>
              <w:spacing w:after="120"/>
              <w:jc w:val="left"/>
              <w:textAlignment w:val="auto"/>
              <w:rPr>
                <w:i/>
              </w:rPr>
            </w:pPr>
            <w:r w:rsidRPr="001965C3">
              <w:rPr>
                <w:i/>
              </w:rPr>
              <w:t>Not applicable.</w:t>
            </w:r>
          </w:p>
        </w:tc>
      </w:tr>
      <w:tr w:rsidR="00C11A20" w:rsidRPr="00B91478" w14:paraId="5C65B622" w14:textId="77777777" w:rsidTr="00795CB5">
        <w:tc>
          <w:tcPr>
            <w:tcW w:w="584" w:type="dxa"/>
          </w:tcPr>
          <w:p w14:paraId="4C3EAEAB" w14:textId="77777777" w:rsidR="00C11A20" w:rsidRPr="00B91478" w:rsidRDefault="00C11A2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8801" w:type="dxa"/>
            <w:shd w:val="clear" w:color="auto" w:fill="auto"/>
          </w:tcPr>
          <w:p w14:paraId="4B5EA59F" w14:textId="77777777" w:rsidR="00C11A20" w:rsidRPr="00B91478" w:rsidRDefault="00C11A2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07A191DE" w14:textId="090497B6" w:rsidR="00C11A20" w:rsidRPr="00B91478" w:rsidRDefault="00C11A20" w:rsidP="00BB4A0B">
            <w:pPr>
              <w:numPr>
                <w:ilvl w:val="1"/>
                <w:numId w:val="0"/>
              </w:numPr>
              <w:overflowPunct/>
              <w:autoSpaceDE/>
              <w:autoSpaceDN/>
              <w:spacing w:after="120"/>
              <w:jc w:val="left"/>
              <w:textAlignment w:val="auto"/>
              <w:rPr>
                <w:i/>
              </w:rPr>
            </w:pPr>
            <w:r w:rsidRPr="00B91478">
              <w:rPr>
                <w:i/>
              </w:rPr>
              <w:t>Not applicable.</w:t>
            </w:r>
          </w:p>
        </w:tc>
      </w:tr>
      <w:tr w:rsidR="00C11A20" w:rsidRPr="00B91478" w14:paraId="0B21EE94" w14:textId="77777777" w:rsidTr="00795CB5">
        <w:tc>
          <w:tcPr>
            <w:tcW w:w="584" w:type="dxa"/>
          </w:tcPr>
          <w:p w14:paraId="450910F1" w14:textId="77777777" w:rsidR="00C11A20" w:rsidRPr="00B91478" w:rsidRDefault="00C11A2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8801" w:type="dxa"/>
            <w:shd w:val="clear" w:color="auto" w:fill="auto"/>
          </w:tcPr>
          <w:p w14:paraId="01FFED51" w14:textId="77777777" w:rsidR="00C11A20" w:rsidRPr="00B91478" w:rsidRDefault="00C11A20"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523FDB5F" w14:textId="77777777" w:rsidR="00C11A20" w:rsidRPr="00F46C54" w:rsidRDefault="00C11A20" w:rsidP="00BB4A0B">
            <w:pPr>
              <w:numPr>
                <w:ilvl w:val="1"/>
                <w:numId w:val="0"/>
              </w:numPr>
              <w:overflowPunct/>
              <w:autoSpaceDE/>
              <w:autoSpaceDN/>
              <w:spacing w:after="120"/>
              <w:textAlignment w:val="auto"/>
            </w:pPr>
            <w:r w:rsidRPr="00F46C54">
              <w:t>In Clause 39.2.1(a) of the Call Off Terms</w:t>
            </w:r>
          </w:p>
          <w:p w14:paraId="34F08B6F" w14:textId="76CFA606" w:rsidR="00C11A20" w:rsidRPr="00B91478" w:rsidRDefault="00C11A20" w:rsidP="002047E1">
            <w:pPr>
              <w:numPr>
                <w:ilvl w:val="1"/>
                <w:numId w:val="0"/>
              </w:numPr>
              <w:overflowPunct/>
              <w:autoSpaceDE/>
              <w:autoSpaceDN/>
              <w:spacing w:after="120"/>
              <w:textAlignment w:val="auto"/>
              <w:rPr>
                <w:i/>
              </w:rPr>
            </w:pPr>
            <w:r w:rsidRPr="00B91478">
              <w:t xml:space="preserve"> </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819"/>
      </w:tblGrid>
      <w:tr w:rsidR="00C11A20" w:rsidRPr="00B91478" w14:paraId="67C5D3D0" w14:textId="77777777" w:rsidTr="00795CB5">
        <w:tc>
          <w:tcPr>
            <w:tcW w:w="566" w:type="dxa"/>
          </w:tcPr>
          <w:p w14:paraId="73D2EBFF" w14:textId="77777777" w:rsidR="00C11A20" w:rsidRPr="00B91478" w:rsidRDefault="00C11A2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8819" w:type="dxa"/>
            <w:shd w:val="clear" w:color="auto" w:fill="auto"/>
          </w:tcPr>
          <w:p w14:paraId="18D43C1F" w14:textId="79EA907F" w:rsidR="00C11A20" w:rsidRPr="00C11A20" w:rsidRDefault="00C11A20">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r w:rsidRPr="00B91478">
              <w:rPr>
                <w:rFonts w:eastAsia="STZhongsong"/>
                <w:b/>
                <w:lang w:eastAsia="zh-CN"/>
              </w:rPr>
              <w:tab/>
            </w:r>
          </w:p>
          <w:p w14:paraId="0B661F27" w14:textId="52004F0D" w:rsidR="00C11A20" w:rsidRPr="004D61EC" w:rsidRDefault="00292CA8" w:rsidP="002047E1">
            <w:pPr>
              <w:numPr>
                <w:ilvl w:val="1"/>
                <w:numId w:val="0"/>
              </w:numPr>
              <w:overflowPunct/>
              <w:autoSpaceDE/>
              <w:autoSpaceDN/>
              <w:spacing w:after="120"/>
              <w:textAlignment w:val="auto"/>
            </w:pPr>
            <w:r>
              <w:t>Redacted</w:t>
            </w:r>
          </w:p>
        </w:tc>
      </w:tr>
      <w:tr w:rsidR="00C11A20" w:rsidRPr="00B91478" w14:paraId="0FF6582D" w14:textId="77777777" w:rsidTr="00795CB5">
        <w:tc>
          <w:tcPr>
            <w:tcW w:w="566" w:type="dxa"/>
            <w:tcBorders>
              <w:top w:val="single" w:sz="4" w:space="0" w:color="auto"/>
              <w:left w:val="single" w:sz="4" w:space="0" w:color="auto"/>
              <w:bottom w:val="single" w:sz="4" w:space="0" w:color="auto"/>
              <w:right w:val="single" w:sz="4" w:space="0" w:color="auto"/>
            </w:tcBorders>
          </w:tcPr>
          <w:p w14:paraId="2B5BB8B1" w14:textId="77777777" w:rsidR="00C11A20" w:rsidRPr="00B91478" w:rsidRDefault="00C11A20">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8819" w:type="dxa"/>
            <w:tcBorders>
              <w:top w:val="single" w:sz="4" w:space="0" w:color="auto"/>
              <w:left w:val="single" w:sz="4" w:space="0" w:color="auto"/>
              <w:bottom w:val="single" w:sz="4" w:space="0" w:color="auto"/>
              <w:right w:val="single" w:sz="4" w:space="0" w:color="auto"/>
            </w:tcBorders>
            <w:shd w:val="clear" w:color="auto" w:fill="auto"/>
          </w:tcPr>
          <w:p w14:paraId="71D84776" w14:textId="113A7DD2" w:rsidR="00C11A20" w:rsidRPr="00B91478" w:rsidRDefault="00C11A20" w:rsidP="00F46C54">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577072F0" w14:textId="3EFFAE8E" w:rsidR="00C11A20" w:rsidRPr="00B91478" w:rsidRDefault="00C11A20" w:rsidP="002047E1">
            <w:pPr>
              <w:numPr>
                <w:ilvl w:val="1"/>
                <w:numId w:val="0"/>
              </w:numPr>
              <w:overflowPunct/>
              <w:autoSpaceDE/>
              <w:autoSpaceDN/>
              <w:spacing w:after="120"/>
              <w:textAlignment w:val="auto"/>
              <w:rPr>
                <w:i/>
              </w:rPr>
            </w:pPr>
            <w:r>
              <w:rPr>
                <w:i/>
              </w:rPr>
              <w:t>Not applicable</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823"/>
      </w:tblGrid>
      <w:tr w:rsidR="00C11A20" w:rsidRPr="00B91478" w14:paraId="25AA48BB" w14:textId="7C8BB28C" w:rsidTr="00795CB5">
        <w:tc>
          <w:tcPr>
            <w:tcW w:w="562" w:type="dxa"/>
          </w:tcPr>
          <w:p w14:paraId="58E752B1" w14:textId="77777777" w:rsidR="00C11A20" w:rsidRPr="00B91478" w:rsidRDefault="00C11A2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8823" w:type="dxa"/>
            <w:shd w:val="clear" w:color="auto" w:fill="auto"/>
          </w:tcPr>
          <w:p w14:paraId="04DB802C" w14:textId="77777777" w:rsidR="00C11A20" w:rsidRPr="00B91478" w:rsidRDefault="00C11A20"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31C6F4DC" w14:textId="77777777" w:rsidR="00696D22" w:rsidRPr="00696D22" w:rsidRDefault="00696D22" w:rsidP="00696D22">
            <w:pPr>
              <w:numPr>
                <w:ilvl w:val="1"/>
                <w:numId w:val="0"/>
              </w:numPr>
              <w:overflowPunct/>
              <w:autoSpaceDE/>
              <w:autoSpaceDN/>
              <w:spacing w:after="120"/>
              <w:textAlignment w:val="auto"/>
              <w:rPr>
                <w:rFonts w:eastAsia="STZhongsong"/>
                <w:lang w:eastAsia="zh-CN"/>
              </w:rPr>
            </w:pPr>
            <w:r w:rsidRPr="00696D22">
              <w:rPr>
                <w:rFonts w:eastAsia="STZhongsong"/>
                <w:lang w:eastAsia="zh-CN"/>
              </w:rPr>
              <w:t xml:space="preserve">Call Off Contract Charges </w:t>
            </w:r>
          </w:p>
          <w:p w14:paraId="164D9807" w14:textId="3A011AB4" w:rsidR="00696D22" w:rsidRPr="00B91478" w:rsidRDefault="00292CA8" w:rsidP="00696D22">
            <w:pPr>
              <w:numPr>
                <w:ilvl w:val="1"/>
                <w:numId w:val="0"/>
              </w:numPr>
              <w:overflowPunct/>
              <w:autoSpaceDE/>
              <w:autoSpaceDN/>
              <w:spacing w:after="120"/>
              <w:textAlignment w:val="auto"/>
              <w:rPr>
                <w:rFonts w:eastAsia="STZhongsong"/>
                <w:b/>
                <w:lang w:eastAsia="zh-CN"/>
              </w:rPr>
            </w:pPr>
            <w:r>
              <w:rPr>
                <w:rFonts w:eastAsia="STZhongsong"/>
                <w:lang w:eastAsia="zh-CN"/>
              </w:rPr>
              <w:t>Redacted</w:t>
            </w:r>
            <w:bookmarkStart w:id="1" w:name="_GoBack"/>
            <w:bookmarkEnd w:id="1"/>
          </w:p>
        </w:tc>
      </w:tr>
      <w:tr w:rsidR="00C11A20" w:rsidRPr="00B91478" w14:paraId="1B702A76" w14:textId="39CDFF10" w:rsidTr="00795CB5">
        <w:tc>
          <w:tcPr>
            <w:tcW w:w="562" w:type="dxa"/>
          </w:tcPr>
          <w:p w14:paraId="10B4EC6D" w14:textId="77777777" w:rsidR="00C11A20" w:rsidRPr="00B91478" w:rsidRDefault="00C11A2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8823" w:type="dxa"/>
            <w:shd w:val="clear" w:color="auto" w:fill="auto"/>
          </w:tcPr>
          <w:p w14:paraId="616CFB26" w14:textId="77777777" w:rsidR="00C11A20" w:rsidRPr="00B91478" w:rsidRDefault="00C11A20"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2EBEDD55" w14:textId="74C6767A" w:rsidR="00C11A20" w:rsidRPr="00B91478" w:rsidRDefault="00696D22" w:rsidP="00BB4A0B">
            <w:pPr>
              <w:numPr>
                <w:ilvl w:val="1"/>
                <w:numId w:val="0"/>
              </w:numPr>
              <w:overflowPunct/>
              <w:autoSpaceDE/>
              <w:autoSpaceDN/>
              <w:spacing w:after="120"/>
              <w:textAlignment w:val="auto"/>
              <w:rPr>
                <w:rFonts w:eastAsia="STZhongsong"/>
                <w:b/>
                <w:lang w:eastAsia="zh-CN"/>
              </w:rPr>
            </w:pPr>
            <w:r w:rsidRPr="00696D22">
              <w:rPr>
                <w:rFonts w:eastAsia="STZhongsong"/>
                <w:lang w:eastAsia="zh-CN"/>
              </w:rPr>
              <w:t>The payment method for the call off contract is BACS. The payment profile for this call off contract will be monthly in arrears. Electronic invoices to be issued by the Contractor monthly in arrears. The Buyer will pay the contractor within 30 days of receipt of a valid invoice.</w:t>
            </w:r>
          </w:p>
        </w:tc>
      </w:tr>
      <w:tr w:rsidR="00C11A20" w:rsidRPr="00B91478" w14:paraId="509E85CE" w14:textId="6B3DDB85" w:rsidTr="00795CB5">
        <w:tc>
          <w:tcPr>
            <w:tcW w:w="562" w:type="dxa"/>
          </w:tcPr>
          <w:p w14:paraId="3919B235" w14:textId="77777777" w:rsidR="00C11A20" w:rsidRPr="00B91478" w:rsidRDefault="00C11A2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8823" w:type="dxa"/>
            <w:shd w:val="clear" w:color="auto" w:fill="auto"/>
          </w:tcPr>
          <w:p w14:paraId="118A6EF4" w14:textId="77777777" w:rsidR="00C11A20" w:rsidRPr="00B91478" w:rsidRDefault="00C11A20">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3F1B6EC2" w14:textId="06CF3852" w:rsidR="00C11A20" w:rsidRPr="00B91478" w:rsidRDefault="00C11A20">
            <w:pPr>
              <w:numPr>
                <w:ilvl w:val="1"/>
                <w:numId w:val="0"/>
              </w:numPr>
              <w:overflowPunct/>
              <w:autoSpaceDE/>
              <w:autoSpaceDN/>
              <w:spacing w:after="120"/>
              <w:jc w:val="left"/>
              <w:textAlignment w:val="auto"/>
              <w:rPr>
                <w:rFonts w:eastAsia="STZhongsong"/>
                <w:b/>
                <w:lang w:eastAsia="zh-CN"/>
              </w:rPr>
            </w:pPr>
            <w:r w:rsidRPr="00613588">
              <w:rPr>
                <w:rFonts w:eastAsia="STZhongsong"/>
                <w:lang w:eastAsia="zh-CN"/>
              </w:rPr>
              <w:t>Permitted</w:t>
            </w:r>
          </w:p>
        </w:tc>
      </w:tr>
      <w:tr w:rsidR="00C11A20" w:rsidRPr="00B91478" w14:paraId="79636B86" w14:textId="1A74E29E" w:rsidTr="00795CB5">
        <w:tc>
          <w:tcPr>
            <w:tcW w:w="562" w:type="dxa"/>
          </w:tcPr>
          <w:p w14:paraId="6C80142A" w14:textId="77777777" w:rsidR="00C11A20" w:rsidRPr="00B91478" w:rsidRDefault="00C11A2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8823" w:type="dxa"/>
            <w:shd w:val="clear" w:color="auto" w:fill="auto"/>
          </w:tcPr>
          <w:p w14:paraId="2EB08506" w14:textId="77777777" w:rsidR="00C11A20" w:rsidRPr="00B91478" w:rsidRDefault="00C11A20"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4D4BE0EF" w14:textId="0A3EE0E0" w:rsidR="00696D22" w:rsidRPr="00696D22" w:rsidRDefault="00696D22" w:rsidP="00BB4A0B">
            <w:pPr>
              <w:numPr>
                <w:ilvl w:val="1"/>
                <w:numId w:val="0"/>
              </w:numPr>
              <w:overflowPunct/>
              <w:autoSpaceDE/>
              <w:autoSpaceDN/>
              <w:spacing w:after="120"/>
              <w:textAlignment w:val="auto"/>
            </w:pPr>
            <w:r w:rsidRPr="00696D22">
              <w:t>Invoices should be sent via HMRC Ariba system.</w:t>
            </w:r>
          </w:p>
          <w:p w14:paraId="11268E95" w14:textId="17A917F8" w:rsidR="00696D22" w:rsidRPr="00696D22" w:rsidRDefault="00696D22" w:rsidP="00BB4A0B">
            <w:pPr>
              <w:numPr>
                <w:ilvl w:val="1"/>
                <w:numId w:val="0"/>
              </w:numPr>
              <w:overflowPunct/>
              <w:autoSpaceDE/>
              <w:autoSpaceDN/>
              <w:spacing w:after="120"/>
              <w:textAlignment w:val="auto"/>
              <w:rPr>
                <w:rFonts w:eastAsia="STZhongsong"/>
                <w:lang w:eastAsia="zh-CN"/>
              </w:rPr>
            </w:pPr>
          </w:p>
        </w:tc>
      </w:tr>
      <w:tr w:rsidR="00C11A20" w:rsidRPr="00B91478" w14:paraId="178F82D0" w14:textId="0F38B30A" w:rsidTr="00795CB5">
        <w:tc>
          <w:tcPr>
            <w:tcW w:w="562" w:type="dxa"/>
          </w:tcPr>
          <w:p w14:paraId="7620ED36" w14:textId="77777777" w:rsidR="00C11A20" w:rsidRPr="00B91478" w:rsidRDefault="00C11A2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6.5</w:t>
            </w:r>
          </w:p>
        </w:tc>
        <w:tc>
          <w:tcPr>
            <w:tcW w:w="8823" w:type="dxa"/>
            <w:shd w:val="clear" w:color="auto" w:fill="auto"/>
          </w:tcPr>
          <w:p w14:paraId="6ACD2287" w14:textId="77777777" w:rsidR="00C11A20" w:rsidRPr="00B91478" w:rsidRDefault="00C11A20"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0D392FFF" w14:textId="5AB2953E" w:rsidR="00C11A20" w:rsidRPr="00B91478" w:rsidRDefault="00C11A20" w:rsidP="00BB4A0B">
            <w:pPr>
              <w:numPr>
                <w:ilvl w:val="1"/>
                <w:numId w:val="0"/>
              </w:numPr>
              <w:overflowPunct/>
              <w:autoSpaceDE/>
              <w:autoSpaceDN/>
              <w:spacing w:after="120"/>
              <w:textAlignment w:val="auto"/>
              <w:rPr>
                <w:rFonts w:eastAsia="STZhongsong"/>
                <w:b/>
                <w:lang w:eastAsia="zh-CN"/>
              </w:rPr>
            </w:pPr>
            <w:r>
              <w:rPr>
                <w:b/>
              </w:rPr>
              <w:t xml:space="preserve">9 </w:t>
            </w:r>
            <w:r w:rsidRPr="00B91478">
              <w:t>Call Off</w:t>
            </w:r>
            <w:r w:rsidRPr="00B91478">
              <w:rPr>
                <w:b/>
              </w:rPr>
              <w:t xml:space="preserve"> </w:t>
            </w:r>
            <w:r>
              <w:t>Contract Months</w:t>
            </w:r>
            <w:r w:rsidRPr="00B91478">
              <w:t xml:space="preserve"> from the Call Off Commencement Date</w:t>
            </w:r>
          </w:p>
        </w:tc>
      </w:tr>
      <w:tr w:rsidR="00C11A20" w:rsidRPr="00B91478" w14:paraId="26AECBD0" w14:textId="65F3074D" w:rsidTr="00795CB5">
        <w:tc>
          <w:tcPr>
            <w:tcW w:w="562" w:type="dxa"/>
          </w:tcPr>
          <w:p w14:paraId="779A313D" w14:textId="77777777" w:rsidR="00C11A20" w:rsidRPr="00B91478" w:rsidRDefault="00C11A20">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8823" w:type="dxa"/>
            <w:shd w:val="clear" w:color="auto" w:fill="auto"/>
          </w:tcPr>
          <w:p w14:paraId="70C01B91" w14:textId="77777777" w:rsidR="00C11A20" w:rsidRPr="00B91478" w:rsidRDefault="00C11A20"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376C019F" w14:textId="14EE7833" w:rsidR="00C11A20" w:rsidRPr="00B91478" w:rsidRDefault="00C11A20" w:rsidP="00BB4A0B">
            <w:pPr>
              <w:numPr>
                <w:ilvl w:val="1"/>
                <w:numId w:val="0"/>
              </w:numPr>
              <w:tabs>
                <w:tab w:val="left" w:pos="2783"/>
              </w:tabs>
              <w:overflowPunct/>
              <w:autoSpaceDE/>
              <w:autoSpaceDN/>
              <w:spacing w:after="120"/>
              <w:textAlignment w:val="auto"/>
              <w:rPr>
                <w:rFonts w:eastAsia="STZhongsong"/>
                <w:b/>
                <w:lang w:eastAsia="zh-CN"/>
              </w:rPr>
            </w:pPr>
            <w:r>
              <w:rPr>
                <w:b/>
              </w:rPr>
              <w:t>Not applicable</w:t>
            </w:r>
          </w:p>
        </w:tc>
      </w:tr>
      <w:tr w:rsidR="00C11A20" w:rsidRPr="00B91478" w14:paraId="2C9FE932" w14:textId="4586F2C6" w:rsidTr="00795CB5">
        <w:tc>
          <w:tcPr>
            <w:tcW w:w="562" w:type="dxa"/>
          </w:tcPr>
          <w:p w14:paraId="1ACDA024" w14:textId="77777777" w:rsidR="00C11A20" w:rsidRPr="00B91478" w:rsidRDefault="00C11A20">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8823" w:type="dxa"/>
            <w:shd w:val="clear" w:color="auto" w:fill="auto"/>
          </w:tcPr>
          <w:p w14:paraId="0BBEDFA1" w14:textId="77777777" w:rsidR="00C11A20" w:rsidRPr="00B91478" w:rsidRDefault="00C11A20"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Payment and Invoicing))</w:t>
            </w:r>
            <w:r w:rsidRPr="00B91478">
              <w:rPr>
                <w:rFonts w:eastAsia="STZhongsong"/>
                <w:lang w:eastAsia="zh-CN"/>
              </w:rPr>
              <w:t>:</w:t>
            </w:r>
          </w:p>
          <w:p w14:paraId="651C70BE" w14:textId="3495D791" w:rsidR="00C11A20" w:rsidRPr="00B91478" w:rsidRDefault="00C11A20" w:rsidP="00BB4A0B">
            <w:pPr>
              <w:numPr>
                <w:ilvl w:val="1"/>
                <w:numId w:val="0"/>
              </w:numPr>
              <w:tabs>
                <w:tab w:val="left" w:pos="2783"/>
              </w:tabs>
              <w:overflowPunct/>
              <w:autoSpaceDE/>
              <w:autoSpaceDN/>
              <w:spacing w:after="120"/>
              <w:textAlignment w:val="auto"/>
              <w:rPr>
                <w:rFonts w:eastAsia="STZhongsong"/>
                <w:b/>
                <w:lang w:eastAsia="zh-CN"/>
              </w:rPr>
            </w:pPr>
            <w:r w:rsidRPr="00605A42">
              <w:rPr>
                <w:rFonts w:eastAsia="STZhongsong"/>
                <w:b/>
                <w:lang w:eastAsia="zh-CN"/>
              </w:rPr>
              <w:t>Not Permitted</w:t>
            </w:r>
          </w:p>
        </w:tc>
      </w:tr>
    </w:tbl>
    <w:p w14:paraId="0DC1EDA5" w14:textId="77777777" w:rsidR="004E05DC" w:rsidRDefault="004E05D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820"/>
      </w:tblGrid>
      <w:tr w:rsidR="009F6E8F" w:rsidRPr="00B91478" w14:paraId="5478B57F" w14:textId="77777777" w:rsidTr="00795CB5">
        <w:tc>
          <w:tcPr>
            <w:tcW w:w="565" w:type="dxa"/>
          </w:tcPr>
          <w:p w14:paraId="1856BB0E" w14:textId="77777777" w:rsidR="009F6E8F" w:rsidRPr="00B91478" w:rsidRDefault="009F6E8F">
            <w:pPr>
              <w:numPr>
                <w:ilvl w:val="1"/>
                <w:numId w:val="0"/>
              </w:numPr>
              <w:overflowPunct/>
              <w:autoSpaceDE/>
              <w:autoSpaceDN/>
              <w:spacing w:after="120"/>
              <w:textAlignment w:val="auto"/>
              <w:rPr>
                <w:b/>
              </w:rPr>
            </w:pPr>
            <w:r w:rsidRPr="00B91478">
              <w:rPr>
                <w:b/>
              </w:rPr>
              <w:t>7.1</w:t>
            </w:r>
          </w:p>
        </w:tc>
        <w:tc>
          <w:tcPr>
            <w:tcW w:w="8820" w:type="dxa"/>
            <w:shd w:val="clear" w:color="auto" w:fill="auto"/>
          </w:tcPr>
          <w:p w14:paraId="5252CCDF" w14:textId="77777777" w:rsidR="009F6E8F" w:rsidRPr="00B91478" w:rsidRDefault="009F6E8F">
            <w:pPr>
              <w:numPr>
                <w:ilvl w:val="1"/>
                <w:numId w:val="0"/>
              </w:numPr>
              <w:overflowPunct/>
              <w:autoSpaceDE/>
              <w:autoSpaceDN/>
              <w:spacing w:after="120"/>
              <w:textAlignment w:val="auto"/>
            </w:pPr>
            <w:r w:rsidRPr="00B91478">
              <w:rPr>
                <w:b/>
              </w:rPr>
              <w:t>Estimated Year 1 Call Off Contract Charges</w:t>
            </w:r>
            <w:r w:rsidRPr="00B91478">
              <w:t>:</w:t>
            </w:r>
          </w:p>
          <w:p w14:paraId="4D8A571C" w14:textId="3857CF02" w:rsidR="009F6E8F" w:rsidRPr="00B91478" w:rsidRDefault="00292CA8">
            <w:pPr>
              <w:keepNext/>
              <w:keepLines/>
              <w:overflowPunct/>
              <w:autoSpaceDE/>
              <w:autoSpaceDN/>
              <w:spacing w:before="240"/>
              <w:ind w:left="0"/>
              <w:textAlignment w:val="auto"/>
              <w:rPr>
                <w:rFonts w:eastAsia="STZhongsong"/>
                <w:b/>
                <w:caps/>
                <w:lang w:eastAsia="zh-CN"/>
              </w:rPr>
            </w:pPr>
            <w:r>
              <w:t>Redacted</w:t>
            </w:r>
          </w:p>
        </w:tc>
      </w:tr>
      <w:tr w:rsidR="009F6E8F" w:rsidRPr="00B91478" w14:paraId="55713951" w14:textId="77777777" w:rsidTr="00795CB5">
        <w:tc>
          <w:tcPr>
            <w:tcW w:w="565" w:type="dxa"/>
          </w:tcPr>
          <w:p w14:paraId="35D7B8B5" w14:textId="77777777" w:rsidR="009F6E8F" w:rsidRPr="00B91478" w:rsidRDefault="009F6E8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8820" w:type="dxa"/>
            <w:shd w:val="clear" w:color="auto" w:fill="auto"/>
          </w:tcPr>
          <w:p w14:paraId="2FD5BCFD" w14:textId="00CFF953" w:rsidR="009F6E8F" w:rsidRPr="00B91478" w:rsidRDefault="009F6E8F">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2337954A" w14:textId="77777777" w:rsidR="009F6E8F" w:rsidRPr="00B91478" w:rsidRDefault="009F6E8F">
            <w:pPr>
              <w:numPr>
                <w:ilvl w:val="1"/>
                <w:numId w:val="0"/>
              </w:numPr>
              <w:overflowPunct/>
              <w:autoSpaceDE/>
              <w:autoSpaceDN/>
              <w:spacing w:after="120"/>
              <w:textAlignment w:val="auto"/>
              <w:rPr>
                <w:rFonts w:eastAsia="STZhongsong"/>
                <w:lang w:eastAsia="zh-CN"/>
              </w:rPr>
            </w:pPr>
          </w:p>
        </w:tc>
      </w:tr>
      <w:tr w:rsidR="009F6E8F" w:rsidRPr="00B91478" w14:paraId="75F98DE5" w14:textId="77777777" w:rsidTr="00795CB5">
        <w:tc>
          <w:tcPr>
            <w:tcW w:w="565" w:type="dxa"/>
          </w:tcPr>
          <w:p w14:paraId="73B0BF73" w14:textId="77777777" w:rsidR="009F6E8F" w:rsidRPr="00B91478" w:rsidRDefault="009F6E8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8820" w:type="dxa"/>
            <w:shd w:val="clear" w:color="auto" w:fill="auto"/>
          </w:tcPr>
          <w:p w14:paraId="5EAD959D" w14:textId="4E14B5EA" w:rsidR="009F6E8F" w:rsidRPr="00B91478" w:rsidRDefault="009F6E8F">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4451852C" w14:textId="01525D23" w:rsidR="009F6E8F" w:rsidRPr="00B91478" w:rsidRDefault="009F6E8F">
            <w:pPr>
              <w:numPr>
                <w:ilvl w:val="1"/>
                <w:numId w:val="0"/>
              </w:numPr>
              <w:overflowPunct/>
              <w:autoSpaceDE/>
              <w:autoSpaceDN/>
              <w:spacing w:after="120"/>
              <w:textAlignment w:val="auto"/>
              <w:rPr>
                <w:rFonts w:eastAsia="STZhongsong"/>
                <w:b/>
                <w:lang w:eastAsia="zh-CN"/>
              </w:rPr>
            </w:pPr>
            <w:r>
              <w:rPr>
                <w:b/>
              </w:rPr>
              <w:t>All applicable industry insurances and liabilities</w:t>
            </w:r>
          </w:p>
        </w:tc>
      </w:tr>
    </w:tbl>
    <w:p w14:paraId="603CF89D" w14:textId="77777777" w:rsidR="00C107C6" w:rsidRDefault="00C107C6">
      <w:pPr>
        <w:spacing w:after="0"/>
        <w:ind w:left="0"/>
        <w:rPr>
          <w:i/>
        </w:rPr>
      </w:pPr>
    </w:p>
    <w:p w14:paraId="0853C54A" w14:textId="77777777" w:rsidR="00613588" w:rsidRPr="00B91478" w:rsidRDefault="00613588">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820"/>
      </w:tblGrid>
      <w:tr w:rsidR="00795CB5" w:rsidRPr="00B91478" w14:paraId="45EEC7DA" w14:textId="77777777" w:rsidTr="000C15C2">
        <w:tc>
          <w:tcPr>
            <w:tcW w:w="565" w:type="dxa"/>
          </w:tcPr>
          <w:p w14:paraId="40AC2E4B" w14:textId="77777777" w:rsidR="00795CB5" w:rsidRPr="00B91478" w:rsidRDefault="00795CB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8820" w:type="dxa"/>
            <w:shd w:val="clear" w:color="auto" w:fill="auto"/>
          </w:tcPr>
          <w:p w14:paraId="76FA0557" w14:textId="77777777" w:rsidR="00795CB5" w:rsidRPr="00B91478" w:rsidRDefault="00795CB5">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Off Terms)):</w:t>
            </w:r>
          </w:p>
          <w:p w14:paraId="207F1253" w14:textId="70ABC2C1" w:rsidR="00795CB5" w:rsidRPr="00B91478" w:rsidRDefault="00795CB5" w:rsidP="00613588">
            <w:pPr>
              <w:keepNext/>
              <w:keepLines/>
              <w:overflowPunct/>
              <w:autoSpaceDE/>
              <w:autoSpaceDN/>
              <w:spacing w:after="0"/>
              <w:ind w:left="0"/>
              <w:textAlignment w:val="auto"/>
              <w:rPr>
                <w:rFonts w:eastAsia="STZhongsong"/>
                <w:b/>
                <w:caps/>
                <w:lang w:eastAsia="zh-CN"/>
              </w:rPr>
            </w:pPr>
            <w:r w:rsidRPr="00613588">
              <w:rPr>
                <w:rFonts w:eastAsia="STZhongsong"/>
                <w:lang w:eastAsia="zh-CN"/>
              </w:rPr>
              <w:t>In Clause 42.2.1(c)</w:t>
            </w:r>
            <w:r w:rsidRPr="00613588">
              <w:t xml:space="preserve"> of the Call Off Terms</w:t>
            </w:r>
          </w:p>
        </w:tc>
      </w:tr>
      <w:tr w:rsidR="00795CB5" w:rsidRPr="00B91478" w14:paraId="2D4DA8B8" w14:textId="77777777" w:rsidTr="000C15C2">
        <w:tc>
          <w:tcPr>
            <w:tcW w:w="565" w:type="dxa"/>
          </w:tcPr>
          <w:p w14:paraId="7475DDE5" w14:textId="77777777" w:rsidR="00795CB5" w:rsidRPr="00B91478" w:rsidRDefault="00795CB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8820" w:type="dxa"/>
            <w:shd w:val="clear" w:color="auto" w:fill="auto"/>
          </w:tcPr>
          <w:p w14:paraId="712BA49D" w14:textId="77777777" w:rsidR="00795CB5" w:rsidRPr="00B91478" w:rsidRDefault="00795CB5">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w:t>
            </w:r>
            <w:r>
              <w:rPr>
                <w:rFonts w:eastAsia="STZhongsong"/>
                <w:lang w:eastAsia="zh-CN"/>
              </w:rPr>
              <w:t xml:space="preserve"> 42.7 </w:t>
            </w:r>
            <w:r w:rsidRPr="00B91478">
              <w:rPr>
                <w:rFonts w:eastAsia="STZhongsong"/>
                <w:lang w:eastAsia="zh-CN"/>
              </w:rPr>
              <w:t>of the Call Off Terms):</w:t>
            </w:r>
          </w:p>
          <w:p w14:paraId="32570210" w14:textId="77777777" w:rsidR="00795CB5" w:rsidRPr="00B91478" w:rsidRDefault="00795CB5">
            <w:pPr>
              <w:numPr>
                <w:ilvl w:val="1"/>
                <w:numId w:val="0"/>
              </w:numPr>
              <w:overflowPunct/>
              <w:autoSpaceDE/>
              <w:autoSpaceDN/>
              <w:spacing w:after="120"/>
              <w:textAlignment w:val="auto"/>
              <w:rPr>
                <w:rFonts w:eastAsia="STZhongsong"/>
                <w:lang w:eastAsia="zh-CN"/>
              </w:rPr>
            </w:pPr>
            <w:r w:rsidRPr="00613588">
              <w:t>In Clause 42.7</w:t>
            </w:r>
            <w:r w:rsidRPr="00613588">
              <w:rPr>
                <w:rFonts w:eastAsia="STZhongsong"/>
                <w:lang w:eastAsia="zh-CN"/>
              </w:rPr>
              <w:t xml:space="preserve"> of the Call Off Terms</w:t>
            </w:r>
          </w:p>
          <w:p w14:paraId="3784D34F" w14:textId="4E5F30C7" w:rsidR="00795CB5" w:rsidRPr="00B91478" w:rsidRDefault="00795CB5">
            <w:pPr>
              <w:keepNext/>
              <w:keepLines/>
              <w:overflowPunct/>
              <w:autoSpaceDE/>
              <w:autoSpaceDN/>
              <w:spacing w:after="0"/>
              <w:ind w:left="0"/>
              <w:textAlignment w:val="auto"/>
              <w:rPr>
                <w:i/>
                <w:iCs/>
              </w:rPr>
            </w:pPr>
          </w:p>
          <w:p w14:paraId="7DAB3CEF" w14:textId="77777777" w:rsidR="00795CB5" w:rsidRPr="00B91478" w:rsidRDefault="00795CB5">
            <w:pPr>
              <w:keepNext/>
              <w:keepLines/>
              <w:overflowPunct/>
              <w:autoSpaceDE/>
              <w:autoSpaceDN/>
              <w:spacing w:after="0"/>
              <w:ind w:left="0"/>
              <w:textAlignment w:val="auto"/>
              <w:rPr>
                <w:rFonts w:eastAsia="STZhongsong"/>
                <w:b/>
                <w:caps/>
                <w:lang w:eastAsia="zh-CN"/>
              </w:rPr>
            </w:pPr>
          </w:p>
        </w:tc>
      </w:tr>
      <w:tr w:rsidR="00795CB5" w:rsidRPr="00B91478" w14:paraId="7C78E2F3" w14:textId="77777777" w:rsidTr="000C15C2">
        <w:tc>
          <w:tcPr>
            <w:tcW w:w="565" w:type="dxa"/>
          </w:tcPr>
          <w:p w14:paraId="174E531E" w14:textId="77777777" w:rsidR="00795CB5" w:rsidRPr="00B91478" w:rsidRDefault="00795CB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8820" w:type="dxa"/>
            <w:shd w:val="clear" w:color="auto" w:fill="auto"/>
          </w:tcPr>
          <w:p w14:paraId="70E2DF26" w14:textId="77777777" w:rsidR="00795CB5" w:rsidRPr="00B91478" w:rsidRDefault="00795CB5">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14:paraId="4A97BA1A" w14:textId="77777777" w:rsidR="00795CB5" w:rsidRPr="00613588" w:rsidRDefault="00795CB5">
            <w:pPr>
              <w:keepNext/>
              <w:keepLines/>
              <w:overflowPunct/>
              <w:autoSpaceDE/>
              <w:autoSpaceDN/>
              <w:spacing w:before="240"/>
              <w:ind w:left="0"/>
              <w:textAlignment w:val="auto"/>
              <w:rPr>
                <w:rFonts w:eastAsia="STZhongsong"/>
                <w:lang w:eastAsia="zh-CN"/>
              </w:rPr>
            </w:pPr>
            <w:r w:rsidRPr="00613588">
              <w:rPr>
                <w:rFonts w:eastAsia="STZhongsong"/>
                <w:lang w:eastAsia="zh-CN"/>
              </w:rPr>
              <w:t>In Clause 43.1.1</w:t>
            </w:r>
            <w:r w:rsidRPr="00613588">
              <w:t xml:space="preserve"> of the Call Off Terms</w:t>
            </w:r>
          </w:p>
          <w:p w14:paraId="5FE55849" w14:textId="77777777" w:rsidR="00795CB5" w:rsidRPr="00B91478" w:rsidRDefault="00795CB5">
            <w:pPr>
              <w:keepNext/>
              <w:keepLines/>
              <w:overflowPunct/>
              <w:autoSpaceDE/>
              <w:autoSpaceDN/>
              <w:spacing w:after="0"/>
              <w:ind w:left="0"/>
              <w:textAlignment w:val="auto"/>
              <w:rPr>
                <w:rFonts w:eastAsia="STZhongsong"/>
                <w:b/>
                <w:caps/>
                <w:lang w:eastAsia="zh-CN"/>
              </w:rPr>
            </w:pPr>
          </w:p>
        </w:tc>
      </w:tr>
      <w:tr w:rsidR="00795CB5" w:rsidRPr="00B91478" w14:paraId="7CFBFB52" w14:textId="77777777" w:rsidTr="00795CB5">
        <w:trPr>
          <w:trHeight w:val="1007"/>
        </w:trPr>
        <w:tc>
          <w:tcPr>
            <w:tcW w:w="565" w:type="dxa"/>
            <w:tcBorders>
              <w:top w:val="single" w:sz="4" w:space="0" w:color="auto"/>
              <w:left w:val="single" w:sz="4" w:space="0" w:color="auto"/>
              <w:bottom w:val="single" w:sz="4" w:space="0" w:color="auto"/>
              <w:right w:val="single" w:sz="4" w:space="0" w:color="auto"/>
            </w:tcBorders>
          </w:tcPr>
          <w:p w14:paraId="44A77CD6" w14:textId="20FE1027" w:rsidR="00795CB5" w:rsidRPr="00B91478" w:rsidRDefault="00795CB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8820" w:type="dxa"/>
            <w:tcBorders>
              <w:top w:val="single" w:sz="4" w:space="0" w:color="auto"/>
              <w:left w:val="single" w:sz="4" w:space="0" w:color="auto"/>
              <w:bottom w:val="single" w:sz="4" w:space="0" w:color="auto"/>
              <w:right w:val="single" w:sz="4" w:space="0" w:color="auto"/>
            </w:tcBorders>
            <w:shd w:val="clear" w:color="auto" w:fill="auto"/>
          </w:tcPr>
          <w:p w14:paraId="53A8A2D9" w14:textId="78E615C0" w:rsidR="00795CB5" w:rsidRPr="00795CB5" w:rsidRDefault="00795CB5" w:rsidP="00605A42">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Management: </w:t>
            </w:r>
          </w:p>
          <w:p w14:paraId="077C5380" w14:textId="77777777" w:rsidR="00795CB5" w:rsidRPr="00613588" w:rsidRDefault="00795CB5">
            <w:pPr>
              <w:numPr>
                <w:ilvl w:val="1"/>
                <w:numId w:val="0"/>
              </w:numPr>
              <w:overflowPunct/>
              <w:autoSpaceDE/>
              <w:autoSpaceDN/>
              <w:spacing w:after="120"/>
              <w:textAlignment w:val="auto"/>
              <w:rPr>
                <w:rFonts w:eastAsia="STZhongsong"/>
                <w:b/>
                <w:lang w:eastAsia="zh-CN"/>
              </w:rPr>
            </w:pPr>
            <w:r w:rsidRPr="00613588">
              <w:rPr>
                <w:rFonts w:eastAsia="STZhongsong"/>
                <w:lang w:eastAsia="zh-CN"/>
              </w:rPr>
              <w:t>In Call Off Schedule 9 (Exit Management</w:t>
            </w:r>
            <w:r>
              <w:rPr>
                <w:rFonts w:eastAsia="STZhongsong"/>
                <w:lang w:eastAsia="zh-CN"/>
              </w:rPr>
              <w:t>)</w:t>
            </w:r>
            <w:r w:rsidRPr="00613588">
              <w:rPr>
                <w:rFonts w:eastAsia="STZhongsong"/>
                <w:b/>
                <w:lang w:eastAsia="zh-CN"/>
              </w:rPr>
              <w:t xml:space="preserve"> </w:t>
            </w:r>
          </w:p>
          <w:p w14:paraId="30E5DA7F" w14:textId="72E1585A" w:rsidR="00795CB5" w:rsidRPr="00B91478" w:rsidRDefault="00795CB5" w:rsidP="00613588">
            <w:pPr>
              <w:numPr>
                <w:ilvl w:val="1"/>
                <w:numId w:val="0"/>
              </w:numPr>
              <w:overflowPunct/>
              <w:autoSpaceDE/>
              <w:autoSpaceDN/>
              <w:spacing w:after="120"/>
              <w:textAlignment w:val="auto"/>
              <w:rPr>
                <w:i/>
              </w:rPr>
            </w:pPr>
          </w:p>
        </w:tc>
      </w:tr>
    </w:tbl>
    <w:p w14:paraId="69E57A0A" w14:textId="77777777" w:rsidR="004E05DC" w:rsidRDefault="004E05DC">
      <w:pPr>
        <w:pStyle w:val="ORDERFORML1PraraNo"/>
        <w:numPr>
          <w:ilvl w:val="0"/>
          <w:numId w:val="0"/>
        </w:numPr>
        <w:ind w:left="426"/>
        <w:rPr>
          <w:rFonts w:ascii="Arial" w:hAnsi="Arial" w:cs="Arial"/>
        </w:rPr>
      </w:pPr>
    </w:p>
    <w:p w14:paraId="6141A30F" w14:textId="5B956D62" w:rsidR="00605A42" w:rsidRDefault="00605A42">
      <w:pPr>
        <w:pStyle w:val="ORDERFORML1PraraNo"/>
        <w:numPr>
          <w:ilvl w:val="0"/>
          <w:numId w:val="0"/>
        </w:numPr>
        <w:ind w:left="426"/>
        <w:rPr>
          <w:rFonts w:ascii="Arial" w:hAnsi="Arial" w:cs="Arial"/>
        </w:rPr>
      </w:pPr>
    </w:p>
    <w:p w14:paraId="0E923553" w14:textId="1A147A23" w:rsidR="00E95828" w:rsidRDefault="00E95828">
      <w:pPr>
        <w:pStyle w:val="ORDERFORML1PraraNo"/>
        <w:numPr>
          <w:ilvl w:val="0"/>
          <w:numId w:val="0"/>
        </w:numPr>
        <w:ind w:left="426"/>
        <w:rPr>
          <w:rFonts w:ascii="Arial" w:hAnsi="Arial" w:cs="Arial"/>
        </w:rPr>
      </w:pPr>
    </w:p>
    <w:p w14:paraId="1E9E410C" w14:textId="77777777" w:rsidR="00E95828" w:rsidRPr="00B91478" w:rsidRDefault="00E95828">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lastRenderedPageBreak/>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819"/>
      </w:tblGrid>
      <w:tr w:rsidR="00795CB5" w:rsidRPr="00B91478" w14:paraId="79968519" w14:textId="77777777" w:rsidTr="00795CB5">
        <w:tc>
          <w:tcPr>
            <w:tcW w:w="566" w:type="dxa"/>
            <w:tcBorders>
              <w:top w:val="single" w:sz="4" w:space="0" w:color="auto"/>
              <w:left w:val="single" w:sz="4" w:space="0" w:color="auto"/>
              <w:bottom w:val="single" w:sz="4" w:space="0" w:color="auto"/>
              <w:right w:val="single" w:sz="4" w:space="0" w:color="auto"/>
            </w:tcBorders>
          </w:tcPr>
          <w:p w14:paraId="6BFBD54A" w14:textId="77777777" w:rsidR="00795CB5" w:rsidRPr="00B91478" w:rsidRDefault="00795CB5">
            <w:pPr>
              <w:numPr>
                <w:ilvl w:val="1"/>
                <w:numId w:val="0"/>
              </w:numPr>
              <w:overflowPunct/>
              <w:autoSpaceDE/>
              <w:autoSpaceDN/>
              <w:spacing w:after="120"/>
              <w:jc w:val="left"/>
              <w:textAlignment w:val="auto"/>
              <w:rPr>
                <w:b/>
              </w:rPr>
            </w:pPr>
            <w:r w:rsidRPr="00B91478">
              <w:rPr>
                <w:b/>
              </w:rPr>
              <w:t>9.1</w:t>
            </w:r>
          </w:p>
        </w:tc>
        <w:tc>
          <w:tcPr>
            <w:tcW w:w="8819" w:type="dxa"/>
            <w:tcBorders>
              <w:top w:val="single" w:sz="4" w:space="0" w:color="auto"/>
              <w:left w:val="single" w:sz="4" w:space="0" w:color="auto"/>
              <w:bottom w:val="single" w:sz="4" w:space="0" w:color="auto"/>
              <w:right w:val="single" w:sz="4" w:space="0" w:color="auto"/>
            </w:tcBorders>
            <w:shd w:val="clear" w:color="auto" w:fill="auto"/>
          </w:tcPr>
          <w:p w14:paraId="71372EFB" w14:textId="77777777" w:rsidR="00795CB5" w:rsidRPr="00B91478" w:rsidRDefault="00795CB5"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3D0EBDDC" w14:textId="6D12503D" w:rsidR="00795CB5" w:rsidRPr="00B91478" w:rsidRDefault="00795CB5" w:rsidP="00613588">
            <w:pPr>
              <w:numPr>
                <w:ilvl w:val="1"/>
                <w:numId w:val="0"/>
              </w:numPr>
              <w:overflowPunct/>
              <w:autoSpaceDE/>
              <w:autoSpaceDN/>
              <w:spacing w:after="120"/>
              <w:textAlignment w:val="auto"/>
              <w:rPr>
                <w:i/>
              </w:rPr>
            </w:pPr>
            <w:r>
              <w:rPr>
                <w:b/>
              </w:rPr>
              <w:t>Not Applicable</w:t>
            </w:r>
          </w:p>
        </w:tc>
      </w:tr>
      <w:tr w:rsidR="00795CB5" w:rsidRPr="00B91478" w14:paraId="6A7CE09E" w14:textId="77777777" w:rsidTr="00795CB5">
        <w:tc>
          <w:tcPr>
            <w:tcW w:w="566" w:type="dxa"/>
            <w:tcBorders>
              <w:top w:val="single" w:sz="4" w:space="0" w:color="auto"/>
              <w:left w:val="single" w:sz="4" w:space="0" w:color="auto"/>
              <w:bottom w:val="single" w:sz="4" w:space="0" w:color="auto"/>
              <w:right w:val="single" w:sz="4" w:space="0" w:color="auto"/>
            </w:tcBorders>
          </w:tcPr>
          <w:p w14:paraId="1E7D0AAB" w14:textId="77777777" w:rsidR="00795CB5" w:rsidRPr="00B91478" w:rsidRDefault="00795CB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819" w:type="dxa"/>
            <w:tcBorders>
              <w:top w:val="single" w:sz="4" w:space="0" w:color="auto"/>
              <w:left w:val="single" w:sz="4" w:space="0" w:color="auto"/>
              <w:bottom w:val="single" w:sz="4" w:space="0" w:color="auto"/>
              <w:right w:val="single" w:sz="4" w:space="0" w:color="auto"/>
            </w:tcBorders>
            <w:shd w:val="clear" w:color="auto" w:fill="auto"/>
          </w:tcPr>
          <w:p w14:paraId="3446730D" w14:textId="77777777" w:rsidR="00795CB5" w:rsidRPr="00B91478" w:rsidRDefault="00795CB5">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042715D3" w14:textId="5A8E2B4D" w:rsidR="00795CB5" w:rsidRPr="00BD712F" w:rsidRDefault="00BD712F" w:rsidP="00613588">
            <w:pPr>
              <w:numPr>
                <w:ilvl w:val="1"/>
                <w:numId w:val="0"/>
              </w:numPr>
              <w:overflowPunct/>
              <w:autoSpaceDE/>
              <w:autoSpaceDN/>
              <w:spacing w:after="120"/>
              <w:textAlignment w:val="auto"/>
            </w:pPr>
            <w:r>
              <w:t>No known commercially sensitive information.</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726"/>
      </w:tblGrid>
      <w:tr w:rsidR="00795CB5" w:rsidRPr="00B91478" w14:paraId="43D33619" w14:textId="77777777" w:rsidTr="00795CB5">
        <w:tc>
          <w:tcPr>
            <w:tcW w:w="767" w:type="dxa"/>
          </w:tcPr>
          <w:p w14:paraId="7D99477E" w14:textId="77777777" w:rsidR="00795CB5" w:rsidRPr="00B91478" w:rsidRDefault="00795CB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726" w:type="dxa"/>
            <w:shd w:val="clear" w:color="auto" w:fill="auto"/>
          </w:tcPr>
          <w:p w14:paraId="31BA9AFA" w14:textId="77777777" w:rsidR="00795CB5" w:rsidRPr="00B91478" w:rsidRDefault="00795CB5">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5ED83060" w14:textId="77777777" w:rsidR="00795CB5" w:rsidRPr="00605A42" w:rsidRDefault="00795CB5">
            <w:pPr>
              <w:numPr>
                <w:ilvl w:val="1"/>
                <w:numId w:val="0"/>
              </w:numPr>
              <w:overflowPunct/>
              <w:autoSpaceDE/>
              <w:autoSpaceDN/>
              <w:spacing w:after="120"/>
              <w:jc w:val="left"/>
              <w:textAlignment w:val="auto"/>
              <w:rPr>
                <w:rFonts w:eastAsia="STZhongsong"/>
                <w:b/>
                <w:lang w:eastAsia="zh-CN"/>
              </w:rPr>
            </w:pPr>
            <w:r w:rsidRPr="00605A42">
              <w:rPr>
                <w:rFonts w:eastAsia="STZhongsong"/>
                <w:b/>
                <w:lang w:eastAsia="zh-CN"/>
              </w:rPr>
              <w:t>Recital A</w:t>
            </w:r>
          </w:p>
          <w:p w14:paraId="26C4BEA0" w14:textId="77777777" w:rsidR="00795CB5" w:rsidRPr="00B91478" w:rsidRDefault="00795CB5" w:rsidP="00605A42">
            <w:pPr>
              <w:numPr>
                <w:ilvl w:val="1"/>
                <w:numId w:val="0"/>
              </w:numPr>
              <w:overflowPunct/>
              <w:autoSpaceDE/>
              <w:autoSpaceDN/>
              <w:spacing w:after="120"/>
              <w:jc w:val="left"/>
              <w:textAlignment w:val="auto"/>
              <w:rPr>
                <w:rFonts w:eastAsia="STZhongsong"/>
                <w:b/>
                <w:lang w:eastAsia="zh-CN"/>
              </w:rPr>
            </w:pPr>
          </w:p>
          <w:p w14:paraId="7940BE58" w14:textId="65AD2D23" w:rsidR="00795CB5" w:rsidRPr="00B91478" w:rsidRDefault="00795CB5" w:rsidP="00BB4A0B">
            <w:pPr>
              <w:numPr>
                <w:ilvl w:val="1"/>
                <w:numId w:val="0"/>
              </w:numPr>
              <w:overflowPunct/>
              <w:autoSpaceDE/>
              <w:autoSpaceDN/>
              <w:spacing w:after="120"/>
              <w:textAlignment w:val="auto"/>
              <w:rPr>
                <w:i/>
              </w:rPr>
            </w:pPr>
          </w:p>
        </w:tc>
      </w:tr>
      <w:tr w:rsidR="00795CB5" w:rsidRPr="00B91478" w14:paraId="6517E645" w14:textId="77777777" w:rsidTr="00795CB5">
        <w:tc>
          <w:tcPr>
            <w:tcW w:w="767" w:type="dxa"/>
          </w:tcPr>
          <w:p w14:paraId="18CF27F0" w14:textId="77777777" w:rsidR="00795CB5" w:rsidRPr="00B91478" w:rsidRDefault="00795CB5">
            <w:pPr>
              <w:numPr>
                <w:ilvl w:val="1"/>
                <w:numId w:val="0"/>
              </w:numPr>
              <w:overflowPunct/>
              <w:autoSpaceDE/>
              <w:autoSpaceDN/>
              <w:spacing w:after="120"/>
              <w:textAlignment w:val="auto"/>
              <w:rPr>
                <w:b/>
              </w:rPr>
            </w:pPr>
            <w:r w:rsidRPr="00B91478">
              <w:rPr>
                <w:b/>
              </w:rPr>
              <w:t>10.2</w:t>
            </w:r>
          </w:p>
        </w:tc>
        <w:tc>
          <w:tcPr>
            <w:tcW w:w="8726" w:type="dxa"/>
            <w:shd w:val="clear" w:color="auto" w:fill="auto"/>
          </w:tcPr>
          <w:p w14:paraId="2320B510" w14:textId="77777777" w:rsidR="00795CB5" w:rsidRPr="00B91478" w:rsidRDefault="00795CB5">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14:paraId="320AD847" w14:textId="38CEFB08" w:rsidR="00795CB5" w:rsidRPr="00B91478" w:rsidRDefault="00795CB5" w:rsidP="00613588">
            <w:pPr>
              <w:numPr>
                <w:ilvl w:val="1"/>
                <w:numId w:val="0"/>
              </w:numPr>
              <w:overflowPunct/>
              <w:autoSpaceDE/>
              <w:autoSpaceDN/>
              <w:spacing w:after="120"/>
              <w:textAlignment w:val="auto"/>
              <w:rPr>
                <w:i/>
                <w:highlight w:val="yellow"/>
              </w:rPr>
            </w:pPr>
            <w:r w:rsidRPr="00613588">
              <w:t>Not required</w:t>
            </w:r>
          </w:p>
        </w:tc>
      </w:tr>
      <w:tr w:rsidR="00795CB5" w:rsidRPr="00B91478" w14:paraId="7DCC4D29" w14:textId="77777777" w:rsidTr="000C15C2">
        <w:tc>
          <w:tcPr>
            <w:tcW w:w="767" w:type="dxa"/>
          </w:tcPr>
          <w:p w14:paraId="60E9D409" w14:textId="77777777" w:rsidR="00795CB5" w:rsidRPr="00B91478" w:rsidRDefault="00795CB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726" w:type="dxa"/>
            <w:shd w:val="clear" w:color="auto" w:fill="auto"/>
          </w:tcPr>
          <w:p w14:paraId="0BB9A508" w14:textId="77777777" w:rsidR="00795CB5" w:rsidRPr="00B91478" w:rsidRDefault="00795CB5">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14:paraId="17DD1B27" w14:textId="3CE55840" w:rsidR="00795CB5" w:rsidRDefault="00E03CCF">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The supplier shall comply with the security plan </w:t>
            </w:r>
            <w:r w:rsidR="00BA6775">
              <w:rPr>
                <w:rFonts w:eastAsia="STZhongsong"/>
                <w:lang w:eastAsia="zh-CN"/>
              </w:rPr>
              <w:t>contained in Schedule B</w:t>
            </w:r>
          </w:p>
          <w:p w14:paraId="4DA31F7F" w14:textId="05FC2966" w:rsidR="00BD712F" w:rsidRDefault="00BD712F">
            <w:pPr>
              <w:numPr>
                <w:ilvl w:val="1"/>
                <w:numId w:val="0"/>
              </w:numPr>
              <w:overflowPunct/>
              <w:autoSpaceDE/>
              <w:autoSpaceDN/>
              <w:spacing w:after="120"/>
              <w:jc w:val="left"/>
              <w:textAlignment w:val="auto"/>
              <w:rPr>
                <w:rFonts w:eastAsia="STZhongsong"/>
                <w:lang w:eastAsia="zh-CN"/>
              </w:rPr>
            </w:pPr>
          </w:p>
          <w:p w14:paraId="442477EB" w14:textId="1F67BB1F" w:rsidR="00795CB5" w:rsidRPr="00B91478" w:rsidRDefault="00795CB5">
            <w:pPr>
              <w:numPr>
                <w:ilvl w:val="1"/>
                <w:numId w:val="0"/>
              </w:numPr>
              <w:overflowPunct/>
              <w:autoSpaceDE/>
              <w:autoSpaceDN/>
              <w:spacing w:after="120"/>
              <w:jc w:val="left"/>
              <w:textAlignment w:val="auto"/>
              <w:rPr>
                <w:rFonts w:eastAsia="STZhongsong"/>
                <w:b/>
                <w:lang w:eastAsia="zh-CN"/>
              </w:rPr>
            </w:pPr>
          </w:p>
          <w:p w14:paraId="71F093F0" w14:textId="69826A6D" w:rsidR="00795CB5" w:rsidRPr="00B91478" w:rsidRDefault="00795CB5">
            <w:pPr>
              <w:keepNext/>
              <w:keepLines/>
              <w:overflowPunct/>
              <w:autoSpaceDE/>
              <w:autoSpaceDN/>
              <w:spacing w:after="0"/>
              <w:ind w:left="0"/>
              <w:textAlignment w:val="auto"/>
              <w:rPr>
                <w:i/>
              </w:rPr>
            </w:pPr>
          </w:p>
          <w:p w14:paraId="35684FDB" w14:textId="23FB0885" w:rsidR="00795CB5" w:rsidRPr="00B91478" w:rsidRDefault="00795CB5">
            <w:pPr>
              <w:numPr>
                <w:ilvl w:val="1"/>
                <w:numId w:val="0"/>
              </w:numPr>
              <w:overflowPunct/>
              <w:autoSpaceDE/>
              <w:autoSpaceDN/>
              <w:spacing w:after="0"/>
              <w:jc w:val="left"/>
              <w:textAlignment w:val="auto"/>
              <w:rPr>
                <w:i/>
              </w:rPr>
            </w:pPr>
          </w:p>
        </w:tc>
      </w:tr>
      <w:tr w:rsidR="00795CB5" w:rsidRPr="00B91478" w14:paraId="433A9CF1" w14:textId="77777777" w:rsidTr="000C15C2">
        <w:tc>
          <w:tcPr>
            <w:tcW w:w="767" w:type="dxa"/>
          </w:tcPr>
          <w:p w14:paraId="21B91E79" w14:textId="77777777" w:rsidR="00795CB5" w:rsidRPr="00B91478" w:rsidRDefault="00795CB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726" w:type="dxa"/>
            <w:shd w:val="clear" w:color="auto" w:fill="auto"/>
          </w:tcPr>
          <w:p w14:paraId="31DA2954" w14:textId="029BF75C" w:rsidR="00795CB5" w:rsidRPr="00795CB5" w:rsidRDefault="00795CB5" w:rsidP="004104B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197041E0" w14:textId="77777777" w:rsidR="00795CB5" w:rsidRPr="009F6E8F" w:rsidRDefault="00795CB5" w:rsidP="00BB4A0B">
            <w:pPr>
              <w:numPr>
                <w:ilvl w:val="1"/>
                <w:numId w:val="0"/>
              </w:numPr>
              <w:overflowPunct/>
              <w:autoSpaceDE/>
              <w:autoSpaceDN/>
              <w:spacing w:after="120"/>
              <w:textAlignment w:val="auto"/>
              <w:rPr>
                <w:rFonts w:eastAsia="STZhongsong"/>
                <w:lang w:eastAsia="zh-CN"/>
              </w:rPr>
            </w:pPr>
            <w:r w:rsidRPr="009F6E8F">
              <w:rPr>
                <w:rFonts w:eastAsia="STZhongsong"/>
                <w:lang w:eastAsia="zh-CN"/>
              </w:rPr>
              <w:t>To be provided by the Customer before the Commencement Date</w:t>
            </w:r>
          </w:p>
          <w:p w14:paraId="55C00988" w14:textId="56745507" w:rsidR="00795CB5" w:rsidRPr="00B91478" w:rsidRDefault="00795CB5">
            <w:pPr>
              <w:keepNext/>
              <w:keepLines/>
              <w:overflowPunct/>
              <w:autoSpaceDE/>
              <w:autoSpaceDN/>
              <w:spacing w:after="0"/>
              <w:ind w:left="0"/>
              <w:textAlignment w:val="auto"/>
              <w:rPr>
                <w:i/>
              </w:rPr>
            </w:pPr>
          </w:p>
        </w:tc>
      </w:tr>
      <w:tr w:rsidR="00795CB5" w:rsidRPr="00B91478" w14:paraId="068657D7" w14:textId="77777777" w:rsidTr="000C15C2">
        <w:tc>
          <w:tcPr>
            <w:tcW w:w="767" w:type="dxa"/>
          </w:tcPr>
          <w:p w14:paraId="3D88F94C" w14:textId="77777777" w:rsidR="00795CB5" w:rsidRPr="00B91478" w:rsidRDefault="00795CB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726" w:type="dxa"/>
            <w:shd w:val="clear" w:color="auto" w:fill="auto"/>
          </w:tcPr>
          <w:p w14:paraId="06CA2269" w14:textId="77777777" w:rsidR="00795CB5" w:rsidRPr="00B91478" w:rsidRDefault="00795CB5"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1396D11E" w14:textId="77777777" w:rsidR="00795CB5" w:rsidRPr="009F6E8F" w:rsidRDefault="00795CB5" w:rsidP="00BB4A0B">
            <w:pPr>
              <w:numPr>
                <w:ilvl w:val="1"/>
                <w:numId w:val="0"/>
              </w:numPr>
              <w:overflowPunct/>
              <w:autoSpaceDE/>
              <w:autoSpaceDN/>
              <w:spacing w:after="120"/>
              <w:textAlignment w:val="auto"/>
              <w:rPr>
                <w:b/>
              </w:rPr>
            </w:pPr>
            <w:r w:rsidRPr="009F6E8F">
              <w:t>Not applied</w:t>
            </w:r>
          </w:p>
          <w:p w14:paraId="1BE11D81" w14:textId="77777777" w:rsidR="00795CB5" w:rsidRPr="00B91478" w:rsidRDefault="00795CB5" w:rsidP="009F6E8F">
            <w:pPr>
              <w:numPr>
                <w:ilvl w:val="1"/>
                <w:numId w:val="0"/>
              </w:numPr>
              <w:overflowPunct/>
              <w:autoSpaceDE/>
              <w:autoSpaceDN/>
              <w:spacing w:after="120"/>
              <w:textAlignment w:val="auto"/>
              <w:rPr>
                <w:rFonts w:eastAsia="STZhongsong"/>
                <w:lang w:eastAsia="zh-CN"/>
              </w:rPr>
            </w:pPr>
          </w:p>
          <w:p w14:paraId="63747A57" w14:textId="6D77F5AB" w:rsidR="00795CB5" w:rsidRPr="00B91478" w:rsidRDefault="00795CB5" w:rsidP="00BB4A0B">
            <w:pPr>
              <w:numPr>
                <w:ilvl w:val="1"/>
                <w:numId w:val="0"/>
              </w:numPr>
              <w:overflowPunct/>
              <w:autoSpaceDE/>
              <w:autoSpaceDN/>
              <w:spacing w:after="0"/>
              <w:textAlignment w:val="auto"/>
              <w:rPr>
                <w:i/>
              </w:rPr>
            </w:pPr>
          </w:p>
        </w:tc>
      </w:tr>
      <w:tr w:rsidR="00795CB5" w:rsidRPr="00B91478" w14:paraId="3781B6C0" w14:textId="77777777" w:rsidTr="000C15C2">
        <w:tc>
          <w:tcPr>
            <w:tcW w:w="767" w:type="dxa"/>
            <w:tcBorders>
              <w:top w:val="single" w:sz="4" w:space="0" w:color="auto"/>
              <w:left w:val="single" w:sz="4" w:space="0" w:color="auto"/>
              <w:bottom w:val="single" w:sz="4" w:space="0" w:color="auto"/>
              <w:right w:val="single" w:sz="4" w:space="0" w:color="auto"/>
            </w:tcBorders>
          </w:tcPr>
          <w:p w14:paraId="6442263B" w14:textId="064CB0EE" w:rsidR="00795CB5" w:rsidRPr="00B91478" w:rsidRDefault="00795CB5">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8726" w:type="dxa"/>
            <w:tcBorders>
              <w:top w:val="single" w:sz="4" w:space="0" w:color="auto"/>
              <w:left w:val="single" w:sz="4" w:space="0" w:color="auto"/>
              <w:bottom w:val="single" w:sz="4" w:space="0" w:color="auto"/>
              <w:right w:val="single" w:sz="4" w:space="0" w:color="auto"/>
            </w:tcBorders>
            <w:shd w:val="clear" w:color="auto" w:fill="auto"/>
          </w:tcPr>
          <w:p w14:paraId="148117FB" w14:textId="2116D817" w:rsidR="00795CB5" w:rsidRPr="00B91478" w:rsidRDefault="00795CB5" w:rsidP="00BB4A0B">
            <w:pPr>
              <w:numPr>
                <w:ilvl w:val="1"/>
                <w:numId w:val="0"/>
              </w:numPr>
              <w:overflowPunct/>
              <w:autoSpaceDE/>
              <w:autoSpaceDN/>
              <w:spacing w:after="120"/>
              <w:textAlignment w:val="auto"/>
              <w:rPr>
                <w:i/>
              </w:rPr>
            </w:pPr>
            <w:r>
              <w:rPr>
                <w:rFonts w:eastAsia="STZhongsong"/>
                <w:b/>
                <w:lang w:eastAsia="zh-CN"/>
              </w:rPr>
              <w:t>NOT USED</w:t>
            </w:r>
          </w:p>
        </w:tc>
      </w:tr>
      <w:tr w:rsidR="00795CB5" w:rsidRPr="00B91478" w14:paraId="1F2C0BC2" w14:textId="77777777" w:rsidTr="000C15C2">
        <w:tc>
          <w:tcPr>
            <w:tcW w:w="767" w:type="dxa"/>
            <w:tcBorders>
              <w:top w:val="single" w:sz="4" w:space="0" w:color="auto"/>
              <w:left w:val="single" w:sz="4" w:space="0" w:color="auto"/>
              <w:bottom w:val="single" w:sz="4" w:space="0" w:color="auto"/>
              <w:right w:val="single" w:sz="4" w:space="0" w:color="auto"/>
            </w:tcBorders>
          </w:tcPr>
          <w:p w14:paraId="0BB11D9B" w14:textId="77777777" w:rsidR="00795CB5" w:rsidRPr="00B91478" w:rsidRDefault="00795CB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726" w:type="dxa"/>
            <w:tcBorders>
              <w:top w:val="single" w:sz="4" w:space="0" w:color="auto"/>
              <w:left w:val="single" w:sz="4" w:space="0" w:color="auto"/>
              <w:bottom w:val="single" w:sz="4" w:space="0" w:color="auto"/>
              <w:right w:val="single" w:sz="4" w:space="0" w:color="auto"/>
            </w:tcBorders>
            <w:shd w:val="clear" w:color="auto" w:fill="auto"/>
          </w:tcPr>
          <w:p w14:paraId="055B7E09" w14:textId="77777777" w:rsidR="00795CB5" w:rsidRDefault="00795CB5">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w:t>
            </w:r>
          </w:p>
          <w:p w14:paraId="721406F3" w14:textId="41CA8A35" w:rsidR="00795CB5" w:rsidRPr="00B91478" w:rsidRDefault="00795CB5">
            <w:pPr>
              <w:numPr>
                <w:ilvl w:val="1"/>
                <w:numId w:val="0"/>
              </w:numPr>
              <w:overflowPunct/>
              <w:autoSpaceDE/>
              <w:autoSpaceDN/>
              <w:spacing w:after="120"/>
              <w:textAlignment w:val="auto"/>
              <w:rPr>
                <w:rFonts w:eastAsia="STZhongsong"/>
                <w:lang w:eastAsia="zh-CN"/>
              </w:rPr>
            </w:pPr>
            <w:r w:rsidRPr="00B91478">
              <w:rPr>
                <w:rFonts w:eastAsia="STZhongsong"/>
                <w:lang w:eastAsia="zh-CN"/>
              </w:rPr>
              <w:t>(Clause</w:t>
            </w:r>
            <w:r>
              <w:rPr>
                <w:rFonts w:eastAsia="STZhongsong"/>
                <w:lang w:eastAsia="zh-CN"/>
              </w:rPr>
              <w:t xml:space="preserve"> 35.2.3 of the Call Off Terms)</w:t>
            </w:r>
          </w:p>
          <w:p w14:paraId="45030037" w14:textId="22BE8448" w:rsidR="00795CB5" w:rsidRPr="00B91478" w:rsidRDefault="00795CB5" w:rsidP="00FB2B54">
            <w:pPr>
              <w:numPr>
                <w:ilvl w:val="1"/>
                <w:numId w:val="0"/>
              </w:numPr>
              <w:overflowPunct/>
              <w:autoSpaceDE/>
              <w:autoSpaceDN/>
              <w:spacing w:after="120"/>
              <w:textAlignment w:val="auto"/>
              <w:rPr>
                <w:i/>
              </w:rPr>
            </w:pPr>
          </w:p>
        </w:tc>
      </w:tr>
      <w:tr w:rsidR="00795CB5" w:rsidRPr="00B91478" w14:paraId="5A0C2F03" w14:textId="77777777" w:rsidTr="000C15C2">
        <w:tc>
          <w:tcPr>
            <w:tcW w:w="767" w:type="dxa"/>
            <w:tcBorders>
              <w:top w:val="single" w:sz="4" w:space="0" w:color="auto"/>
              <w:left w:val="single" w:sz="4" w:space="0" w:color="auto"/>
              <w:bottom w:val="single" w:sz="4" w:space="0" w:color="auto"/>
              <w:right w:val="single" w:sz="4" w:space="0" w:color="auto"/>
            </w:tcBorders>
          </w:tcPr>
          <w:p w14:paraId="77CBD9C7" w14:textId="77777777" w:rsidR="00795CB5" w:rsidRPr="00B91478" w:rsidRDefault="00795CB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726" w:type="dxa"/>
            <w:tcBorders>
              <w:top w:val="single" w:sz="4" w:space="0" w:color="auto"/>
              <w:left w:val="single" w:sz="4" w:space="0" w:color="auto"/>
              <w:bottom w:val="single" w:sz="4" w:space="0" w:color="auto"/>
              <w:right w:val="single" w:sz="4" w:space="0" w:color="auto"/>
            </w:tcBorders>
            <w:shd w:val="clear" w:color="auto" w:fill="auto"/>
          </w:tcPr>
          <w:p w14:paraId="398EA883" w14:textId="77777777" w:rsidR="00795CB5" w:rsidRDefault="00795CB5">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w:t>
            </w:r>
          </w:p>
          <w:p w14:paraId="7B16ECFD" w14:textId="0574928D" w:rsidR="00795CB5" w:rsidRPr="00B91478" w:rsidRDefault="00795CB5">
            <w:pPr>
              <w:numPr>
                <w:ilvl w:val="1"/>
                <w:numId w:val="0"/>
              </w:numPr>
              <w:overflowPunct/>
              <w:autoSpaceDE/>
              <w:autoSpaceDN/>
              <w:spacing w:after="120"/>
              <w:textAlignment w:val="auto"/>
              <w:rPr>
                <w:rFonts w:eastAsia="STZhongsong"/>
                <w:lang w:eastAsia="zh-CN"/>
              </w:rPr>
            </w:pPr>
            <w:r w:rsidRPr="00B91478">
              <w:rPr>
                <w:rFonts w:eastAsia="STZhongsong"/>
                <w:lang w:eastAsia="zh-CN"/>
              </w:rPr>
              <w:t>(Clause</w:t>
            </w:r>
            <w:r>
              <w:rPr>
                <w:rFonts w:eastAsia="STZhongsong"/>
                <w:lang w:eastAsia="zh-CN"/>
              </w:rPr>
              <w:t xml:space="preserve"> 56.6 of the Call Off Terms)</w:t>
            </w:r>
          </w:p>
          <w:p w14:paraId="5A8922E2" w14:textId="156D8FBF" w:rsidR="00795CB5" w:rsidRPr="00B91478" w:rsidRDefault="00795CB5" w:rsidP="00FB2B54">
            <w:pPr>
              <w:numPr>
                <w:ilvl w:val="1"/>
                <w:numId w:val="0"/>
              </w:numPr>
              <w:overflowPunct/>
              <w:autoSpaceDE/>
              <w:autoSpaceDN/>
              <w:spacing w:after="120"/>
              <w:textAlignment w:val="auto"/>
              <w:rPr>
                <w:i/>
              </w:rPr>
            </w:pPr>
          </w:p>
        </w:tc>
      </w:tr>
      <w:tr w:rsidR="00795CB5" w:rsidRPr="00B91478" w14:paraId="3580F4D1" w14:textId="77777777" w:rsidTr="000C15C2">
        <w:tc>
          <w:tcPr>
            <w:tcW w:w="767" w:type="dxa"/>
            <w:tcBorders>
              <w:top w:val="single" w:sz="4" w:space="0" w:color="auto"/>
              <w:left w:val="single" w:sz="4" w:space="0" w:color="auto"/>
              <w:bottom w:val="single" w:sz="4" w:space="0" w:color="auto"/>
              <w:right w:val="single" w:sz="4" w:space="0" w:color="auto"/>
            </w:tcBorders>
          </w:tcPr>
          <w:p w14:paraId="20746A0C" w14:textId="77777777" w:rsidR="00795CB5" w:rsidRPr="00B91478" w:rsidRDefault="00795CB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8726" w:type="dxa"/>
            <w:tcBorders>
              <w:top w:val="single" w:sz="4" w:space="0" w:color="auto"/>
              <w:left w:val="single" w:sz="4" w:space="0" w:color="auto"/>
              <w:bottom w:val="single" w:sz="4" w:space="0" w:color="auto"/>
              <w:right w:val="single" w:sz="4" w:space="0" w:color="auto"/>
            </w:tcBorders>
            <w:shd w:val="clear" w:color="auto" w:fill="auto"/>
          </w:tcPr>
          <w:p w14:paraId="16AB1B1E" w14:textId="77777777" w:rsidR="00795CB5" w:rsidRPr="00B91478" w:rsidRDefault="00795CB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59CD569F" w14:textId="3D3C1DD9" w:rsidR="00795CB5" w:rsidRPr="00B91478" w:rsidRDefault="00795CB5" w:rsidP="00FB2B54">
            <w:pPr>
              <w:numPr>
                <w:ilvl w:val="1"/>
                <w:numId w:val="0"/>
              </w:numPr>
              <w:overflowPunct/>
              <w:autoSpaceDE/>
              <w:autoSpaceDN/>
              <w:spacing w:after="120"/>
              <w:textAlignment w:val="auto"/>
              <w:rPr>
                <w:i/>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r w:rsidR="009244B7" w:rsidRPr="00B91478" w14:paraId="39CC5DC0" w14:textId="77777777" w:rsidTr="00795CB5">
        <w:tc>
          <w:tcPr>
            <w:tcW w:w="9493" w:type="dxa"/>
            <w:gridSpan w:val="2"/>
            <w:tcBorders>
              <w:top w:val="single" w:sz="4" w:space="0" w:color="auto"/>
              <w:left w:val="single" w:sz="4" w:space="0" w:color="auto"/>
              <w:bottom w:val="single" w:sz="4" w:space="0" w:color="auto"/>
              <w:right w:val="single" w:sz="4" w:space="0" w:color="auto"/>
            </w:tcBorders>
          </w:tcPr>
          <w:p w14:paraId="24FDDB22" w14:textId="77777777" w:rsidR="009244B7" w:rsidRPr="00B91478" w:rsidRDefault="009244B7" w:rsidP="009244B7">
            <w:pPr>
              <w:numPr>
                <w:ilvl w:val="1"/>
                <w:numId w:val="0"/>
              </w:numPr>
              <w:overflowPunct/>
              <w:autoSpaceDE/>
              <w:autoSpaceDN/>
              <w:spacing w:after="120"/>
              <w:jc w:val="left"/>
              <w:textAlignment w:val="auto"/>
              <w:rPr>
                <w:i/>
              </w:rPr>
            </w:pPr>
          </w:p>
        </w:tc>
      </w:tr>
      <w:tr w:rsidR="00795CB5" w:rsidRPr="00B91478" w14:paraId="30A66646" w14:textId="77777777" w:rsidTr="000C15C2">
        <w:tc>
          <w:tcPr>
            <w:tcW w:w="767" w:type="dxa"/>
            <w:tcBorders>
              <w:top w:val="single" w:sz="4" w:space="0" w:color="auto"/>
              <w:left w:val="single" w:sz="4" w:space="0" w:color="auto"/>
              <w:bottom w:val="single" w:sz="4" w:space="0" w:color="auto"/>
              <w:right w:val="single" w:sz="4" w:space="0" w:color="auto"/>
            </w:tcBorders>
          </w:tcPr>
          <w:p w14:paraId="703563A4" w14:textId="77777777" w:rsidR="00795CB5" w:rsidRPr="00B91478" w:rsidRDefault="00795CB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10.11</w:t>
            </w:r>
          </w:p>
        </w:tc>
        <w:tc>
          <w:tcPr>
            <w:tcW w:w="8726" w:type="dxa"/>
            <w:tcBorders>
              <w:top w:val="single" w:sz="4" w:space="0" w:color="auto"/>
              <w:left w:val="single" w:sz="4" w:space="0" w:color="auto"/>
              <w:bottom w:val="single" w:sz="4" w:space="0" w:color="auto"/>
              <w:right w:val="single" w:sz="4" w:space="0" w:color="auto"/>
            </w:tcBorders>
            <w:shd w:val="clear" w:color="auto" w:fill="auto"/>
          </w:tcPr>
          <w:p w14:paraId="65F70B66" w14:textId="77777777" w:rsidR="00795CB5" w:rsidRPr="00B91478" w:rsidRDefault="00795CB5"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51AB3894" w14:textId="517D4542" w:rsidR="00795CB5" w:rsidRPr="003F3581" w:rsidRDefault="00795CB5" w:rsidP="003F3581">
            <w:pPr>
              <w:numPr>
                <w:ilvl w:val="1"/>
                <w:numId w:val="0"/>
              </w:numPr>
              <w:overflowPunct/>
              <w:autoSpaceDE/>
              <w:autoSpaceDN/>
              <w:spacing w:after="120"/>
              <w:textAlignment w:val="auto"/>
              <w:rPr>
                <w:i/>
                <w:highlight w:val="yellow"/>
              </w:rPr>
            </w:pPr>
            <w:r>
              <w:rPr>
                <w:rFonts w:eastAsia="STZhongsong"/>
                <w:b/>
                <w:lang w:eastAsia="zh-CN"/>
              </w:rPr>
              <w:t>Not applied</w:t>
            </w:r>
          </w:p>
        </w:tc>
      </w:tr>
      <w:tr w:rsidR="00795CB5" w:rsidRPr="00B91478" w14:paraId="1A1C7C47" w14:textId="77777777" w:rsidTr="000C15C2">
        <w:tc>
          <w:tcPr>
            <w:tcW w:w="767" w:type="dxa"/>
            <w:tcBorders>
              <w:top w:val="single" w:sz="4" w:space="0" w:color="auto"/>
              <w:left w:val="single" w:sz="4" w:space="0" w:color="auto"/>
              <w:bottom w:val="single" w:sz="4" w:space="0" w:color="auto"/>
              <w:right w:val="single" w:sz="4" w:space="0" w:color="auto"/>
            </w:tcBorders>
          </w:tcPr>
          <w:p w14:paraId="7AAE6378" w14:textId="77777777" w:rsidR="00795CB5" w:rsidRPr="00B91478" w:rsidRDefault="00795CB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726" w:type="dxa"/>
            <w:tcBorders>
              <w:top w:val="single" w:sz="4" w:space="0" w:color="auto"/>
              <w:left w:val="single" w:sz="4" w:space="0" w:color="auto"/>
              <w:bottom w:val="single" w:sz="4" w:space="0" w:color="auto"/>
              <w:right w:val="single" w:sz="4" w:space="0" w:color="auto"/>
            </w:tcBorders>
            <w:shd w:val="clear" w:color="auto" w:fill="auto"/>
          </w:tcPr>
          <w:p w14:paraId="5E49DDEC" w14:textId="77777777" w:rsidR="00795CB5" w:rsidRPr="00B91478" w:rsidRDefault="00795CB5">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740C621A" w14:textId="0F00DE1D" w:rsidR="00795CB5" w:rsidRPr="00B91478" w:rsidRDefault="00795CB5" w:rsidP="009F6E8F">
            <w:pPr>
              <w:numPr>
                <w:ilvl w:val="1"/>
                <w:numId w:val="0"/>
              </w:numPr>
              <w:overflowPunct/>
              <w:autoSpaceDE/>
              <w:autoSpaceDN/>
              <w:spacing w:after="120"/>
              <w:textAlignment w:val="auto"/>
              <w:rPr>
                <w:i/>
                <w:highlight w:val="yellow"/>
              </w:rPr>
            </w:pPr>
            <w:r>
              <w:rPr>
                <w:i/>
              </w:rPr>
              <w:t>Not applicable</w:t>
            </w:r>
          </w:p>
        </w:tc>
      </w:tr>
      <w:tr w:rsidR="00795CB5" w:rsidRPr="00B91478" w14:paraId="72D6CB9F" w14:textId="77777777" w:rsidTr="000C15C2">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795CB5" w:rsidRPr="00B91478" w:rsidRDefault="00795CB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14:paraId="3E9D4370" w14:textId="77777777" w:rsidR="00795CB5" w:rsidRDefault="00795CB5"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Publicity and Branding </w:t>
            </w:r>
          </w:p>
          <w:p w14:paraId="7D6B6743" w14:textId="3230F3C2" w:rsidR="00795CB5" w:rsidRPr="00795CB5" w:rsidRDefault="00795CB5" w:rsidP="00BB4A0B">
            <w:pPr>
              <w:numPr>
                <w:ilvl w:val="1"/>
                <w:numId w:val="0"/>
              </w:numPr>
              <w:overflowPunct/>
              <w:autoSpaceDE/>
              <w:autoSpaceDN/>
              <w:spacing w:after="120"/>
              <w:textAlignment w:val="auto"/>
              <w:rPr>
                <w:rFonts w:eastAsia="STZhongsong"/>
                <w:lang w:eastAsia="zh-CN"/>
              </w:rPr>
            </w:pPr>
            <w:r w:rsidRPr="00795CB5">
              <w:rPr>
                <w:rFonts w:eastAsia="STZhongsong"/>
                <w:lang w:eastAsia="zh-CN"/>
              </w:rPr>
              <w:t>(Clause 36.3.2 of the Call Off Terms)</w:t>
            </w:r>
          </w:p>
          <w:p w14:paraId="33F255EA" w14:textId="789B2268" w:rsidR="00795CB5" w:rsidRPr="00B91478" w:rsidRDefault="00795CB5" w:rsidP="00BB4A0B">
            <w:pPr>
              <w:numPr>
                <w:ilvl w:val="1"/>
                <w:numId w:val="0"/>
              </w:numPr>
              <w:overflowPunct/>
              <w:autoSpaceDE/>
              <w:autoSpaceDN/>
              <w:spacing w:after="120"/>
              <w:ind w:left="317" w:hanging="284"/>
              <w:textAlignment w:val="auto"/>
              <w:rPr>
                <w:i/>
                <w:highlight w:val="yellow"/>
              </w:rPr>
            </w:pPr>
          </w:p>
        </w:tc>
      </w:tr>
      <w:tr w:rsidR="00795CB5" w:rsidRPr="00B91478" w14:paraId="3C819062" w14:textId="77777777" w:rsidTr="000C15C2">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795CB5" w:rsidRPr="00B91478" w:rsidRDefault="00795CB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14:paraId="3DCEEA43" w14:textId="77777777" w:rsidR="00795CB5" w:rsidRPr="00B91478" w:rsidRDefault="00795CB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67B8EDA4" w14:textId="0415424D" w:rsidR="00795CB5" w:rsidRPr="00B91478" w:rsidRDefault="00795CB5">
            <w:pPr>
              <w:numPr>
                <w:ilvl w:val="1"/>
                <w:numId w:val="0"/>
              </w:numPr>
              <w:overflowPunct/>
              <w:autoSpaceDE/>
              <w:autoSpaceDN/>
              <w:spacing w:after="120"/>
              <w:jc w:val="left"/>
              <w:textAlignment w:val="auto"/>
              <w:rPr>
                <w:i/>
                <w:highlight w:val="yellow"/>
              </w:rPr>
            </w:pPr>
            <w:r>
              <w:rPr>
                <w:i/>
              </w:rPr>
              <w:t>Not applicable</w:t>
            </w:r>
            <w:r w:rsidRPr="00B91478">
              <w:rPr>
                <w:i/>
                <w:highlight w:val="yellow"/>
              </w:rPr>
              <w:t xml:space="preserve"> </w:t>
            </w:r>
          </w:p>
        </w:tc>
      </w:tr>
      <w:tr w:rsidR="00795CB5" w:rsidRPr="00B91478" w14:paraId="18937FE2" w14:textId="77777777" w:rsidTr="000C15C2">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795CB5" w:rsidRPr="00B91478" w:rsidRDefault="00795CB5">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14:paraId="65F1FB30" w14:textId="77777777" w:rsidR="00795CB5" w:rsidRDefault="00795CB5">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63C12B45" w14:textId="77777777" w:rsidR="00795CB5" w:rsidRPr="002440C8" w:rsidRDefault="00795CB5">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p w14:paraId="56BFD677" w14:textId="0F3E4A9D" w:rsidR="00795CB5" w:rsidRPr="009F6E8F" w:rsidRDefault="00795CB5" w:rsidP="009F6E8F">
            <w:pPr>
              <w:numPr>
                <w:ilvl w:val="1"/>
                <w:numId w:val="0"/>
              </w:numPr>
              <w:overflowPunct/>
              <w:autoSpaceDE/>
              <w:autoSpaceDN/>
              <w:spacing w:after="120"/>
              <w:jc w:val="left"/>
              <w:textAlignment w:val="auto"/>
              <w:rPr>
                <w:i/>
              </w:rPr>
            </w:pPr>
            <w:r>
              <w:rPr>
                <w:i/>
              </w:rPr>
              <w:t>To be completed in life of contract</w:t>
            </w:r>
          </w:p>
        </w:tc>
      </w:tr>
      <w:tr w:rsidR="002440C8" w:rsidRPr="00B91478" w14:paraId="73CD7AB0" w14:textId="77777777" w:rsidTr="00795CB5">
        <w:tc>
          <w:tcPr>
            <w:tcW w:w="94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E8B750" w14:textId="77777777" w:rsidR="002440C8" w:rsidRDefault="002440C8">
            <w:pPr>
              <w:numPr>
                <w:ilvl w:val="1"/>
                <w:numId w:val="0"/>
              </w:numPr>
              <w:overflowPunct/>
              <w:autoSpaceDE/>
              <w:autoSpaceDN/>
              <w:spacing w:after="120"/>
              <w:jc w:val="left"/>
              <w:textAlignment w:val="auto"/>
              <w:rPr>
                <w:i/>
                <w:highlight w:val="yellow"/>
              </w:rPr>
            </w:pPr>
          </w:p>
          <w:p w14:paraId="3BF9A8CC" w14:textId="77777777" w:rsidR="002440C8" w:rsidRPr="00B91478" w:rsidRDefault="002440C8">
            <w:pPr>
              <w:numPr>
                <w:ilvl w:val="1"/>
                <w:numId w:val="0"/>
              </w:numPr>
              <w:overflowPunct/>
              <w:autoSpaceDE/>
              <w:autoSpaceDN/>
              <w:spacing w:after="120"/>
              <w:jc w:val="left"/>
              <w:textAlignment w:val="auto"/>
              <w:rPr>
                <w:i/>
                <w:highlight w:val="yellow"/>
              </w:rPr>
            </w:pPr>
          </w:p>
        </w:tc>
      </w:tr>
    </w:tbl>
    <w:p w14:paraId="655D7FC0" w14:textId="0F537E4D" w:rsidR="0061276A" w:rsidRDefault="0061276A">
      <w:pPr>
        <w:ind w:left="0"/>
      </w:pPr>
    </w:p>
    <w:p w14:paraId="22E33491" w14:textId="77777777" w:rsidR="004D4A61" w:rsidRDefault="004D4A61">
      <w:pPr>
        <w:overflowPunct/>
        <w:autoSpaceDE/>
        <w:autoSpaceDN/>
        <w:adjustRightInd/>
        <w:spacing w:after="0"/>
        <w:ind w:left="0"/>
        <w:jc w:val="left"/>
        <w:textAlignment w:val="auto"/>
        <w:rPr>
          <w:b/>
        </w:rPr>
      </w:pPr>
      <w:r>
        <w:rPr>
          <w:b/>
        </w:rPr>
        <w:br w:type="page"/>
      </w:r>
    </w:p>
    <w:p w14:paraId="518CD758" w14:textId="2D18939A" w:rsidR="004E05DC" w:rsidRPr="00B91478" w:rsidRDefault="00F770DB">
      <w:pPr>
        <w:ind w:left="0"/>
        <w:rPr>
          <w:b/>
        </w:rPr>
      </w:pPr>
      <w:r w:rsidRPr="00B91478">
        <w:rPr>
          <w:b/>
        </w:rPr>
        <w:lastRenderedPageBreak/>
        <w:t>FORMATION OF CALL OFF CONTRACT</w:t>
      </w:r>
    </w:p>
    <w:p w14:paraId="232E1959"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429FA1D2" w:rsidR="004E05DC" w:rsidRPr="00B91478" w:rsidRDefault="00796219">
            <w:pPr>
              <w:pStyle w:val="MarginText"/>
              <w:rPr>
                <w:rFonts w:cs="Arial"/>
                <w:sz w:val="22"/>
                <w:szCs w:val="22"/>
              </w:rPr>
            </w:pPr>
            <w:r>
              <w:rPr>
                <w:b/>
              </w:rPr>
              <w:t>Rupert Steptoe</w:t>
            </w: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77777777" w:rsidR="004E05DC" w:rsidRPr="00B91478" w:rsidRDefault="004E05DC">
            <w:pPr>
              <w:pStyle w:val="MarginText"/>
              <w:rPr>
                <w:rFonts w:cs="Arial"/>
                <w:sz w:val="22"/>
                <w:szCs w:val="22"/>
              </w:rPr>
            </w:pP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77777777" w:rsidR="004E05DC" w:rsidRPr="00B91478" w:rsidRDefault="004E05DC">
            <w:pPr>
              <w:pStyle w:val="MarginText"/>
              <w:rPr>
                <w:rFonts w:cs="Arial"/>
                <w:sz w:val="22"/>
                <w:szCs w:val="22"/>
              </w:rPr>
            </w:pP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3443B231" w:rsidR="004E05DC" w:rsidRPr="00B91478" w:rsidRDefault="00AE14D1">
            <w:pPr>
              <w:pStyle w:val="MarginText"/>
              <w:rPr>
                <w:rFonts w:cs="Arial"/>
                <w:sz w:val="22"/>
                <w:szCs w:val="22"/>
              </w:rPr>
            </w:pPr>
            <w:r>
              <w:rPr>
                <w:rFonts w:cs="Arial"/>
                <w:sz w:val="22"/>
                <w:szCs w:val="22"/>
              </w:rPr>
              <w:t>Tim Broughton</w:t>
            </w: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77777777" w:rsidR="004E05DC" w:rsidRPr="00B91478" w:rsidRDefault="004E05DC">
            <w:pPr>
              <w:pStyle w:val="MarginText"/>
              <w:rPr>
                <w:rFonts w:cs="Arial"/>
                <w:sz w:val="22"/>
                <w:szCs w:val="22"/>
              </w:rPr>
            </w:pP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77777777" w:rsidR="004E05DC" w:rsidRPr="00B91478" w:rsidRDefault="004E05DC">
            <w:pPr>
              <w:pStyle w:val="MarginText"/>
              <w:rPr>
                <w:rFonts w:cs="Arial"/>
                <w:sz w:val="22"/>
                <w:szCs w:val="22"/>
              </w:rPr>
            </w:pPr>
          </w:p>
        </w:tc>
      </w:tr>
    </w:tbl>
    <w:p w14:paraId="0D5F80B7" w14:textId="099D2476" w:rsidR="00F763AE" w:rsidRDefault="00F763AE" w:rsidP="00F763AE">
      <w:pPr>
        <w:pStyle w:val="TOC1"/>
      </w:pPr>
    </w:p>
    <w:p w14:paraId="250C9345" w14:textId="77777777" w:rsidR="004B6008" w:rsidRDefault="004B6008" w:rsidP="004B6008">
      <w:pPr>
        <w:overflowPunct/>
        <w:autoSpaceDE/>
        <w:autoSpaceDN/>
        <w:adjustRightInd/>
        <w:spacing w:after="0"/>
        <w:ind w:left="0"/>
        <w:jc w:val="left"/>
        <w:rPr>
          <w:b/>
          <w:bCs/>
          <w:sz w:val="21"/>
          <w:szCs w:val="21"/>
          <w:bdr w:val="none" w:sz="0" w:space="0" w:color="auto" w:frame="1"/>
          <w:lang w:val="en" w:eastAsia="en-GB"/>
        </w:rPr>
      </w:pPr>
    </w:p>
    <w:p w14:paraId="6CAD18C8" w14:textId="77777777" w:rsidR="004B6008" w:rsidRDefault="004B6008" w:rsidP="004B6008">
      <w:pPr>
        <w:overflowPunct/>
        <w:autoSpaceDE/>
        <w:autoSpaceDN/>
        <w:adjustRightInd/>
        <w:spacing w:after="0"/>
        <w:ind w:left="0"/>
        <w:jc w:val="left"/>
        <w:rPr>
          <w:b/>
          <w:bCs/>
          <w:sz w:val="21"/>
          <w:szCs w:val="21"/>
          <w:bdr w:val="none" w:sz="0" w:space="0" w:color="auto" w:frame="1"/>
          <w:lang w:val="en" w:eastAsia="en-GB"/>
        </w:rPr>
      </w:pPr>
    </w:p>
    <w:p w14:paraId="61ACB47E" w14:textId="77777777" w:rsidR="004B6008" w:rsidRDefault="004B6008" w:rsidP="004B6008">
      <w:pPr>
        <w:overflowPunct/>
        <w:autoSpaceDE/>
        <w:autoSpaceDN/>
        <w:adjustRightInd/>
        <w:spacing w:after="0"/>
        <w:ind w:left="0"/>
        <w:jc w:val="left"/>
        <w:rPr>
          <w:b/>
          <w:bCs/>
          <w:sz w:val="21"/>
          <w:szCs w:val="21"/>
          <w:bdr w:val="none" w:sz="0" w:space="0" w:color="auto" w:frame="1"/>
          <w:lang w:val="en" w:eastAsia="en-GB"/>
        </w:rPr>
      </w:pPr>
    </w:p>
    <w:p w14:paraId="2DEF81E6" w14:textId="77777777" w:rsidR="004B6008" w:rsidRDefault="004B6008" w:rsidP="004B6008">
      <w:pPr>
        <w:overflowPunct/>
        <w:autoSpaceDE/>
        <w:autoSpaceDN/>
        <w:adjustRightInd/>
        <w:spacing w:after="0"/>
        <w:ind w:left="0"/>
        <w:jc w:val="left"/>
        <w:rPr>
          <w:b/>
          <w:bCs/>
          <w:sz w:val="21"/>
          <w:szCs w:val="21"/>
          <w:bdr w:val="none" w:sz="0" w:space="0" w:color="auto" w:frame="1"/>
          <w:lang w:val="en" w:eastAsia="en-GB"/>
        </w:rPr>
      </w:pPr>
    </w:p>
    <w:p w14:paraId="23708C4E" w14:textId="77777777" w:rsidR="004B6008" w:rsidRDefault="004B6008" w:rsidP="004B6008">
      <w:pPr>
        <w:overflowPunct/>
        <w:autoSpaceDE/>
        <w:autoSpaceDN/>
        <w:adjustRightInd/>
        <w:spacing w:after="0"/>
        <w:ind w:left="0"/>
        <w:jc w:val="left"/>
        <w:rPr>
          <w:b/>
          <w:bCs/>
          <w:sz w:val="21"/>
          <w:szCs w:val="21"/>
          <w:bdr w:val="none" w:sz="0" w:space="0" w:color="auto" w:frame="1"/>
          <w:lang w:val="en" w:eastAsia="en-GB"/>
        </w:rPr>
      </w:pPr>
    </w:p>
    <w:p w14:paraId="73E65887" w14:textId="77777777" w:rsidR="004B6008" w:rsidRDefault="004B6008" w:rsidP="004B6008">
      <w:pPr>
        <w:overflowPunct/>
        <w:autoSpaceDE/>
        <w:autoSpaceDN/>
        <w:adjustRightInd/>
        <w:spacing w:after="0"/>
        <w:ind w:left="0"/>
        <w:jc w:val="left"/>
        <w:rPr>
          <w:b/>
          <w:bCs/>
          <w:sz w:val="21"/>
          <w:szCs w:val="21"/>
          <w:bdr w:val="none" w:sz="0" w:space="0" w:color="auto" w:frame="1"/>
          <w:lang w:val="en" w:eastAsia="en-GB"/>
        </w:rPr>
      </w:pPr>
    </w:p>
    <w:p w14:paraId="1BCC28EA" w14:textId="77777777" w:rsidR="004B6008" w:rsidRDefault="004B6008" w:rsidP="004B6008">
      <w:pPr>
        <w:overflowPunct/>
        <w:autoSpaceDE/>
        <w:autoSpaceDN/>
        <w:adjustRightInd/>
        <w:spacing w:after="0"/>
        <w:ind w:left="0"/>
        <w:jc w:val="left"/>
        <w:rPr>
          <w:b/>
          <w:bCs/>
          <w:sz w:val="21"/>
          <w:szCs w:val="21"/>
          <w:bdr w:val="none" w:sz="0" w:space="0" w:color="auto" w:frame="1"/>
          <w:lang w:val="en" w:eastAsia="en-GB"/>
        </w:rPr>
      </w:pPr>
    </w:p>
    <w:p w14:paraId="79FD04D7" w14:textId="77777777" w:rsidR="004B6008" w:rsidRDefault="004B6008" w:rsidP="004B6008">
      <w:pPr>
        <w:overflowPunct/>
        <w:autoSpaceDE/>
        <w:autoSpaceDN/>
        <w:adjustRightInd/>
        <w:spacing w:after="0"/>
        <w:ind w:left="0"/>
        <w:jc w:val="left"/>
        <w:rPr>
          <w:b/>
          <w:bCs/>
          <w:sz w:val="21"/>
          <w:szCs w:val="21"/>
          <w:bdr w:val="none" w:sz="0" w:space="0" w:color="auto" w:frame="1"/>
          <w:lang w:val="en" w:eastAsia="en-GB"/>
        </w:rPr>
      </w:pPr>
    </w:p>
    <w:p w14:paraId="41720FF0" w14:textId="77777777" w:rsidR="004B6008" w:rsidRDefault="004B6008" w:rsidP="004B6008">
      <w:pPr>
        <w:overflowPunct/>
        <w:autoSpaceDE/>
        <w:autoSpaceDN/>
        <w:adjustRightInd/>
        <w:spacing w:after="0"/>
        <w:ind w:left="0"/>
        <w:jc w:val="left"/>
        <w:rPr>
          <w:b/>
          <w:bCs/>
          <w:sz w:val="21"/>
          <w:szCs w:val="21"/>
          <w:bdr w:val="none" w:sz="0" w:space="0" w:color="auto" w:frame="1"/>
          <w:lang w:val="en" w:eastAsia="en-GB"/>
        </w:rPr>
      </w:pPr>
    </w:p>
    <w:p w14:paraId="05987963" w14:textId="77777777" w:rsidR="004B6008" w:rsidRDefault="004B6008" w:rsidP="004B6008">
      <w:pPr>
        <w:overflowPunct/>
        <w:autoSpaceDE/>
        <w:autoSpaceDN/>
        <w:adjustRightInd/>
        <w:spacing w:after="0"/>
        <w:ind w:left="0"/>
        <w:jc w:val="left"/>
        <w:rPr>
          <w:b/>
          <w:bCs/>
          <w:sz w:val="21"/>
          <w:szCs w:val="21"/>
          <w:bdr w:val="none" w:sz="0" w:space="0" w:color="auto" w:frame="1"/>
          <w:lang w:val="en" w:eastAsia="en-GB"/>
        </w:rPr>
      </w:pPr>
    </w:p>
    <w:p w14:paraId="49972EAB" w14:textId="77777777" w:rsidR="004B6008" w:rsidRDefault="004B6008" w:rsidP="004B6008">
      <w:pPr>
        <w:overflowPunct/>
        <w:autoSpaceDE/>
        <w:autoSpaceDN/>
        <w:adjustRightInd/>
        <w:spacing w:after="0"/>
        <w:ind w:left="0"/>
        <w:jc w:val="left"/>
        <w:rPr>
          <w:b/>
          <w:bCs/>
          <w:sz w:val="21"/>
          <w:szCs w:val="21"/>
          <w:bdr w:val="none" w:sz="0" w:space="0" w:color="auto" w:frame="1"/>
          <w:lang w:val="en" w:eastAsia="en-GB"/>
        </w:rPr>
      </w:pPr>
    </w:p>
    <w:p w14:paraId="64D64185" w14:textId="77777777" w:rsidR="004B6008" w:rsidRDefault="004B6008" w:rsidP="004B6008">
      <w:pPr>
        <w:overflowPunct/>
        <w:autoSpaceDE/>
        <w:autoSpaceDN/>
        <w:adjustRightInd/>
        <w:spacing w:after="0"/>
        <w:ind w:left="0"/>
        <w:jc w:val="left"/>
        <w:rPr>
          <w:b/>
          <w:bCs/>
          <w:sz w:val="21"/>
          <w:szCs w:val="21"/>
          <w:bdr w:val="none" w:sz="0" w:space="0" w:color="auto" w:frame="1"/>
          <w:lang w:val="en" w:eastAsia="en-GB"/>
        </w:rPr>
      </w:pPr>
    </w:p>
    <w:p w14:paraId="30179C38" w14:textId="77777777" w:rsidR="004B6008" w:rsidRDefault="004B6008" w:rsidP="004B6008">
      <w:pPr>
        <w:overflowPunct/>
        <w:autoSpaceDE/>
        <w:autoSpaceDN/>
        <w:adjustRightInd/>
        <w:spacing w:after="0"/>
        <w:ind w:left="0"/>
        <w:jc w:val="left"/>
        <w:rPr>
          <w:b/>
          <w:bCs/>
          <w:sz w:val="21"/>
          <w:szCs w:val="21"/>
          <w:bdr w:val="none" w:sz="0" w:space="0" w:color="auto" w:frame="1"/>
          <w:lang w:val="en" w:eastAsia="en-GB"/>
        </w:rPr>
      </w:pPr>
    </w:p>
    <w:p w14:paraId="297C0F60" w14:textId="77777777" w:rsidR="004B6008" w:rsidRDefault="004B6008" w:rsidP="004B6008">
      <w:pPr>
        <w:overflowPunct/>
        <w:autoSpaceDE/>
        <w:autoSpaceDN/>
        <w:adjustRightInd/>
        <w:spacing w:after="0"/>
        <w:ind w:left="0"/>
        <w:jc w:val="left"/>
        <w:rPr>
          <w:b/>
          <w:bCs/>
          <w:sz w:val="21"/>
          <w:szCs w:val="21"/>
          <w:bdr w:val="none" w:sz="0" w:space="0" w:color="auto" w:frame="1"/>
          <w:lang w:val="en" w:eastAsia="en-GB"/>
        </w:rPr>
      </w:pPr>
    </w:p>
    <w:p w14:paraId="61493ACC" w14:textId="412ACE94" w:rsidR="004B6008" w:rsidRDefault="00E95828" w:rsidP="004B6008">
      <w:pPr>
        <w:overflowPunct/>
        <w:autoSpaceDE/>
        <w:autoSpaceDN/>
        <w:adjustRightInd/>
        <w:spacing w:after="0"/>
        <w:ind w:left="0"/>
        <w:jc w:val="left"/>
        <w:rPr>
          <w:b/>
          <w:bCs/>
          <w:sz w:val="21"/>
          <w:szCs w:val="21"/>
          <w:bdr w:val="none" w:sz="0" w:space="0" w:color="auto" w:frame="1"/>
          <w:lang w:val="en" w:eastAsia="en-GB"/>
        </w:rPr>
      </w:pPr>
      <w:r>
        <w:rPr>
          <w:b/>
          <w:bCs/>
          <w:sz w:val="21"/>
          <w:szCs w:val="21"/>
          <w:bdr w:val="none" w:sz="0" w:space="0" w:color="auto" w:frame="1"/>
          <w:lang w:val="en" w:eastAsia="en-GB"/>
        </w:rPr>
        <w:lastRenderedPageBreak/>
        <w:t>Schedule</w:t>
      </w:r>
      <w:r w:rsidR="004B6008">
        <w:rPr>
          <w:b/>
          <w:bCs/>
          <w:sz w:val="21"/>
          <w:szCs w:val="21"/>
          <w:bdr w:val="none" w:sz="0" w:space="0" w:color="auto" w:frame="1"/>
          <w:lang w:val="en" w:eastAsia="en-GB"/>
        </w:rPr>
        <w:t xml:space="preserve"> A</w:t>
      </w:r>
    </w:p>
    <w:p w14:paraId="516192ED" w14:textId="77777777" w:rsidR="004B6008" w:rsidRDefault="004B6008" w:rsidP="004B6008">
      <w:pPr>
        <w:overflowPunct/>
        <w:autoSpaceDE/>
        <w:autoSpaceDN/>
        <w:adjustRightInd/>
        <w:spacing w:after="0"/>
        <w:ind w:left="0"/>
        <w:jc w:val="left"/>
        <w:rPr>
          <w:b/>
          <w:bCs/>
          <w:sz w:val="21"/>
          <w:szCs w:val="21"/>
          <w:bdr w:val="none" w:sz="0" w:space="0" w:color="auto" w:frame="1"/>
          <w:lang w:val="en" w:eastAsia="en-GB"/>
        </w:rPr>
      </w:pPr>
    </w:p>
    <w:p w14:paraId="274E80BD" w14:textId="77777777" w:rsidR="004B6008" w:rsidRPr="00FB15D7" w:rsidRDefault="004B6008" w:rsidP="004B6008">
      <w:pPr>
        <w:pStyle w:val="ListParagraph"/>
        <w:spacing w:after="0"/>
        <w:ind w:left="1418"/>
        <w:rPr>
          <w:rFonts w:cstheme="minorHAnsi"/>
          <w:b/>
        </w:rPr>
      </w:pPr>
      <w:r w:rsidRPr="00444FF0">
        <w:rPr>
          <w:rFonts w:ascii="Calibri" w:hAnsi="Calibri" w:cs="Calibri"/>
          <w:bCs/>
          <w:highlight w:val="yellow"/>
          <w:lang w:eastAsia="en-GB"/>
        </w:rPr>
        <w:t xml:space="preserve"> </w:t>
      </w:r>
    </w:p>
    <w:p w14:paraId="09ADA90E" w14:textId="77777777" w:rsidR="004B6008" w:rsidRDefault="004B6008" w:rsidP="004B6008">
      <w:pPr>
        <w:ind w:left="142" w:right="394"/>
        <w:rPr>
          <w:rFonts w:cstheme="minorHAnsi"/>
          <w:b/>
        </w:rPr>
      </w:pPr>
      <w:r>
        <w:rPr>
          <w:noProof/>
          <w:lang w:eastAsia="en-GB"/>
        </w:rPr>
        <w:drawing>
          <wp:inline distT="0" distB="0" distL="0" distR="0" wp14:anchorId="0C6BA555" wp14:editId="18B25DE9">
            <wp:extent cx="1435100" cy="853953"/>
            <wp:effectExtent l="0" t="0" r="0" b="3810"/>
            <wp:docPr id="234" name="Picture 234" descr="C:\Users\7219689\AppData\Local\Microsoft\Windows\INetCache\Content.Word\HM_Revenue_&amp;_Custo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219689\AppData\Local\Microsoft\Windows\INetCache\Content.Word\HM_Revenue_&amp;_Custom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4105" cy="859311"/>
                    </a:xfrm>
                    <a:prstGeom prst="rect">
                      <a:avLst/>
                    </a:prstGeom>
                    <a:noFill/>
                    <a:ln>
                      <a:noFill/>
                    </a:ln>
                  </pic:spPr>
                </pic:pic>
              </a:graphicData>
            </a:graphic>
          </wp:inline>
        </w:drawing>
      </w:r>
    </w:p>
    <w:p w14:paraId="663B421E" w14:textId="77777777" w:rsidR="004B6008" w:rsidRPr="005D2112" w:rsidRDefault="004B6008" w:rsidP="004B6008">
      <w:pPr>
        <w:ind w:left="142" w:right="394"/>
        <w:jc w:val="center"/>
        <w:rPr>
          <w:rFonts w:cstheme="minorHAnsi"/>
          <w:b/>
        </w:rPr>
      </w:pPr>
      <w:r>
        <w:rPr>
          <w:rFonts w:cstheme="minorHAnsi"/>
          <w:b/>
        </w:rPr>
        <w:t>AUTHORITY</w:t>
      </w:r>
      <w:r w:rsidRPr="005D2112">
        <w:rPr>
          <w:rFonts w:cstheme="minorHAnsi"/>
          <w:b/>
        </w:rPr>
        <w:t>’S MANDATORY TERMS</w:t>
      </w:r>
    </w:p>
    <w:p w14:paraId="0A647668" w14:textId="77777777" w:rsidR="004B6008" w:rsidRDefault="004B6008" w:rsidP="0056106E">
      <w:pPr>
        <w:pStyle w:val="BodyText"/>
        <w:numPr>
          <w:ilvl w:val="0"/>
          <w:numId w:val="24"/>
        </w:numPr>
        <w:overflowPunct/>
        <w:autoSpaceDE/>
        <w:autoSpaceDN/>
        <w:adjustRightInd/>
        <w:spacing w:before="121"/>
        <w:ind w:left="567" w:right="394" w:hanging="425"/>
        <w:textAlignment w:val="auto"/>
        <w:rPr>
          <w:rFonts w:asciiTheme="minorHAnsi" w:hAnsiTheme="minorHAnsi" w:cstheme="minorHAnsi"/>
        </w:rPr>
      </w:pPr>
      <w:r w:rsidRPr="005D2112">
        <w:rPr>
          <w:rFonts w:asciiTheme="minorHAnsi" w:hAnsiTheme="minorHAnsi" w:cstheme="minorHAnsi"/>
        </w:rPr>
        <w:t xml:space="preserve">For the avoidance of doubt, references to ‘the Agreement’ mean the </w:t>
      </w:r>
      <w:r>
        <w:rPr>
          <w:rFonts w:asciiTheme="minorHAnsi" w:hAnsiTheme="minorHAnsi" w:cstheme="minorHAnsi"/>
        </w:rPr>
        <w:t xml:space="preserve">attached Call-Off Contract </w:t>
      </w:r>
      <w:r w:rsidRPr="005D2112">
        <w:rPr>
          <w:rFonts w:asciiTheme="minorHAnsi" w:hAnsiTheme="minorHAnsi" w:cstheme="minorHAnsi"/>
        </w:rPr>
        <w:t>between</w:t>
      </w:r>
      <w:r w:rsidRPr="005D2112">
        <w:rPr>
          <w:rFonts w:asciiTheme="minorHAnsi" w:hAnsiTheme="minorHAnsi" w:cstheme="minorHAnsi"/>
          <w:spacing w:val="-8"/>
        </w:rPr>
        <w:t xml:space="preserve"> </w:t>
      </w:r>
      <w:r>
        <w:rPr>
          <w:rFonts w:asciiTheme="minorHAnsi" w:hAnsiTheme="minorHAnsi" w:cstheme="minorHAnsi"/>
        </w:rPr>
        <w:t xml:space="preserve">the Supplier </w:t>
      </w:r>
      <w:r w:rsidRPr="005D2112">
        <w:rPr>
          <w:rFonts w:asciiTheme="minorHAnsi" w:hAnsiTheme="minorHAnsi" w:cstheme="minorHAnsi"/>
        </w:rPr>
        <w:t>and</w:t>
      </w:r>
      <w:r w:rsidRPr="005D2112">
        <w:rPr>
          <w:rFonts w:asciiTheme="minorHAnsi" w:hAnsiTheme="minorHAnsi" w:cstheme="minorHAnsi"/>
          <w:spacing w:val="-9"/>
        </w:rPr>
        <w:t xml:space="preserve"> </w:t>
      </w:r>
      <w:r w:rsidRPr="005D2112">
        <w:rPr>
          <w:rFonts w:asciiTheme="minorHAnsi" w:hAnsiTheme="minorHAnsi" w:cstheme="minorHAnsi"/>
        </w:rPr>
        <w:t>t</w:t>
      </w:r>
      <w:r>
        <w:rPr>
          <w:rFonts w:asciiTheme="minorHAnsi" w:hAnsiTheme="minorHAnsi" w:cstheme="minorHAnsi"/>
        </w:rPr>
        <w:t>he Authority</w:t>
      </w:r>
      <w:r w:rsidRPr="005D2112">
        <w:rPr>
          <w:rFonts w:asciiTheme="minorHAnsi" w:hAnsiTheme="minorHAnsi" w:cstheme="minorHAnsi"/>
        </w:rPr>
        <w:t xml:space="preserve">. </w:t>
      </w:r>
      <w:r>
        <w:rPr>
          <w:rFonts w:asciiTheme="minorHAnsi" w:hAnsiTheme="minorHAnsi" w:cstheme="minorHAnsi"/>
          <w:spacing w:val="-9"/>
        </w:rPr>
        <w:t>References to ‘the Authority’ mean ‘the Buyer’ (the Commissioners for Her Majesty’s Revenue and Customs).</w:t>
      </w:r>
    </w:p>
    <w:p w14:paraId="4B1F30C6" w14:textId="0FDCEA07" w:rsidR="004B6008" w:rsidRPr="005C782A" w:rsidRDefault="004B6008" w:rsidP="0056106E">
      <w:pPr>
        <w:pStyle w:val="BodyText"/>
        <w:numPr>
          <w:ilvl w:val="0"/>
          <w:numId w:val="24"/>
        </w:numPr>
        <w:overflowPunct/>
        <w:autoSpaceDE/>
        <w:autoSpaceDN/>
        <w:adjustRightInd/>
        <w:spacing w:before="121"/>
        <w:ind w:left="567" w:right="394" w:hanging="425"/>
        <w:textAlignment w:val="auto"/>
        <w:rPr>
          <w:rFonts w:asciiTheme="minorHAnsi" w:hAnsiTheme="minorHAnsi" w:cstheme="minorHAnsi"/>
        </w:rPr>
      </w:pPr>
      <w:r w:rsidRPr="005D2112">
        <w:rPr>
          <w:rFonts w:asciiTheme="minorHAnsi" w:hAnsiTheme="minorHAnsi" w:cstheme="minorHAnsi"/>
        </w:rPr>
        <w:t>The Agr</w:t>
      </w:r>
      <w:r>
        <w:rPr>
          <w:rFonts w:asciiTheme="minorHAnsi" w:hAnsiTheme="minorHAnsi" w:cstheme="minorHAnsi"/>
        </w:rPr>
        <w:t>eement incorporates the Authority</w:t>
      </w:r>
      <w:r w:rsidRPr="005D2112">
        <w:rPr>
          <w:rFonts w:asciiTheme="minorHAnsi" w:hAnsiTheme="minorHAnsi" w:cstheme="minorHAnsi"/>
        </w:rPr>
        <w:t>’s mandatory terms</w:t>
      </w:r>
      <w:r>
        <w:rPr>
          <w:rFonts w:asciiTheme="minorHAnsi" w:hAnsiTheme="minorHAnsi" w:cstheme="minorHAnsi"/>
        </w:rPr>
        <w:t xml:space="preserve"> set out in this </w:t>
      </w:r>
      <w:r w:rsidR="00E95828">
        <w:rPr>
          <w:rFonts w:asciiTheme="minorHAnsi" w:hAnsiTheme="minorHAnsi" w:cstheme="minorHAnsi"/>
        </w:rPr>
        <w:t>Schedule</w:t>
      </w:r>
      <w:r>
        <w:rPr>
          <w:rFonts w:asciiTheme="minorHAnsi" w:hAnsiTheme="minorHAnsi" w:cstheme="minorHAnsi"/>
        </w:rPr>
        <w:t xml:space="preserve"> </w:t>
      </w:r>
      <w:r w:rsidR="00E95828">
        <w:rPr>
          <w:rFonts w:asciiTheme="minorHAnsi" w:hAnsiTheme="minorHAnsi" w:cstheme="minorHAnsi"/>
        </w:rPr>
        <w:t>A</w:t>
      </w:r>
      <w:r>
        <w:rPr>
          <w:rFonts w:asciiTheme="minorHAnsi" w:hAnsiTheme="minorHAnsi" w:cstheme="minorHAnsi"/>
          <w:spacing w:val="-9"/>
        </w:rPr>
        <w:t xml:space="preserve"> </w:t>
      </w:r>
    </w:p>
    <w:p w14:paraId="069EF03A" w14:textId="6C739158" w:rsidR="004B6008" w:rsidRPr="005D2112" w:rsidRDefault="004B6008" w:rsidP="0056106E">
      <w:pPr>
        <w:pStyle w:val="BodyText"/>
        <w:numPr>
          <w:ilvl w:val="0"/>
          <w:numId w:val="24"/>
        </w:numPr>
        <w:overflowPunct/>
        <w:autoSpaceDE/>
        <w:autoSpaceDN/>
        <w:adjustRightInd/>
        <w:spacing w:before="121"/>
        <w:ind w:left="567" w:right="394" w:hanging="425"/>
        <w:textAlignment w:val="auto"/>
        <w:rPr>
          <w:rFonts w:asciiTheme="minorHAnsi" w:hAnsiTheme="minorHAnsi" w:cstheme="minorHAnsi"/>
        </w:rPr>
      </w:pPr>
      <w:r w:rsidRPr="005C782A">
        <w:rPr>
          <w:rFonts w:asciiTheme="minorHAnsi" w:hAnsiTheme="minorHAnsi" w:cstheme="minorHAnsi"/>
        </w:rPr>
        <w:t>In case of any ambiguity or conflict</w:t>
      </w:r>
      <w:r>
        <w:rPr>
          <w:rFonts w:asciiTheme="minorHAnsi" w:hAnsiTheme="minorHAnsi" w:cstheme="minorHAnsi"/>
        </w:rPr>
        <w:t>,</w:t>
      </w:r>
      <w:r w:rsidRPr="005C782A">
        <w:rPr>
          <w:rFonts w:asciiTheme="minorHAnsi" w:hAnsiTheme="minorHAnsi" w:cstheme="minorHAnsi"/>
        </w:rPr>
        <w:t xml:space="preserve"> the </w:t>
      </w:r>
      <w:r>
        <w:rPr>
          <w:rFonts w:asciiTheme="minorHAnsi" w:hAnsiTheme="minorHAnsi" w:cstheme="minorHAnsi"/>
        </w:rPr>
        <w:t>Authority</w:t>
      </w:r>
      <w:r w:rsidRPr="005C782A">
        <w:rPr>
          <w:rFonts w:asciiTheme="minorHAnsi" w:hAnsiTheme="minorHAnsi" w:cstheme="minorHAnsi"/>
        </w:rPr>
        <w:t xml:space="preserve">’s mandatory terms </w:t>
      </w:r>
      <w:r>
        <w:rPr>
          <w:rFonts w:asciiTheme="minorHAnsi" w:hAnsiTheme="minorHAnsi" w:cstheme="minorHAnsi"/>
        </w:rPr>
        <w:t xml:space="preserve">in this </w:t>
      </w:r>
      <w:r w:rsidR="00E95828">
        <w:rPr>
          <w:rFonts w:asciiTheme="minorHAnsi" w:hAnsiTheme="minorHAnsi" w:cstheme="minorHAnsi"/>
        </w:rPr>
        <w:t>Schedule</w:t>
      </w:r>
      <w:r>
        <w:rPr>
          <w:rFonts w:asciiTheme="minorHAnsi" w:hAnsiTheme="minorHAnsi" w:cstheme="minorHAnsi"/>
        </w:rPr>
        <w:t xml:space="preserve"> </w:t>
      </w:r>
      <w:r w:rsidR="00E95828">
        <w:rPr>
          <w:rFonts w:asciiTheme="minorHAnsi" w:hAnsiTheme="minorHAnsi" w:cstheme="minorHAnsi"/>
        </w:rPr>
        <w:t>A</w:t>
      </w:r>
      <w:r w:rsidRPr="005C782A">
        <w:rPr>
          <w:rFonts w:asciiTheme="minorHAnsi" w:hAnsiTheme="minorHAnsi" w:cstheme="minorHAnsi"/>
        </w:rPr>
        <w:t xml:space="preserve"> will supersede any other terms in the Agreement.  </w:t>
      </w:r>
    </w:p>
    <w:p w14:paraId="1A72A1D0" w14:textId="77777777" w:rsidR="004B6008" w:rsidRDefault="004B6008" w:rsidP="004B6008">
      <w:pPr>
        <w:pStyle w:val="ListParagraph"/>
        <w:ind w:left="426"/>
        <w:rPr>
          <w:rFonts w:cstheme="minorHAnsi"/>
          <w:b/>
        </w:rPr>
      </w:pPr>
    </w:p>
    <w:p w14:paraId="3AB659A4" w14:textId="77777777" w:rsidR="004B6008" w:rsidRDefault="004B6008" w:rsidP="0056106E">
      <w:pPr>
        <w:pStyle w:val="ListParagraph"/>
        <w:numPr>
          <w:ilvl w:val="0"/>
          <w:numId w:val="22"/>
        </w:numPr>
        <w:overflowPunct/>
        <w:autoSpaceDE/>
        <w:autoSpaceDN/>
        <w:adjustRightInd/>
        <w:spacing w:after="160" w:line="259" w:lineRule="auto"/>
        <w:ind w:left="426" w:hanging="426"/>
        <w:jc w:val="left"/>
        <w:textAlignment w:val="auto"/>
        <w:rPr>
          <w:rFonts w:cstheme="minorHAnsi"/>
          <w:b/>
        </w:rPr>
      </w:pPr>
      <w:r>
        <w:rPr>
          <w:rFonts w:cstheme="minorHAnsi"/>
          <w:b/>
        </w:rPr>
        <w:t xml:space="preserve">Definitions </w:t>
      </w:r>
    </w:p>
    <w:tbl>
      <w:tblPr>
        <w:tblW w:w="0" w:type="auto"/>
        <w:tblInd w:w="108" w:type="dxa"/>
        <w:tblLook w:val="01E0" w:firstRow="1" w:lastRow="1" w:firstColumn="1" w:lastColumn="1" w:noHBand="0" w:noVBand="0"/>
      </w:tblPr>
      <w:tblGrid>
        <w:gridCol w:w="3346"/>
        <w:gridCol w:w="5596"/>
      </w:tblGrid>
      <w:tr w:rsidR="004B6008" w:rsidRPr="00EB2B49" w14:paraId="5E58D14E" w14:textId="77777777" w:rsidTr="000C15C2">
        <w:tc>
          <w:tcPr>
            <w:tcW w:w="2160" w:type="dxa"/>
          </w:tcPr>
          <w:p w14:paraId="0099C173" w14:textId="77777777" w:rsidR="004B6008" w:rsidRPr="00A314F3" w:rsidRDefault="004B6008" w:rsidP="000C15C2">
            <w:pPr>
              <w:rPr>
                <w:rFonts w:cstheme="minorHAnsi"/>
                <w:b/>
              </w:rPr>
            </w:pPr>
            <w:r w:rsidRPr="00A314F3">
              <w:rPr>
                <w:rFonts w:cstheme="minorHAnsi"/>
                <w:b/>
              </w:rPr>
              <w:t>“Affiliate”</w:t>
            </w:r>
          </w:p>
        </w:tc>
        <w:tc>
          <w:tcPr>
            <w:tcW w:w="6758" w:type="dxa"/>
          </w:tcPr>
          <w:p w14:paraId="259EF63A" w14:textId="77777777" w:rsidR="004B6008" w:rsidRPr="00A314F3" w:rsidRDefault="004B6008" w:rsidP="000C15C2">
            <w:pPr>
              <w:rPr>
                <w:rFonts w:cstheme="minorHAnsi"/>
              </w:rPr>
            </w:pPr>
            <w:r w:rsidRPr="00A314F3">
              <w:t>in relation to a body corporate, any other entity which directly or indirectly Controls, is Controlled by, or is under direct or indirect common Control with, that body corporate from time to time;</w:t>
            </w:r>
          </w:p>
        </w:tc>
      </w:tr>
      <w:tr w:rsidR="004B6008" w:rsidRPr="00EB2B49" w14:paraId="46E5302B" w14:textId="77777777" w:rsidTr="000C15C2">
        <w:tc>
          <w:tcPr>
            <w:tcW w:w="2160" w:type="dxa"/>
          </w:tcPr>
          <w:p w14:paraId="1062988F" w14:textId="77777777" w:rsidR="004B6008" w:rsidRPr="00A314F3" w:rsidRDefault="004B6008" w:rsidP="000C15C2">
            <w:pPr>
              <w:rPr>
                <w:rFonts w:cstheme="minorHAnsi"/>
                <w:b/>
              </w:rPr>
            </w:pPr>
            <w:r w:rsidRPr="00A314F3">
              <w:rPr>
                <w:rFonts w:cstheme="minorHAnsi"/>
                <w:b/>
              </w:rPr>
              <w:t>“Authority Data”</w:t>
            </w:r>
          </w:p>
        </w:tc>
        <w:tc>
          <w:tcPr>
            <w:tcW w:w="6758" w:type="dxa"/>
          </w:tcPr>
          <w:p w14:paraId="31836172" w14:textId="77777777" w:rsidR="004B6008" w:rsidRDefault="004B6008" w:rsidP="0056106E">
            <w:pPr>
              <w:pStyle w:val="ListParagraph"/>
              <w:numPr>
                <w:ilvl w:val="0"/>
                <w:numId w:val="19"/>
              </w:numPr>
              <w:overflowPunct/>
              <w:autoSpaceDE/>
              <w:autoSpaceDN/>
              <w:adjustRightInd/>
              <w:spacing w:after="160" w:line="259" w:lineRule="auto"/>
              <w:jc w:val="left"/>
              <w:textAlignment w:val="auto"/>
              <w:rPr>
                <w:rFonts w:cstheme="minorHAnsi"/>
              </w:rPr>
            </w:pPr>
            <w:r w:rsidRPr="00A314F3">
              <w:rPr>
                <w:rFonts w:cstheme="minorHAnsi"/>
              </w:rPr>
              <w:t>the data, text, drawings, diagrams, images or sounds (together with any database made up of any of these) which are embodied in any electronic, magnetic, optical or tangible media, and which are:</w:t>
            </w:r>
          </w:p>
          <w:p w14:paraId="183E0E6F" w14:textId="77777777" w:rsidR="004B6008" w:rsidRPr="00A314F3" w:rsidRDefault="004B6008" w:rsidP="0056106E">
            <w:pPr>
              <w:numPr>
                <w:ilvl w:val="3"/>
                <w:numId w:val="19"/>
              </w:numPr>
              <w:tabs>
                <w:tab w:val="clear" w:pos="2695"/>
                <w:tab w:val="num" w:pos="759"/>
              </w:tabs>
              <w:overflowPunct/>
              <w:autoSpaceDE/>
              <w:autoSpaceDN/>
              <w:adjustRightInd/>
              <w:spacing w:after="160" w:line="259" w:lineRule="auto"/>
              <w:ind w:left="829" w:hanging="283"/>
              <w:jc w:val="left"/>
              <w:textAlignment w:val="auto"/>
              <w:rPr>
                <w:rFonts w:cstheme="minorHAnsi"/>
              </w:rPr>
            </w:pPr>
            <w:r w:rsidRPr="00A314F3">
              <w:rPr>
                <w:rFonts w:cstheme="minorHAnsi"/>
              </w:rPr>
              <w:t xml:space="preserve">supplied to the Supplier by or on behalf of the Authority; and/or </w:t>
            </w:r>
          </w:p>
          <w:p w14:paraId="1FBC7EC2" w14:textId="77777777" w:rsidR="004B6008" w:rsidRPr="00B27DEB" w:rsidRDefault="004B6008" w:rsidP="0056106E">
            <w:pPr>
              <w:numPr>
                <w:ilvl w:val="3"/>
                <w:numId w:val="19"/>
              </w:numPr>
              <w:tabs>
                <w:tab w:val="clear" w:pos="2695"/>
                <w:tab w:val="num" w:pos="759"/>
              </w:tabs>
              <w:overflowPunct/>
              <w:autoSpaceDE/>
              <w:autoSpaceDN/>
              <w:adjustRightInd/>
              <w:spacing w:after="160" w:line="259" w:lineRule="auto"/>
              <w:ind w:left="829" w:hanging="283"/>
              <w:jc w:val="left"/>
              <w:textAlignment w:val="auto"/>
              <w:rPr>
                <w:rFonts w:cstheme="minorHAnsi"/>
              </w:rPr>
            </w:pPr>
            <w:r w:rsidRPr="00A314F3">
              <w:rPr>
                <w:rFonts w:cstheme="minorHAnsi"/>
              </w:rPr>
              <w:t>which the Supplier is required to generate, process, store or transmit pursuant to this Agreement; or</w:t>
            </w:r>
          </w:p>
          <w:p w14:paraId="1D57A86D" w14:textId="77777777" w:rsidR="004B6008" w:rsidRPr="00FD0699" w:rsidRDefault="004B6008" w:rsidP="0056106E">
            <w:pPr>
              <w:pStyle w:val="ListParagraph"/>
              <w:numPr>
                <w:ilvl w:val="0"/>
                <w:numId w:val="19"/>
              </w:numPr>
              <w:overflowPunct/>
              <w:autoSpaceDE/>
              <w:autoSpaceDN/>
              <w:adjustRightInd/>
              <w:spacing w:after="160" w:line="259" w:lineRule="auto"/>
              <w:jc w:val="left"/>
              <w:textAlignment w:val="auto"/>
              <w:rPr>
                <w:rFonts w:cstheme="minorHAnsi"/>
              </w:rPr>
            </w:pPr>
            <w:r w:rsidRPr="00A314F3">
              <w:rPr>
                <w:rFonts w:cstheme="minorHAnsi"/>
              </w:rPr>
              <w:t>any Personal Data for which the Authority is the Controller, or any data derived from such Personal Data which has had any designatory data identifiers removed so that an individual cannot be identified;</w:t>
            </w:r>
          </w:p>
        </w:tc>
      </w:tr>
      <w:tr w:rsidR="004B6008" w:rsidRPr="00EB2B49" w14:paraId="7D5C6D1E" w14:textId="77777777" w:rsidTr="000C15C2">
        <w:tc>
          <w:tcPr>
            <w:tcW w:w="2160" w:type="dxa"/>
          </w:tcPr>
          <w:p w14:paraId="6175C1E7" w14:textId="77777777" w:rsidR="004B6008" w:rsidRPr="00EB2B49" w:rsidRDefault="004B6008" w:rsidP="000C15C2">
            <w:pPr>
              <w:rPr>
                <w:rFonts w:cstheme="minorHAnsi"/>
                <w:b/>
              </w:rPr>
            </w:pPr>
            <w:r w:rsidRPr="00BE2067">
              <w:rPr>
                <w:rFonts w:ascii="Calibri" w:hAnsi="Calibri" w:cs="Calibri"/>
                <w:b/>
                <w:bCs/>
                <w:lang w:eastAsia="en-GB"/>
              </w:rPr>
              <w:t>“Charges”</w:t>
            </w:r>
            <w:r w:rsidRPr="00BE2067">
              <w:rPr>
                <w:rFonts w:ascii="Calibri" w:hAnsi="Calibri" w:cs="Calibri"/>
                <w:lang w:eastAsia="en-GB"/>
              </w:rPr>
              <w:t> </w:t>
            </w:r>
          </w:p>
        </w:tc>
        <w:tc>
          <w:tcPr>
            <w:tcW w:w="6758" w:type="dxa"/>
          </w:tcPr>
          <w:p w14:paraId="7D9CA46A" w14:textId="77777777" w:rsidR="004B6008" w:rsidRPr="00DB57F6" w:rsidRDefault="004B6008" w:rsidP="000C15C2">
            <w:pPr>
              <w:rPr>
                <w:rFonts w:cstheme="minorHAnsi"/>
              </w:rPr>
            </w:pPr>
            <w:r w:rsidRPr="00BE2067">
              <w:rPr>
                <w:rFonts w:ascii="Calibri" w:hAnsi="Calibri" w:cs="Calibri"/>
                <w:lang w:eastAsia="en-GB"/>
              </w:rPr>
              <w:t xml:space="preserve">the charges for the Services as specified in </w:t>
            </w:r>
            <w:r>
              <w:rPr>
                <w:rFonts w:ascii="Calibri" w:hAnsi="Calibri" w:cs="Calibri"/>
                <w:lang w:eastAsia="en-GB"/>
              </w:rPr>
              <w:t>Contract Call Off Charges</w:t>
            </w:r>
          </w:p>
        </w:tc>
      </w:tr>
      <w:tr w:rsidR="004B6008" w:rsidRPr="00EB2B49" w14:paraId="2DDCECF7" w14:textId="77777777" w:rsidTr="000C15C2">
        <w:tc>
          <w:tcPr>
            <w:tcW w:w="2160" w:type="dxa"/>
          </w:tcPr>
          <w:p w14:paraId="5DD3066B" w14:textId="77777777" w:rsidR="004B6008" w:rsidRPr="00EB2B49" w:rsidRDefault="004B6008" w:rsidP="000C15C2">
            <w:pPr>
              <w:rPr>
                <w:rFonts w:cstheme="minorHAnsi"/>
              </w:rPr>
            </w:pPr>
            <w:r w:rsidRPr="00EB2B49">
              <w:rPr>
                <w:rFonts w:cstheme="minorHAnsi"/>
                <w:b/>
              </w:rPr>
              <w:t>“Connected Company”</w:t>
            </w:r>
          </w:p>
        </w:tc>
        <w:tc>
          <w:tcPr>
            <w:tcW w:w="6758" w:type="dxa"/>
          </w:tcPr>
          <w:p w14:paraId="03AA0DB8" w14:textId="77777777" w:rsidR="004B6008" w:rsidRPr="00A314F3" w:rsidRDefault="004B6008" w:rsidP="000C15C2">
            <w:pPr>
              <w:contextualSpacing/>
              <w:rPr>
                <w:rFonts w:cstheme="minorHAnsi"/>
              </w:rPr>
            </w:pPr>
            <w:r w:rsidRPr="00A314F3">
              <w:rPr>
                <w:rFonts w:cstheme="minorHAnsi"/>
              </w:rPr>
              <w:t xml:space="preserve">means, in relation to a company, entity or other person, the Affiliates of that company, entity or other person or any </w:t>
            </w:r>
            <w:r w:rsidRPr="00A314F3">
              <w:rPr>
                <w:rFonts w:cstheme="minorHAnsi"/>
              </w:rPr>
              <w:lastRenderedPageBreak/>
              <w:t>other person associated with such company, entity or other person;</w:t>
            </w:r>
          </w:p>
        </w:tc>
      </w:tr>
      <w:tr w:rsidR="004B6008" w:rsidRPr="00EB2B49" w14:paraId="03838687" w14:textId="77777777" w:rsidTr="000C15C2">
        <w:tc>
          <w:tcPr>
            <w:tcW w:w="2160" w:type="dxa"/>
          </w:tcPr>
          <w:p w14:paraId="0F7B7E26" w14:textId="77777777" w:rsidR="004B6008" w:rsidRPr="00EB2B49" w:rsidRDefault="004B6008" w:rsidP="000C15C2">
            <w:pPr>
              <w:rPr>
                <w:rFonts w:cstheme="minorHAnsi"/>
                <w:b/>
              </w:rPr>
            </w:pPr>
            <w:r>
              <w:rPr>
                <w:rFonts w:cstheme="minorHAnsi"/>
                <w:b/>
              </w:rPr>
              <w:lastRenderedPageBreak/>
              <w:t>“Control”</w:t>
            </w:r>
          </w:p>
        </w:tc>
        <w:tc>
          <w:tcPr>
            <w:tcW w:w="6758" w:type="dxa"/>
          </w:tcPr>
          <w:p w14:paraId="0FA3370C" w14:textId="77777777" w:rsidR="004B6008" w:rsidRPr="00A314F3" w:rsidRDefault="004B6008" w:rsidP="000C15C2">
            <w:pPr>
              <w:contextualSpacing/>
              <w:rPr>
                <w:rFonts w:cstheme="minorHAnsi"/>
              </w:rPr>
            </w:pPr>
            <w:r w:rsidRPr="00A314F3">
              <w:t xml:space="preserve">the possession by </w:t>
            </w:r>
            <w:proofErr w:type="gramStart"/>
            <w:r>
              <w:t xml:space="preserve">a  </w:t>
            </w:r>
            <w:r w:rsidRPr="00A314F3">
              <w:t>person</w:t>
            </w:r>
            <w:proofErr w:type="gramEnd"/>
            <w:r w:rsidRPr="00A314F3">
              <w:t xml:space="preserve">, directly or indirectly, of the power to direct or cause the direction of the management and policies of the other person (whether through the ownership of voting shares, by contract or otherwise) and </w:t>
            </w:r>
            <w:r w:rsidRPr="00A314F3">
              <w:rPr>
                <w:bCs/>
              </w:rPr>
              <w:t>“</w:t>
            </w:r>
            <w:r w:rsidRPr="00A314F3">
              <w:t xml:space="preserve">Controls” and </w:t>
            </w:r>
            <w:r w:rsidRPr="00A314F3">
              <w:rPr>
                <w:bCs/>
              </w:rPr>
              <w:t>“</w:t>
            </w:r>
            <w:r w:rsidRPr="00A314F3">
              <w:t>Controlled” shall be interpreted accordingly;</w:t>
            </w:r>
          </w:p>
        </w:tc>
      </w:tr>
      <w:tr w:rsidR="004B6008" w:rsidRPr="00EB2B49" w14:paraId="6898B169" w14:textId="77777777" w:rsidTr="000C15C2">
        <w:tc>
          <w:tcPr>
            <w:tcW w:w="2160" w:type="dxa"/>
          </w:tcPr>
          <w:p w14:paraId="67CCA13D" w14:textId="77777777" w:rsidR="004B6008" w:rsidRPr="00EB2B49" w:rsidRDefault="004B6008" w:rsidP="000C15C2">
            <w:pPr>
              <w:rPr>
                <w:rFonts w:cstheme="minorHAnsi"/>
                <w:b/>
              </w:rPr>
            </w:pPr>
            <w:r w:rsidRPr="00EB2B49">
              <w:rPr>
                <w:rFonts w:cstheme="minorHAnsi"/>
                <w:b/>
              </w:rPr>
              <w:t>“Controller”, “Processor”, “Data Subject”,</w:t>
            </w:r>
          </w:p>
        </w:tc>
        <w:tc>
          <w:tcPr>
            <w:tcW w:w="6758" w:type="dxa"/>
          </w:tcPr>
          <w:p w14:paraId="305283D8" w14:textId="77777777" w:rsidR="004B6008" w:rsidRPr="00EB2B49" w:rsidRDefault="004B6008" w:rsidP="000C15C2">
            <w:pPr>
              <w:contextualSpacing/>
              <w:rPr>
                <w:rFonts w:cstheme="minorHAnsi"/>
              </w:rPr>
            </w:pPr>
            <w:r w:rsidRPr="00EB2B49">
              <w:rPr>
                <w:rFonts w:cstheme="minorHAnsi"/>
              </w:rPr>
              <w:t xml:space="preserve">take the meaning given in the GDPR;  </w:t>
            </w:r>
          </w:p>
        </w:tc>
      </w:tr>
      <w:tr w:rsidR="004B6008" w:rsidRPr="00EB2B49" w14:paraId="0A619D7A" w14:textId="77777777" w:rsidTr="000C15C2">
        <w:tc>
          <w:tcPr>
            <w:tcW w:w="2160" w:type="dxa"/>
          </w:tcPr>
          <w:p w14:paraId="44DAEEF9" w14:textId="77777777" w:rsidR="004B6008" w:rsidRPr="00EB2B49" w:rsidRDefault="004B6008" w:rsidP="000C15C2">
            <w:pPr>
              <w:rPr>
                <w:rFonts w:cstheme="minorHAnsi"/>
                <w:b/>
              </w:rPr>
            </w:pPr>
            <w:r w:rsidRPr="00EB2B49">
              <w:rPr>
                <w:rFonts w:cstheme="minorHAnsi"/>
                <w:b/>
              </w:rPr>
              <w:t>“Data Protection Legislation”</w:t>
            </w:r>
          </w:p>
        </w:tc>
        <w:tc>
          <w:tcPr>
            <w:tcW w:w="6758" w:type="dxa"/>
          </w:tcPr>
          <w:p w14:paraId="1E0E9A87" w14:textId="77777777" w:rsidR="004B6008" w:rsidRPr="001D34E0" w:rsidRDefault="004B6008" w:rsidP="0056106E">
            <w:pPr>
              <w:pStyle w:val="ListParagraph"/>
              <w:numPr>
                <w:ilvl w:val="1"/>
                <w:numId w:val="24"/>
              </w:numPr>
              <w:overflowPunct/>
              <w:autoSpaceDE/>
              <w:autoSpaceDN/>
              <w:adjustRightInd/>
              <w:spacing w:after="160" w:line="259" w:lineRule="auto"/>
              <w:ind w:left="459" w:hanging="425"/>
              <w:textAlignment w:val="auto"/>
              <w:rPr>
                <w:rFonts w:cstheme="minorHAnsi"/>
              </w:rPr>
            </w:pPr>
            <w:r w:rsidRPr="001D34E0">
              <w:rPr>
                <w:rFonts w:cstheme="minorHAnsi"/>
              </w:rPr>
              <w:t>the GDPR, the LED and any applicable national implementing Laws as amended from time to time</w:t>
            </w:r>
            <w:r>
              <w:rPr>
                <w:rFonts w:cstheme="minorHAnsi"/>
              </w:rPr>
              <w:t>;</w:t>
            </w:r>
            <w:r w:rsidRPr="001D34E0">
              <w:rPr>
                <w:rFonts w:cstheme="minorHAnsi"/>
              </w:rPr>
              <w:t xml:space="preserve"> </w:t>
            </w:r>
          </w:p>
          <w:p w14:paraId="314AFF3E" w14:textId="77777777" w:rsidR="004B6008" w:rsidRPr="001D34E0" w:rsidRDefault="004B6008" w:rsidP="0056106E">
            <w:pPr>
              <w:pStyle w:val="ListParagraph"/>
              <w:numPr>
                <w:ilvl w:val="1"/>
                <w:numId w:val="24"/>
              </w:numPr>
              <w:overflowPunct/>
              <w:autoSpaceDE/>
              <w:autoSpaceDN/>
              <w:adjustRightInd/>
              <w:spacing w:after="160" w:line="259" w:lineRule="auto"/>
              <w:ind w:left="459" w:hanging="425"/>
              <w:textAlignment w:val="auto"/>
              <w:rPr>
                <w:rFonts w:cstheme="minorHAnsi"/>
              </w:rPr>
            </w:pPr>
            <w:r w:rsidRPr="001D34E0">
              <w:rPr>
                <w:rFonts w:cstheme="minorHAnsi"/>
              </w:rPr>
              <w:t xml:space="preserve">the DPA 2018 to the extent that it relates to processing of personal data and privacy; </w:t>
            </w:r>
          </w:p>
          <w:p w14:paraId="252EAAF7" w14:textId="77777777" w:rsidR="004B6008" w:rsidRPr="001D34E0" w:rsidRDefault="004B6008" w:rsidP="0056106E">
            <w:pPr>
              <w:pStyle w:val="ListParagraph"/>
              <w:numPr>
                <w:ilvl w:val="1"/>
                <w:numId w:val="24"/>
              </w:numPr>
              <w:overflowPunct/>
              <w:autoSpaceDE/>
              <w:autoSpaceDN/>
              <w:adjustRightInd/>
              <w:spacing w:after="160" w:line="259" w:lineRule="auto"/>
              <w:ind w:left="459" w:hanging="425"/>
              <w:textAlignment w:val="auto"/>
              <w:rPr>
                <w:rFonts w:cstheme="minorHAnsi"/>
              </w:rPr>
            </w:pPr>
            <w:r w:rsidRPr="001D34E0">
              <w:rPr>
                <w:rFonts w:cstheme="minorHAnsi"/>
              </w:rPr>
              <w:t>all applicable Law about the processing of personal data and privacy;</w:t>
            </w:r>
          </w:p>
        </w:tc>
      </w:tr>
      <w:tr w:rsidR="004B6008" w:rsidRPr="00EB2B49" w14:paraId="4FBCA3C6" w14:textId="77777777" w:rsidTr="000C15C2">
        <w:tc>
          <w:tcPr>
            <w:tcW w:w="2160" w:type="dxa"/>
          </w:tcPr>
          <w:p w14:paraId="5DE2F955" w14:textId="77777777" w:rsidR="004B6008" w:rsidRPr="00EB2B49" w:rsidRDefault="004B6008" w:rsidP="000C15C2">
            <w:pPr>
              <w:rPr>
                <w:rFonts w:cstheme="minorHAnsi"/>
                <w:b/>
              </w:rPr>
            </w:pPr>
            <w:r w:rsidRPr="00EB2B49">
              <w:rPr>
                <w:rFonts w:cstheme="minorHAnsi"/>
                <w:b/>
              </w:rPr>
              <w:t>“GDPR”</w:t>
            </w:r>
            <w:r w:rsidRPr="00EB2B49">
              <w:rPr>
                <w:rFonts w:cstheme="minorHAnsi"/>
                <w:b/>
              </w:rPr>
              <w:tab/>
            </w:r>
          </w:p>
        </w:tc>
        <w:tc>
          <w:tcPr>
            <w:tcW w:w="6758" w:type="dxa"/>
          </w:tcPr>
          <w:p w14:paraId="67840B91" w14:textId="77777777" w:rsidR="004B6008" w:rsidRPr="00EB2B49" w:rsidRDefault="004B6008" w:rsidP="000C15C2">
            <w:pPr>
              <w:contextualSpacing/>
              <w:rPr>
                <w:rFonts w:cstheme="minorHAnsi"/>
              </w:rPr>
            </w:pPr>
            <w:r w:rsidRPr="00EB2B49">
              <w:rPr>
                <w:rFonts w:cstheme="minorHAnsi"/>
              </w:rPr>
              <w:t>the General Data Protection Regulation (Regulation (EU) 2016/679);</w:t>
            </w:r>
          </w:p>
        </w:tc>
      </w:tr>
      <w:tr w:rsidR="004B6008" w:rsidRPr="00EB2B49" w14:paraId="51AC2CE8" w14:textId="77777777" w:rsidTr="000C15C2">
        <w:tc>
          <w:tcPr>
            <w:tcW w:w="2160" w:type="dxa"/>
          </w:tcPr>
          <w:p w14:paraId="12E3C490" w14:textId="77777777" w:rsidR="004B6008" w:rsidRPr="00EB2B49" w:rsidRDefault="004B6008" w:rsidP="000C15C2">
            <w:pPr>
              <w:rPr>
                <w:rFonts w:cstheme="minorHAnsi"/>
              </w:rPr>
            </w:pPr>
            <w:r w:rsidRPr="00EB2B49">
              <w:rPr>
                <w:rFonts w:cstheme="minorHAnsi"/>
                <w:b/>
              </w:rPr>
              <w:t>“Key Subcontractor”</w:t>
            </w:r>
          </w:p>
        </w:tc>
        <w:tc>
          <w:tcPr>
            <w:tcW w:w="6758" w:type="dxa"/>
          </w:tcPr>
          <w:p w14:paraId="46F895CA" w14:textId="77777777" w:rsidR="004B6008" w:rsidRPr="00EB2B49" w:rsidRDefault="004B6008" w:rsidP="000C15C2">
            <w:pPr>
              <w:contextualSpacing/>
              <w:rPr>
                <w:rFonts w:cstheme="minorHAnsi"/>
              </w:rPr>
            </w:pPr>
            <w:r w:rsidRPr="00EB2B49">
              <w:rPr>
                <w:rFonts w:cstheme="minorHAnsi"/>
              </w:rPr>
              <w:t>any Subcontractor:</w:t>
            </w:r>
          </w:p>
          <w:p w14:paraId="4997392E" w14:textId="77777777" w:rsidR="004B6008" w:rsidRDefault="004B6008" w:rsidP="0056106E">
            <w:pPr>
              <w:pStyle w:val="ListParagraph"/>
              <w:numPr>
                <w:ilvl w:val="0"/>
                <w:numId w:val="25"/>
              </w:numPr>
              <w:overflowPunct/>
              <w:autoSpaceDE/>
              <w:autoSpaceDN/>
              <w:adjustRightInd/>
              <w:spacing w:after="160" w:line="259" w:lineRule="auto"/>
              <w:ind w:left="459" w:hanging="425"/>
              <w:textAlignment w:val="auto"/>
              <w:rPr>
                <w:rFonts w:cstheme="minorHAnsi"/>
              </w:rPr>
            </w:pPr>
            <w:r w:rsidRPr="009E35D5">
              <w:rPr>
                <w:rFonts w:cstheme="minorHAnsi"/>
              </w:rPr>
              <w:t>which, in the opinion of the Authority, performs (or would perform if appointed) a critical role in the provision of all or any part of the Services; and/or</w:t>
            </w:r>
          </w:p>
          <w:p w14:paraId="49796889" w14:textId="77777777" w:rsidR="004B6008" w:rsidRPr="009E35D5" w:rsidRDefault="004B6008" w:rsidP="0056106E">
            <w:pPr>
              <w:pStyle w:val="ListParagraph"/>
              <w:numPr>
                <w:ilvl w:val="0"/>
                <w:numId w:val="25"/>
              </w:numPr>
              <w:overflowPunct/>
              <w:autoSpaceDE/>
              <w:autoSpaceDN/>
              <w:adjustRightInd/>
              <w:spacing w:after="160" w:line="259" w:lineRule="auto"/>
              <w:ind w:left="459" w:hanging="425"/>
              <w:textAlignment w:val="auto"/>
              <w:rPr>
                <w:rFonts w:cstheme="minorHAnsi"/>
              </w:rPr>
            </w:pPr>
            <w:r w:rsidRPr="009E35D5">
              <w:rPr>
                <w:rFonts w:cstheme="minorHAnsi"/>
              </w:rPr>
              <w:t>with a Subcontract with a contract value which at the time of appointment exceeds (or would exceed if appointed) ten per cent (10%) of the aggregate Charges forecast to be payable under this Call-Off Contract;</w:t>
            </w:r>
          </w:p>
        </w:tc>
      </w:tr>
      <w:tr w:rsidR="004B6008" w:rsidRPr="00EB2B49" w14:paraId="1BBDB492" w14:textId="77777777" w:rsidTr="000C15C2">
        <w:tc>
          <w:tcPr>
            <w:tcW w:w="2160" w:type="dxa"/>
          </w:tcPr>
          <w:p w14:paraId="554391A7" w14:textId="77777777" w:rsidR="004B6008" w:rsidRPr="00EB2B49" w:rsidRDefault="004B6008" w:rsidP="000C15C2">
            <w:pPr>
              <w:rPr>
                <w:rFonts w:cstheme="minorHAnsi"/>
              </w:rPr>
            </w:pPr>
            <w:r w:rsidRPr="00EB2B49">
              <w:rPr>
                <w:rFonts w:cstheme="minorHAnsi"/>
                <w:b/>
              </w:rPr>
              <w:t>“Law”</w:t>
            </w:r>
          </w:p>
        </w:tc>
        <w:tc>
          <w:tcPr>
            <w:tcW w:w="6758" w:type="dxa"/>
          </w:tcPr>
          <w:p w14:paraId="1C37978D" w14:textId="77777777" w:rsidR="004B6008" w:rsidRPr="00EB2B49" w:rsidRDefault="004B6008" w:rsidP="000C15C2">
            <w:pPr>
              <w:rPr>
                <w:rFonts w:cstheme="minorHAnsi"/>
              </w:rPr>
            </w:pPr>
            <w:r w:rsidRPr="00EB2B49">
              <w:rPr>
                <w:rStyle w:val="normaltextrun1"/>
                <w:rFonts w:cstheme="minorHAnsi"/>
              </w:rPr>
              <w:t xml:space="preserve">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w:t>
            </w:r>
            <w:r>
              <w:rPr>
                <w:rStyle w:val="normaltextrun1"/>
                <w:rFonts w:cstheme="minorHAnsi"/>
              </w:rPr>
              <w:t>law</w:t>
            </w:r>
            <w:r w:rsidRPr="00EB2B49">
              <w:rPr>
                <w:rStyle w:val="normaltextrun1"/>
                <w:rFonts w:cstheme="minorHAnsi"/>
              </w:rPr>
              <w:t>, or directives or requirements of any regulatory body with which the Supplier is bound to comply;</w:t>
            </w:r>
          </w:p>
        </w:tc>
      </w:tr>
      <w:tr w:rsidR="004B6008" w:rsidRPr="00EB2B49" w14:paraId="1D0EDF47" w14:textId="77777777" w:rsidTr="000C15C2">
        <w:tc>
          <w:tcPr>
            <w:tcW w:w="2160" w:type="dxa"/>
          </w:tcPr>
          <w:p w14:paraId="57C50F4B" w14:textId="77777777" w:rsidR="004B6008" w:rsidRPr="00EB2B49" w:rsidRDefault="004B6008" w:rsidP="000C15C2">
            <w:pPr>
              <w:rPr>
                <w:rFonts w:cstheme="minorHAnsi"/>
              </w:rPr>
            </w:pPr>
            <w:r w:rsidRPr="00EB2B49">
              <w:rPr>
                <w:rFonts w:cstheme="minorHAnsi"/>
                <w:b/>
              </w:rPr>
              <w:t>“Personal Data”</w:t>
            </w:r>
          </w:p>
        </w:tc>
        <w:tc>
          <w:tcPr>
            <w:tcW w:w="6758" w:type="dxa"/>
          </w:tcPr>
          <w:p w14:paraId="3DE88A4F" w14:textId="77777777" w:rsidR="004B6008" w:rsidRPr="00EB2B49" w:rsidRDefault="004B6008" w:rsidP="000C15C2">
            <w:pPr>
              <w:rPr>
                <w:rFonts w:cstheme="minorHAnsi"/>
              </w:rPr>
            </w:pPr>
            <w:r w:rsidRPr="00EB2B49">
              <w:rPr>
                <w:rFonts w:cstheme="minorHAnsi"/>
              </w:rPr>
              <w:t xml:space="preserve">has the meaning given in the GDPR; </w:t>
            </w:r>
          </w:p>
        </w:tc>
      </w:tr>
      <w:tr w:rsidR="004B6008" w:rsidRPr="00EB2B49" w14:paraId="2C5E6AC4" w14:textId="77777777" w:rsidTr="000C15C2">
        <w:tc>
          <w:tcPr>
            <w:tcW w:w="2160" w:type="dxa"/>
          </w:tcPr>
          <w:p w14:paraId="5E9873D1" w14:textId="77777777" w:rsidR="004B6008" w:rsidRPr="00EB2B49" w:rsidRDefault="004B6008" w:rsidP="000C15C2">
            <w:pPr>
              <w:rPr>
                <w:rFonts w:cstheme="minorHAnsi"/>
                <w:b/>
              </w:rPr>
            </w:pPr>
            <w:r w:rsidRPr="00BE2067">
              <w:rPr>
                <w:rFonts w:ascii="Calibri" w:hAnsi="Calibri" w:cs="Calibri"/>
                <w:b/>
                <w:bCs/>
                <w:lang w:eastAsia="en-GB"/>
              </w:rPr>
              <w:t>“Purchase Order Number”</w:t>
            </w:r>
            <w:r w:rsidRPr="00BE2067">
              <w:rPr>
                <w:rFonts w:ascii="Calibri" w:hAnsi="Calibri" w:cs="Calibri"/>
                <w:lang w:eastAsia="en-GB"/>
              </w:rPr>
              <w:t> </w:t>
            </w:r>
          </w:p>
        </w:tc>
        <w:tc>
          <w:tcPr>
            <w:tcW w:w="6758" w:type="dxa"/>
          </w:tcPr>
          <w:p w14:paraId="19A00EA4" w14:textId="77777777" w:rsidR="004B6008" w:rsidRPr="00EB2B49" w:rsidRDefault="004B6008" w:rsidP="000C15C2">
            <w:pPr>
              <w:rPr>
                <w:rFonts w:cstheme="minorHAnsi"/>
              </w:rPr>
            </w:pPr>
            <w:r w:rsidRPr="00BE2067">
              <w:rPr>
                <w:rFonts w:ascii="Calibri" w:hAnsi="Calibri" w:cs="Calibri"/>
                <w:lang w:eastAsia="en-GB"/>
              </w:rPr>
              <w:t>the Authority’s unique number relating to the supply of the Services;  </w:t>
            </w:r>
          </w:p>
        </w:tc>
      </w:tr>
      <w:tr w:rsidR="004B6008" w:rsidRPr="00EB2B49" w14:paraId="22CF51FB" w14:textId="77777777" w:rsidTr="000C15C2">
        <w:tc>
          <w:tcPr>
            <w:tcW w:w="2160" w:type="dxa"/>
          </w:tcPr>
          <w:p w14:paraId="3D32BC17" w14:textId="77777777" w:rsidR="004B6008" w:rsidRPr="00EB2B49" w:rsidRDefault="004B6008" w:rsidP="000C15C2">
            <w:pPr>
              <w:rPr>
                <w:rFonts w:cstheme="minorHAnsi"/>
                <w:b/>
              </w:rPr>
            </w:pPr>
            <w:r w:rsidRPr="00BE2067">
              <w:rPr>
                <w:rFonts w:ascii="Calibri" w:hAnsi="Calibri" w:cs="Calibri"/>
                <w:b/>
                <w:bCs/>
                <w:lang w:eastAsia="en-GB"/>
              </w:rPr>
              <w:lastRenderedPageBreak/>
              <w:t>“Services”</w:t>
            </w:r>
            <w:r w:rsidRPr="00BE2067">
              <w:rPr>
                <w:rFonts w:ascii="Calibri" w:hAnsi="Calibri" w:cs="Calibri"/>
                <w:lang w:eastAsia="en-GB"/>
              </w:rPr>
              <w:t> </w:t>
            </w:r>
          </w:p>
        </w:tc>
        <w:tc>
          <w:tcPr>
            <w:tcW w:w="6758" w:type="dxa"/>
          </w:tcPr>
          <w:p w14:paraId="5E66A4DB" w14:textId="77777777" w:rsidR="004B6008" w:rsidRPr="00EB2B49" w:rsidRDefault="004B6008" w:rsidP="000C15C2">
            <w:pPr>
              <w:rPr>
                <w:rFonts w:cstheme="minorHAnsi"/>
              </w:rPr>
            </w:pPr>
            <w:r w:rsidRPr="00BE2067">
              <w:rPr>
                <w:rFonts w:ascii="Calibri" w:hAnsi="Calibri" w:cs="Calibri"/>
                <w:lang w:eastAsia="en-GB"/>
              </w:rPr>
              <w:t xml:space="preserve">the services to be supplied by the Supplier to the Authority under the Agreement, including </w:t>
            </w:r>
            <w:r>
              <w:rPr>
                <w:rFonts w:ascii="Calibri" w:hAnsi="Calibri" w:cs="Calibri"/>
                <w:lang w:eastAsia="en-GB"/>
              </w:rPr>
              <w:t>the provision of any Goods;</w:t>
            </w:r>
          </w:p>
        </w:tc>
      </w:tr>
      <w:tr w:rsidR="004B6008" w:rsidRPr="00EB2B49" w14:paraId="28C0DAE1" w14:textId="77777777" w:rsidTr="000C15C2">
        <w:tc>
          <w:tcPr>
            <w:tcW w:w="2160" w:type="dxa"/>
          </w:tcPr>
          <w:p w14:paraId="0688DDA8" w14:textId="77777777" w:rsidR="004B6008" w:rsidRPr="00EB2B49" w:rsidRDefault="004B6008" w:rsidP="000C15C2">
            <w:pPr>
              <w:rPr>
                <w:rFonts w:cstheme="minorHAnsi"/>
                <w:b/>
              </w:rPr>
            </w:pPr>
            <w:r w:rsidRPr="00EB2B49">
              <w:rPr>
                <w:rFonts w:cstheme="minorHAnsi"/>
                <w:b/>
              </w:rPr>
              <w:t>“Subcontract”</w:t>
            </w:r>
          </w:p>
        </w:tc>
        <w:tc>
          <w:tcPr>
            <w:tcW w:w="6758" w:type="dxa"/>
          </w:tcPr>
          <w:p w14:paraId="4BAC36D8" w14:textId="77777777" w:rsidR="004B6008" w:rsidRPr="00EB2B49" w:rsidRDefault="004B6008" w:rsidP="000C15C2">
            <w:pPr>
              <w:rPr>
                <w:rFonts w:cstheme="minorHAnsi"/>
              </w:rPr>
            </w:pPr>
            <w:r w:rsidRPr="00EB2B49">
              <w:rPr>
                <w:rFonts w:cstheme="minorHAnsi"/>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4B6008" w:rsidRPr="00EB2B49" w14:paraId="73C4EF61" w14:textId="77777777" w:rsidTr="000C15C2">
        <w:tc>
          <w:tcPr>
            <w:tcW w:w="2160" w:type="dxa"/>
          </w:tcPr>
          <w:p w14:paraId="0999BE7C" w14:textId="77777777" w:rsidR="004B6008" w:rsidRPr="00EB2B49" w:rsidRDefault="004B6008" w:rsidP="000C15C2">
            <w:pPr>
              <w:rPr>
                <w:rFonts w:cstheme="minorHAnsi"/>
                <w:b/>
              </w:rPr>
            </w:pPr>
            <w:r w:rsidRPr="00EB2B49">
              <w:rPr>
                <w:rFonts w:cstheme="minorHAnsi"/>
                <w:b/>
              </w:rPr>
              <w:t>“</w:t>
            </w:r>
            <w:r w:rsidRPr="00EB2B49">
              <w:rPr>
                <w:rFonts w:cstheme="minorHAnsi"/>
                <w:b/>
                <w:spacing w:val="-2"/>
              </w:rPr>
              <w:t>Subcontractor</w:t>
            </w:r>
            <w:r w:rsidRPr="00EB2B49">
              <w:rPr>
                <w:rFonts w:cstheme="minorHAnsi"/>
                <w:b/>
              </w:rPr>
              <w:t>”</w:t>
            </w:r>
          </w:p>
        </w:tc>
        <w:tc>
          <w:tcPr>
            <w:tcW w:w="6758" w:type="dxa"/>
          </w:tcPr>
          <w:p w14:paraId="6A2D5F3B" w14:textId="77777777" w:rsidR="004B6008" w:rsidRPr="00EB2B49" w:rsidRDefault="004B6008" w:rsidP="000C15C2">
            <w:pPr>
              <w:widowControl w:val="0"/>
              <w:spacing w:before="120" w:after="120"/>
              <w:rPr>
                <w:rFonts w:cstheme="minorHAnsi"/>
              </w:rPr>
            </w:pPr>
            <w:r w:rsidRPr="00EB2B49">
              <w:rPr>
                <w:rFonts w:cstheme="minorHAnsi"/>
              </w:rPr>
              <w:t>any third party with whom:</w:t>
            </w:r>
          </w:p>
          <w:p w14:paraId="69AB3F82" w14:textId="77777777" w:rsidR="004B6008" w:rsidRPr="00EB2B49" w:rsidRDefault="004B6008" w:rsidP="0056106E">
            <w:pPr>
              <w:numPr>
                <w:ilvl w:val="0"/>
                <w:numId w:val="18"/>
              </w:numPr>
              <w:tabs>
                <w:tab w:val="left" w:pos="-75"/>
              </w:tabs>
              <w:overflowPunct/>
              <w:autoSpaceDE/>
              <w:autoSpaceDN/>
              <w:adjustRightInd/>
              <w:spacing w:before="120" w:after="120" w:line="259" w:lineRule="auto"/>
              <w:ind w:left="507" w:hanging="507"/>
              <w:textAlignment w:val="auto"/>
              <w:rPr>
                <w:rFonts w:cstheme="minorHAnsi"/>
              </w:rPr>
            </w:pPr>
            <w:r w:rsidRPr="00EB2B49">
              <w:rPr>
                <w:rFonts w:cstheme="minorHAnsi"/>
              </w:rPr>
              <w:t xml:space="preserve">the Supplier </w:t>
            </w:r>
            <w:proofErr w:type="gramStart"/>
            <w:r w:rsidRPr="00EB2B49">
              <w:rPr>
                <w:rFonts w:cstheme="minorHAnsi"/>
              </w:rPr>
              <w:t>enters into</w:t>
            </w:r>
            <w:proofErr w:type="gramEnd"/>
            <w:r w:rsidRPr="00EB2B49">
              <w:rPr>
                <w:rFonts w:cstheme="minorHAnsi"/>
              </w:rPr>
              <w:t xml:space="preserve"> a Subcontract; or </w:t>
            </w:r>
          </w:p>
          <w:p w14:paraId="69B05FB3" w14:textId="77777777" w:rsidR="004B6008" w:rsidRPr="00EB2B49" w:rsidRDefault="004B6008" w:rsidP="0056106E">
            <w:pPr>
              <w:numPr>
                <w:ilvl w:val="0"/>
                <w:numId w:val="18"/>
              </w:numPr>
              <w:tabs>
                <w:tab w:val="left" w:pos="-75"/>
              </w:tabs>
              <w:overflowPunct/>
              <w:autoSpaceDE/>
              <w:autoSpaceDN/>
              <w:adjustRightInd/>
              <w:spacing w:before="120" w:after="120" w:line="259" w:lineRule="auto"/>
              <w:ind w:left="507" w:hanging="507"/>
              <w:textAlignment w:val="auto"/>
              <w:rPr>
                <w:rFonts w:cstheme="minorHAnsi"/>
              </w:rPr>
            </w:pPr>
            <w:r w:rsidRPr="00EB2B49">
              <w:rPr>
                <w:rFonts w:cstheme="minorHAnsi"/>
              </w:rPr>
              <w:t xml:space="preserve">a third party under (a) above </w:t>
            </w:r>
            <w:proofErr w:type="gramStart"/>
            <w:r w:rsidRPr="00EB2B49">
              <w:rPr>
                <w:rFonts w:cstheme="minorHAnsi"/>
              </w:rPr>
              <w:t>enters into</w:t>
            </w:r>
            <w:proofErr w:type="gramEnd"/>
            <w:r w:rsidRPr="00EB2B49">
              <w:rPr>
                <w:rFonts w:cstheme="minorHAnsi"/>
              </w:rPr>
              <w:t xml:space="preserve"> a Subcontract,</w:t>
            </w:r>
          </w:p>
          <w:p w14:paraId="2E545170" w14:textId="77777777" w:rsidR="004B6008" w:rsidRPr="006D4B4B" w:rsidRDefault="004B6008" w:rsidP="000C15C2">
            <w:pPr>
              <w:widowControl w:val="0"/>
              <w:spacing w:before="120" w:after="120"/>
              <w:ind w:left="-15"/>
              <w:outlineLvl w:val="2"/>
              <w:rPr>
                <w:rFonts w:cstheme="minorHAnsi"/>
                <w:bCs/>
                <w:spacing w:val="-2"/>
              </w:rPr>
            </w:pPr>
            <w:r w:rsidRPr="00EB2B49">
              <w:rPr>
                <w:rFonts w:cstheme="minorHAnsi"/>
                <w:bCs/>
                <w:spacing w:val="-2"/>
              </w:rPr>
              <w:t>or the servants or agents of that third party;</w:t>
            </w:r>
          </w:p>
        </w:tc>
      </w:tr>
      <w:tr w:rsidR="004B6008" w:rsidRPr="00EB2B49" w14:paraId="268D7A1F" w14:textId="77777777" w:rsidTr="000C15C2">
        <w:tc>
          <w:tcPr>
            <w:tcW w:w="2160" w:type="dxa"/>
          </w:tcPr>
          <w:p w14:paraId="65205732" w14:textId="77777777" w:rsidR="004B6008" w:rsidRPr="00EB2B49" w:rsidRDefault="004B6008" w:rsidP="000C15C2">
            <w:pPr>
              <w:rPr>
                <w:rFonts w:cstheme="minorHAnsi"/>
                <w:b/>
              </w:rPr>
            </w:pPr>
            <w:r w:rsidRPr="00EB2B49">
              <w:rPr>
                <w:rFonts w:cstheme="minorHAnsi"/>
                <w:b/>
              </w:rPr>
              <w:t>“Supplier Personnel”</w:t>
            </w:r>
          </w:p>
        </w:tc>
        <w:tc>
          <w:tcPr>
            <w:tcW w:w="6758" w:type="dxa"/>
          </w:tcPr>
          <w:p w14:paraId="24BDF5DA" w14:textId="77777777" w:rsidR="004B6008" w:rsidRPr="00EB2B49" w:rsidRDefault="004B6008" w:rsidP="000C15C2">
            <w:pPr>
              <w:rPr>
                <w:rFonts w:cstheme="minorHAnsi"/>
              </w:rPr>
            </w:pPr>
            <w:r w:rsidRPr="00EB2B49">
              <w:rPr>
                <w:rStyle w:val="normaltextrun1"/>
                <w:rFonts w:cstheme="minorHAnsi"/>
              </w:rPr>
              <w:t xml:space="preserve">all directors, officers, employees, agents, consultants and contractors of the Supplier and/or of any </w:t>
            </w:r>
            <w:r>
              <w:rPr>
                <w:rStyle w:val="normaltextrun1"/>
                <w:rFonts w:cstheme="minorHAnsi"/>
              </w:rPr>
              <w:t>S</w:t>
            </w:r>
            <w:r w:rsidRPr="00EB2B49">
              <w:rPr>
                <w:rStyle w:val="normaltextrun1"/>
                <w:rFonts w:cstheme="minorHAnsi"/>
              </w:rPr>
              <w:t>ubcontractor of the Supplier engaged in the performance of the Supplier’s obligations under the Agreement; </w:t>
            </w:r>
          </w:p>
        </w:tc>
      </w:tr>
      <w:tr w:rsidR="004B6008" w:rsidRPr="00EB2B49" w14:paraId="00AD118A" w14:textId="77777777" w:rsidTr="000C15C2">
        <w:tc>
          <w:tcPr>
            <w:tcW w:w="2160" w:type="dxa"/>
          </w:tcPr>
          <w:p w14:paraId="1C92CD82" w14:textId="77777777" w:rsidR="004B6008" w:rsidRPr="001665F0" w:rsidRDefault="004B6008" w:rsidP="000C15C2">
            <w:pPr>
              <w:rPr>
                <w:rFonts w:cstheme="minorHAnsi"/>
                <w:b/>
              </w:rPr>
            </w:pPr>
            <w:r w:rsidRPr="001665F0">
              <w:rPr>
                <w:rFonts w:cstheme="minorHAnsi"/>
                <w:b/>
              </w:rPr>
              <w:t>“Supporting Documentation”</w:t>
            </w:r>
          </w:p>
        </w:tc>
        <w:tc>
          <w:tcPr>
            <w:tcW w:w="6758" w:type="dxa"/>
          </w:tcPr>
          <w:p w14:paraId="46E2AA53" w14:textId="77777777" w:rsidR="004B6008" w:rsidRPr="001665F0" w:rsidRDefault="004B6008" w:rsidP="000C15C2">
            <w:pPr>
              <w:rPr>
                <w:rStyle w:val="normaltextrun1"/>
                <w:color w:val="000000"/>
              </w:rPr>
            </w:pPr>
            <w:proofErr w:type="gramStart"/>
            <w:r w:rsidRPr="001665F0">
              <w:rPr>
                <w:color w:val="000000"/>
              </w:rPr>
              <w:t>sufficient</w:t>
            </w:r>
            <w:proofErr w:type="gramEnd"/>
            <w:r w:rsidRPr="001665F0">
              <w:rPr>
                <w:color w:val="000000"/>
              </w:rPr>
              <w:t xml:space="preserve"> information in writing to enable the Authority </w:t>
            </w:r>
            <w:r>
              <w:rPr>
                <w:color w:val="000000"/>
              </w:rPr>
              <w:t>to reasonably</w:t>
            </w:r>
            <w:r w:rsidRPr="001665F0">
              <w:rPr>
                <w:color w:val="000000"/>
              </w:rPr>
              <w:t xml:space="preserve"> </w:t>
            </w:r>
            <w:r>
              <w:rPr>
                <w:color w:val="000000"/>
              </w:rPr>
              <w:t xml:space="preserve">verify the accuracy of any invoice; </w:t>
            </w:r>
          </w:p>
        </w:tc>
      </w:tr>
      <w:tr w:rsidR="004B6008" w:rsidRPr="00EB2B49" w14:paraId="66288297" w14:textId="77777777" w:rsidTr="000C15C2">
        <w:tc>
          <w:tcPr>
            <w:tcW w:w="2160" w:type="dxa"/>
          </w:tcPr>
          <w:p w14:paraId="0A869761" w14:textId="77777777" w:rsidR="004B6008" w:rsidRPr="001665F0" w:rsidRDefault="004B6008" w:rsidP="000C15C2">
            <w:pPr>
              <w:rPr>
                <w:rFonts w:cstheme="minorHAnsi"/>
                <w:b/>
              </w:rPr>
            </w:pPr>
            <w:r w:rsidRPr="001665F0">
              <w:rPr>
                <w:rFonts w:cstheme="minorHAnsi"/>
                <w:b/>
              </w:rPr>
              <w:t>“Tax”</w:t>
            </w:r>
          </w:p>
        </w:tc>
        <w:tc>
          <w:tcPr>
            <w:tcW w:w="6758" w:type="dxa"/>
          </w:tcPr>
          <w:p w14:paraId="686A1936" w14:textId="77777777" w:rsidR="004B6008" w:rsidRPr="001665F0" w:rsidRDefault="004B6008" w:rsidP="0056106E">
            <w:pPr>
              <w:numPr>
                <w:ilvl w:val="0"/>
                <w:numId w:val="20"/>
              </w:numPr>
              <w:tabs>
                <w:tab w:val="left" w:pos="-75"/>
              </w:tabs>
              <w:overflowPunct/>
              <w:autoSpaceDE/>
              <w:autoSpaceDN/>
              <w:adjustRightInd/>
              <w:spacing w:before="120" w:after="120" w:line="259" w:lineRule="auto"/>
              <w:textAlignment w:val="auto"/>
              <w:rPr>
                <w:rFonts w:cstheme="minorHAnsi"/>
                <w:spacing w:val="-2"/>
              </w:rPr>
            </w:pPr>
            <w:r w:rsidRPr="001665F0">
              <w:rPr>
                <w:rFonts w:cstheme="minorHAnsi"/>
                <w:spacing w:val="-2"/>
              </w:rPr>
              <w:t>all forms of tax whether direct or indirect;</w:t>
            </w:r>
          </w:p>
          <w:p w14:paraId="49562211" w14:textId="77777777" w:rsidR="004B6008" w:rsidRPr="001665F0" w:rsidRDefault="004B6008" w:rsidP="0056106E">
            <w:pPr>
              <w:numPr>
                <w:ilvl w:val="0"/>
                <w:numId w:val="20"/>
              </w:numPr>
              <w:tabs>
                <w:tab w:val="left" w:pos="-75"/>
              </w:tabs>
              <w:overflowPunct/>
              <w:autoSpaceDE/>
              <w:autoSpaceDN/>
              <w:adjustRightInd/>
              <w:spacing w:before="120" w:after="120" w:line="259" w:lineRule="auto"/>
              <w:textAlignment w:val="auto"/>
              <w:rPr>
                <w:rFonts w:cstheme="minorHAnsi"/>
                <w:spacing w:val="-2"/>
              </w:rPr>
            </w:pPr>
            <w:r w:rsidRPr="001665F0">
              <w:rPr>
                <w:rFonts w:cstheme="minorHAnsi"/>
                <w:spacing w:val="-2"/>
              </w:rPr>
              <w:t>national insurance contributions in the United Kingdom and similar contributions or obligations in any other jurisdiction;</w:t>
            </w:r>
          </w:p>
          <w:p w14:paraId="0865C87C" w14:textId="77777777" w:rsidR="004B6008" w:rsidRPr="001665F0" w:rsidRDefault="004B6008" w:rsidP="0056106E">
            <w:pPr>
              <w:numPr>
                <w:ilvl w:val="0"/>
                <w:numId w:val="20"/>
              </w:numPr>
              <w:tabs>
                <w:tab w:val="left" w:pos="-75"/>
              </w:tabs>
              <w:overflowPunct/>
              <w:autoSpaceDE/>
              <w:autoSpaceDN/>
              <w:adjustRightInd/>
              <w:spacing w:before="120" w:after="120" w:line="259" w:lineRule="auto"/>
              <w:textAlignment w:val="auto"/>
              <w:rPr>
                <w:rFonts w:cstheme="minorHAnsi"/>
                <w:spacing w:val="-2"/>
              </w:rPr>
            </w:pPr>
            <w:r w:rsidRPr="001665F0">
              <w:rPr>
                <w:rFonts w:cstheme="minorHAnsi"/>
                <w:spacing w:val="-2"/>
              </w:rPr>
              <w:t xml:space="preserve">all statutory, governmental, state, federal, provincial, local government or municipal charges, duties, imports, contributions. levies or liabilities (other than in </w:t>
            </w:r>
            <w:proofErr w:type="gramStart"/>
            <w:r w:rsidRPr="001665F0">
              <w:rPr>
                <w:rFonts w:cstheme="minorHAnsi"/>
                <w:spacing w:val="-2"/>
              </w:rPr>
              <w:t>return  for</w:t>
            </w:r>
            <w:proofErr w:type="gramEnd"/>
            <w:r w:rsidRPr="001665F0">
              <w:rPr>
                <w:rFonts w:cstheme="minorHAnsi"/>
                <w:spacing w:val="-2"/>
              </w:rPr>
              <w:t xml:space="preserve"> goods or services supplied or performed or to be performed) and withholdings; and</w:t>
            </w:r>
          </w:p>
          <w:p w14:paraId="43C8FC83" w14:textId="77777777" w:rsidR="004B6008" w:rsidRPr="001665F0" w:rsidRDefault="004B6008" w:rsidP="0056106E">
            <w:pPr>
              <w:numPr>
                <w:ilvl w:val="0"/>
                <w:numId w:val="20"/>
              </w:numPr>
              <w:tabs>
                <w:tab w:val="left" w:pos="-75"/>
              </w:tabs>
              <w:overflowPunct/>
              <w:autoSpaceDE/>
              <w:autoSpaceDN/>
              <w:adjustRightInd/>
              <w:spacing w:before="120" w:after="120" w:line="259" w:lineRule="auto"/>
              <w:textAlignment w:val="auto"/>
              <w:rPr>
                <w:rFonts w:cstheme="minorHAnsi"/>
                <w:spacing w:val="-2"/>
              </w:rPr>
            </w:pPr>
            <w:r w:rsidRPr="001665F0">
              <w:rPr>
                <w:rFonts w:cstheme="minorHAnsi"/>
                <w:spacing w:val="-2"/>
              </w:rPr>
              <w:t>any penalty, fine, surcharge, interest, charges or costs relating to any of the above,</w:t>
            </w:r>
          </w:p>
          <w:p w14:paraId="108C01AA" w14:textId="77777777" w:rsidR="004B6008" w:rsidRPr="001665F0" w:rsidRDefault="004B6008" w:rsidP="000C15C2">
            <w:pPr>
              <w:rPr>
                <w:rStyle w:val="normaltextrun1"/>
                <w:rFonts w:cstheme="minorHAnsi"/>
              </w:rPr>
            </w:pPr>
            <w:r w:rsidRPr="001665F0">
              <w:rPr>
                <w:rFonts w:cstheme="minorHAnsi"/>
                <w:spacing w:val="-2"/>
              </w:rPr>
              <w:lastRenderedPageBreak/>
              <w:t>in each case wherever chargeable and whether of the United Kingdom and any other jurisdiction;</w:t>
            </w:r>
          </w:p>
        </w:tc>
      </w:tr>
      <w:tr w:rsidR="004B6008" w:rsidRPr="00EB2B49" w14:paraId="2D039839" w14:textId="77777777" w:rsidTr="000C15C2">
        <w:tc>
          <w:tcPr>
            <w:tcW w:w="2160" w:type="dxa"/>
          </w:tcPr>
          <w:p w14:paraId="3B26BEA9" w14:textId="77777777" w:rsidR="004B6008" w:rsidRPr="00EB2B49" w:rsidRDefault="004B6008" w:rsidP="000C15C2">
            <w:pPr>
              <w:spacing w:before="120" w:after="120"/>
              <w:rPr>
                <w:rFonts w:cstheme="minorHAnsi"/>
                <w:b/>
              </w:rPr>
            </w:pPr>
            <w:r>
              <w:rPr>
                <w:rFonts w:cstheme="minorHAnsi"/>
                <w:b/>
              </w:rPr>
              <w:lastRenderedPageBreak/>
              <w:t>“Tax Non-</w:t>
            </w:r>
            <w:r w:rsidRPr="00EB2B49">
              <w:rPr>
                <w:rFonts w:cstheme="minorHAnsi"/>
                <w:b/>
              </w:rPr>
              <w:t>Compliance”</w:t>
            </w:r>
          </w:p>
          <w:p w14:paraId="586D3122" w14:textId="77777777" w:rsidR="004B6008" w:rsidRPr="00EB2B49" w:rsidRDefault="004B6008" w:rsidP="000C15C2">
            <w:pPr>
              <w:rPr>
                <w:rFonts w:cstheme="minorHAnsi"/>
                <w:b/>
              </w:rPr>
            </w:pPr>
          </w:p>
        </w:tc>
        <w:tc>
          <w:tcPr>
            <w:tcW w:w="6758" w:type="dxa"/>
          </w:tcPr>
          <w:p w14:paraId="7002DA16" w14:textId="77777777" w:rsidR="004B6008" w:rsidRPr="00EB2B49" w:rsidRDefault="004B6008" w:rsidP="000C15C2">
            <w:pPr>
              <w:tabs>
                <w:tab w:val="left" w:pos="-75"/>
              </w:tabs>
              <w:spacing w:before="120" w:after="120"/>
              <w:rPr>
                <w:rFonts w:cstheme="minorHAnsi"/>
                <w:spacing w:val="-2"/>
              </w:rPr>
            </w:pPr>
            <w:r w:rsidRPr="00EB2B49">
              <w:rPr>
                <w:rFonts w:cstheme="minorHAnsi"/>
                <w:spacing w:val="-2"/>
              </w:rPr>
              <w:t>where an entity or person under consideration meets all 3 conditions contained in the relevant excerpt from HMRC’s “Test for Tax Non-Compliance”, as set out in Annex 1, where:</w:t>
            </w:r>
          </w:p>
          <w:p w14:paraId="38757E0C" w14:textId="77777777" w:rsidR="004B6008" w:rsidRPr="00EB2B49" w:rsidRDefault="004B6008" w:rsidP="0056106E">
            <w:pPr>
              <w:pStyle w:val="ListParagraph"/>
              <w:numPr>
                <w:ilvl w:val="0"/>
                <w:numId w:val="21"/>
              </w:numPr>
              <w:tabs>
                <w:tab w:val="left" w:pos="-75"/>
              </w:tabs>
              <w:overflowPunct/>
              <w:autoSpaceDE/>
              <w:autoSpaceDN/>
              <w:adjustRightInd/>
              <w:spacing w:before="120" w:after="120" w:line="259" w:lineRule="auto"/>
              <w:textAlignment w:val="auto"/>
              <w:rPr>
                <w:rFonts w:cstheme="minorHAnsi"/>
                <w:spacing w:val="-2"/>
              </w:rPr>
            </w:pPr>
            <w:r w:rsidRPr="00EB2B49">
              <w:rPr>
                <w:rFonts w:cstheme="minorHAnsi"/>
                <w:spacing w:val="-2"/>
              </w:rPr>
              <w:t>the “Economic Operator” means the Supplier</w:t>
            </w:r>
            <w:r>
              <w:rPr>
                <w:rFonts w:cstheme="minorHAnsi"/>
                <w:spacing w:val="-2"/>
              </w:rPr>
              <w:t xml:space="preserve"> </w:t>
            </w:r>
            <w:r>
              <w:rPr>
                <w:spacing w:val="-2"/>
              </w:rPr>
              <w:t>or</w:t>
            </w:r>
            <w:r>
              <w:t xml:space="preserve"> any agent, supplier or Subcontractor of the Supplier requested to be replaced pursuant to Clause </w:t>
            </w:r>
            <w:r>
              <w:fldChar w:fldCharType="begin"/>
            </w:r>
            <w:r>
              <w:instrText xml:space="preserve"> REF _Ref20993847 \r \h </w:instrText>
            </w:r>
            <w:r>
              <w:fldChar w:fldCharType="separate"/>
            </w:r>
            <w:r>
              <w:t>4.3</w:t>
            </w:r>
            <w:r>
              <w:fldChar w:fldCharType="end"/>
            </w:r>
            <w:r w:rsidRPr="00EB2B49">
              <w:rPr>
                <w:rFonts w:cstheme="minorHAnsi"/>
                <w:spacing w:val="-2"/>
              </w:rPr>
              <w:t xml:space="preserve">; and </w:t>
            </w:r>
          </w:p>
          <w:p w14:paraId="0E71562C" w14:textId="77777777" w:rsidR="004B6008" w:rsidRPr="006D4B4B" w:rsidRDefault="004B6008" w:rsidP="0056106E">
            <w:pPr>
              <w:pStyle w:val="ListParagraph"/>
              <w:numPr>
                <w:ilvl w:val="0"/>
                <w:numId w:val="21"/>
              </w:numPr>
              <w:overflowPunct/>
              <w:autoSpaceDE/>
              <w:autoSpaceDN/>
              <w:adjustRightInd/>
              <w:spacing w:after="160" w:line="259" w:lineRule="auto"/>
              <w:jc w:val="left"/>
              <w:textAlignment w:val="auto"/>
              <w:rPr>
                <w:rStyle w:val="normaltextrun1"/>
                <w:rFonts w:cstheme="minorHAnsi"/>
              </w:rPr>
            </w:pPr>
            <w:r w:rsidRPr="006D4B4B">
              <w:rPr>
                <w:rFonts w:cstheme="minorHAnsi"/>
                <w:spacing w:val="-2"/>
              </w:rPr>
              <w:t>any “Essential Subcontractor” means any Key Subcontractor</w:t>
            </w:r>
            <w:r>
              <w:rPr>
                <w:rFonts w:cstheme="minorHAnsi"/>
                <w:spacing w:val="-2"/>
              </w:rPr>
              <w:t>;</w:t>
            </w:r>
          </w:p>
        </w:tc>
      </w:tr>
      <w:tr w:rsidR="004B6008" w:rsidRPr="00EB2B49" w14:paraId="589ED300" w14:textId="77777777" w:rsidTr="000C15C2">
        <w:tc>
          <w:tcPr>
            <w:tcW w:w="2160" w:type="dxa"/>
          </w:tcPr>
          <w:p w14:paraId="7DF38C0F" w14:textId="77777777" w:rsidR="004B6008" w:rsidRPr="00EB2B49" w:rsidRDefault="004B6008" w:rsidP="000C15C2">
            <w:pPr>
              <w:spacing w:before="120" w:after="120"/>
              <w:rPr>
                <w:rFonts w:cstheme="minorHAnsi"/>
                <w:b/>
              </w:rPr>
            </w:pPr>
            <w:r w:rsidRPr="00EB2B49">
              <w:rPr>
                <w:rFonts w:cstheme="minorHAnsi"/>
                <w:b/>
              </w:rPr>
              <w:t>“VAT”</w:t>
            </w:r>
          </w:p>
        </w:tc>
        <w:tc>
          <w:tcPr>
            <w:tcW w:w="6758" w:type="dxa"/>
          </w:tcPr>
          <w:p w14:paraId="035114FD" w14:textId="77777777" w:rsidR="004B6008" w:rsidRPr="00EB2B49" w:rsidRDefault="004B6008" w:rsidP="000C15C2">
            <w:pPr>
              <w:tabs>
                <w:tab w:val="left" w:pos="-75"/>
              </w:tabs>
              <w:spacing w:before="120" w:after="120"/>
              <w:rPr>
                <w:rFonts w:cstheme="minorHAnsi"/>
                <w:spacing w:val="-2"/>
              </w:rPr>
            </w:pPr>
            <w:r w:rsidRPr="00EB2B49">
              <w:rPr>
                <w:rFonts w:cstheme="minorHAnsi"/>
              </w:rPr>
              <w:t>value added tax as provided for in the Value Added Tax Act 1994.</w:t>
            </w:r>
          </w:p>
        </w:tc>
      </w:tr>
    </w:tbl>
    <w:p w14:paraId="60117D78" w14:textId="77777777" w:rsidR="004B6008" w:rsidRPr="004E1111" w:rsidRDefault="004B6008" w:rsidP="004B6008">
      <w:pPr>
        <w:rPr>
          <w:rFonts w:cstheme="minorHAnsi"/>
          <w:b/>
        </w:rPr>
      </w:pPr>
    </w:p>
    <w:p w14:paraId="1A07469A" w14:textId="77777777" w:rsidR="004B6008" w:rsidRPr="00724858" w:rsidRDefault="004B6008" w:rsidP="0056106E">
      <w:pPr>
        <w:pStyle w:val="ListParagraph"/>
        <w:numPr>
          <w:ilvl w:val="0"/>
          <w:numId w:val="22"/>
        </w:numPr>
        <w:overflowPunct/>
        <w:autoSpaceDE/>
        <w:autoSpaceDN/>
        <w:adjustRightInd/>
        <w:spacing w:after="0"/>
        <w:ind w:left="426" w:hanging="426"/>
        <w:jc w:val="left"/>
        <w:rPr>
          <w:rFonts w:ascii="&amp;quot" w:hAnsi="&amp;quot" w:cs="Times New Roman"/>
          <w:sz w:val="18"/>
          <w:szCs w:val="18"/>
          <w:lang w:eastAsia="en-GB"/>
        </w:rPr>
      </w:pPr>
      <w:bookmarkStart w:id="2" w:name="_Ref22568790"/>
      <w:r w:rsidRPr="00724858">
        <w:rPr>
          <w:rFonts w:ascii="Calibri" w:hAnsi="Calibri" w:cs="Calibri"/>
          <w:b/>
          <w:bCs/>
          <w:lang w:eastAsia="en-GB"/>
        </w:rPr>
        <w:t>Payment and Recovery of Sums Due</w:t>
      </w:r>
      <w:bookmarkEnd w:id="2"/>
      <w:r w:rsidRPr="00724858">
        <w:rPr>
          <w:rFonts w:ascii="Calibri" w:hAnsi="Calibri" w:cs="Calibri"/>
          <w:lang w:eastAsia="en-GB"/>
        </w:rPr>
        <w:t> </w:t>
      </w:r>
    </w:p>
    <w:p w14:paraId="242C4BE7" w14:textId="77777777" w:rsidR="004B6008" w:rsidRPr="00A136C3" w:rsidRDefault="004B6008" w:rsidP="004B6008">
      <w:pPr>
        <w:spacing w:after="0"/>
        <w:ind w:left="0"/>
        <w:rPr>
          <w:rFonts w:cstheme="minorHAnsi"/>
        </w:rPr>
      </w:pPr>
      <w:r w:rsidRPr="00A136C3">
        <w:rPr>
          <w:rFonts w:cstheme="minorHAnsi"/>
        </w:rPr>
        <w:t>1.1</w:t>
      </w:r>
      <w:r w:rsidRPr="00A136C3">
        <w:rPr>
          <w:rFonts w:cstheme="minorHAnsi"/>
        </w:rPr>
        <w:tab/>
        <w:t xml:space="preserve">The Supplier shall invoice the Customer as specified in the Section B Clause 6 of this Call Off Order Form.  Each invoice shall include such supporting information required by the Customer to verify the accuracy of the invoice (“Supporting Documentation”), including the relevant Purchase Order Number (and CD Reference) and a breakdown of the Services supplied in the invoice period.  </w:t>
      </w:r>
    </w:p>
    <w:p w14:paraId="52689B1C" w14:textId="77777777" w:rsidR="004B6008" w:rsidRPr="00A136C3" w:rsidRDefault="004B6008" w:rsidP="004B6008">
      <w:pPr>
        <w:spacing w:after="0"/>
        <w:ind w:left="0"/>
        <w:rPr>
          <w:rFonts w:cstheme="minorHAnsi"/>
        </w:rPr>
      </w:pPr>
      <w:r w:rsidRPr="00A136C3">
        <w:rPr>
          <w:rFonts w:cstheme="minorHAnsi"/>
        </w:rPr>
        <w:t>1.2</w:t>
      </w:r>
      <w:r w:rsidRPr="00A136C3">
        <w:rPr>
          <w:rFonts w:cstheme="minorHAnsi"/>
        </w:rPr>
        <w:tab/>
        <w:t>To facilitate payment, the Supplier shall use an electronic transaction system chosen by the Customer and shall:</w:t>
      </w:r>
    </w:p>
    <w:p w14:paraId="121351DF" w14:textId="77777777" w:rsidR="004B6008" w:rsidRPr="00A136C3" w:rsidRDefault="004B6008" w:rsidP="004B6008">
      <w:pPr>
        <w:pStyle w:val="ListParagraph"/>
        <w:spacing w:after="0"/>
        <w:ind w:left="360"/>
        <w:rPr>
          <w:rFonts w:cstheme="minorHAnsi"/>
        </w:rPr>
      </w:pPr>
      <w:r w:rsidRPr="00A136C3">
        <w:rPr>
          <w:rFonts w:cstheme="minorHAnsi"/>
        </w:rPr>
        <w:t>1.2.1</w:t>
      </w:r>
      <w:r w:rsidRPr="00A136C3">
        <w:rPr>
          <w:rFonts w:cstheme="minorHAnsi"/>
        </w:rPr>
        <w:tab/>
        <w:t>Register for the electronic transaction system in accordance with the instructions of the Customer;</w:t>
      </w:r>
    </w:p>
    <w:p w14:paraId="0A38A38B" w14:textId="77777777" w:rsidR="004B6008" w:rsidRPr="00A136C3" w:rsidRDefault="004B6008" w:rsidP="004B6008">
      <w:pPr>
        <w:pStyle w:val="ListParagraph"/>
        <w:spacing w:after="0"/>
        <w:ind w:left="360"/>
        <w:rPr>
          <w:rFonts w:cstheme="minorHAnsi"/>
        </w:rPr>
      </w:pPr>
      <w:r w:rsidRPr="00A136C3">
        <w:rPr>
          <w:rFonts w:cstheme="minorHAnsi"/>
        </w:rPr>
        <w:t>1.2.2</w:t>
      </w:r>
      <w:r w:rsidRPr="00A136C3">
        <w:rPr>
          <w:rFonts w:cstheme="minorHAnsi"/>
        </w:rPr>
        <w:tab/>
        <w:t xml:space="preserve">Allow the electronic transmission of purchase orders and submitting of electronic invoices via the electronic transaction system; </w:t>
      </w:r>
    </w:p>
    <w:p w14:paraId="39E6C292" w14:textId="77777777" w:rsidR="004B6008" w:rsidRPr="00A136C3" w:rsidRDefault="004B6008" w:rsidP="004B6008">
      <w:pPr>
        <w:pStyle w:val="ListParagraph"/>
        <w:spacing w:after="0"/>
        <w:ind w:left="360"/>
        <w:rPr>
          <w:rFonts w:cstheme="minorHAnsi"/>
        </w:rPr>
      </w:pPr>
      <w:r w:rsidRPr="00A136C3">
        <w:rPr>
          <w:rFonts w:cstheme="minorHAnsi"/>
        </w:rPr>
        <w:t>1.2.3</w:t>
      </w:r>
      <w:r w:rsidRPr="00A136C3">
        <w:rPr>
          <w:rFonts w:cstheme="minorHAnsi"/>
        </w:rPr>
        <w:tab/>
        <w:t>Designate a Supplier representative as the first point of contact with the Customer for system issues; and</w:t>
      </w:r>
    </w:p>
    <w:p w14:paraId="64C321EB" w14:textId="77777777" w:rsidR="004B6008" w:rsidRPr="00A136C3" w:rsidRDefault="004B6008" w:rsidP="004B6008">
      <w:pPr>
        <w:pStyle w:val="ListParagraph"/>
        <w:spacing w:after="0"/>
        <w:ind w:left="360"/>
        <w:rPr>
          <w:rFonts w:cstheme="minorHAnsi"/>
        </w:rPr>
      </w:pPr>
      <w:r w:rsidRPr="00A136C3">
        <w:rPr>
          <w:rFonts w:cstheme="minorHAnsi"/>
        </w:rPr>
        <w:t>1.2.4</w:t>
      </w:r>
      <w:r w:rsidRPr="00A136C3">
        <w:rPr>
          <w:rFonts w:cstheme="minorHAnsi"/>
        </w:rPr>
        <w:tab/>
        <w:t>Provide such data to the Customer as the Customer reasonably deems necessary for the operation of the system including, but not limited to, electronic catalogue information.</w:t>
      </w:r>
    </w:p>
    <w:p w14:paraId="2CF92E22" w14:textId="77777777" w:rsidR="004B6008" w:rsidRPr="00A136C3" w:rsidRDefault="004B6008" w:rsidP="004B6008">
      <w:pPr>
        <w:spacing w:after="0"/>
        <w:ind w:left="0"/>
        <w:rPr>
          <w:rFonts w:cstheme="minorHAnsi"/>
        </w:rPr>
      </w:pPr>
      <w:r w:rsidRPr="00A136C3">
        <w:rPr>
          <w:rFonts w:cstheme="minorHAnsi"/>
        </w:rPr>
        <w:t>1.3</w:t>
      </w:r>
      <w:r w:rsidRPr="00A136C3">
        <w:rPr>
          <w:rFonts w:cstheme="minorHAnsi"/>
        </w:rPr>
        <w:tab/>
        <w:t>The Customer is in the process of implementing its electronic transaction system. Each invoice and any Supporting Documentation required to be submitted in accordance with this Clause 1 shall be submitted by the Supplier, as directed by the Customer from time to time, either:</w:t>
      </w:r>
    </w:p>
    <w:p w14:paraId="6E6B8832" w14:textId="77777777" w:rsidR="004B6008" w:rsidRPr="00A136C3" w:rsidRDefault="004B6008" w:rsidP="004B6008">
      <w:pPr>
        <w:pStyle w:val="ListParagraph"/>
        <w:spacing w:after="0"/>
        <w:ind w:left="360"/>
        <w:rPr>
          <w:rFonts w:cstheme="minorHAnsi"/>
        </w:rPr>
      </w:pPr>
      <w:r w:rsidRPr="00A136C3">
        <w:rPr>
          <w:rFonts w:cstheme="minorHAnsi"/>
        </w:rPr>
        <w:t>1.3.1</w:t>
      </w:r>
      <w:r w:rsidRPr="00A136C3">
        <w:rPr>
          <w:rFonts w:cstheme="minorHAnsi"/>
        </w:rPr>
        <w:tab/>
        <w:t>via the Customer’s electronic transaction system</w:t>
      </w:r>
    </w:p>
    <w:p w14:paraId="2E54C8B2" w14:textId="77777777" w:rsidR="004B6008" w:rsidRPr="00A136C3" w:rsidRDefault="004B6008" w:rsidP="004B6008">
      <w:pPr>
        <w:spacing w:after="0"/>
        <w:ind w:left="0"/>
        <w:rPr>
          <w:rFonts w:cstheme="minorHAnsi"/>
        </w:rPr>
      </w:pPr>
      <w:r w:rsidRPr="00A136C3">
        <w:rPr>
          <w:rFonts w:cstheme="minorHAnsi"/>
        </w:rPr>
        <w:t>1.4</w:t>
      </w:r>
      <w:r w:rsidRPr="00A136C3">
        <w:rPr>
          <w:rFonts w:cstheme="minorHAnsi"/>
        </w:rPr>
        <w:tab/>
        <w:t xml:space="preserve">The Supplier acknowledges and agrees that should it commence Services without a Purchase Order Number: </w:t>
      </w:r>
    </w:p>
    <w:p w14:paraId="05A4291D" w14:textId="77777777" w:rsidR="004B6008" w:rsidRPr="00A136C3" w:rsidRDefault="004B6008" w:rsidP="004B6008">
      <w:pPr>
        <w:pStyle w:val="ListParagraph"/>
        <w:spacing w:after="0"/>
        <w:ind w:left="360"/>
        <w:rPr>
          <w:rFonts w:cstheme="minorHAnsi"/>
        </w:rPr>
      </w:pPr>
      <w:r w:rsidRPr="00A136C3">
        <w:rPr>
          <w:rFonts w:cstheme="minorHAnsi"/>
        </w:rPr>
        <w:t>1.4.1</w:t>
      </w:r>
      <w:r w:rsidRPr="00A136C3">
        <w:rPr>
          <w:rFonts w:cstheme="minorHAnsi"/>
        </w:rPr>
        <w:tab/>
        <w:t>the Supplier does so at its own risk; and</w:t>
      </w:r>
    </w:p>
    <w:p w14:paraId="05C9E5DA" w14:textId="77777777" w:rsidR="004B6008" w:rsidRPr="00A136C3" w:rsidRDefault="004B6008" w:rsidP="004B6008">
      <w:pPr>
        <w:pStyle w:val="ListParagraph"/>
        <w:spacing w:after="0"/>
        <w:ind w:left="360"/>
        <w:rPr>
          <w:rFonts w:cstheme="minorHAnsi"/>
        </w:rPr>
      </w:pPr>
      <w:r w:rsidRPr="00A136C3">
        <w:rPr>
          <w:rFonts w:cstheme="minorHAnsi"/>
        </w:rPr>
        <w:t>1.4.2</w:t>
      </w:r>
      <w:r w:rsidRPr="00A136C3">
        <w:rPr>
          <w:rFonts w:cstheme="minorHAnsi"/>
        </w:rPr>
        <w:tab/>
        <w:t>the Customer shall not be obliged to pay the Charges without a valid Purchase Order Number having been provided to the Supplier.</w:t>
      </w:r>
    </w:p>
    <w:p w14:paraId="2D838508" w14:textId="77777777" w:rsidR="004B6008" w:rsidRPr="00A136C3" w:rsidRDefault="004B6008" w:rsidP="004B6008">
      <w:pPr>
        <w:spacing w:after="0"/>
        <w:ind w:left="0"/>
        <w:rPr>
          <w:rFonts w:cstheme="minorHAnsi"/>
        </w:rPr>
      </w:pPr>
      <w:r w:rsidRPr="00A136C3">
        <w:rPr>
          <w:rFonts w:cstheme="minorHAnsi"/>
        </w:rPr>
        <w:t>1.5</w:t>
      </w:r>
      <w:r w:rsidRPr="00A136C3">
        <w:rPr>
          <w:rFonts w:cstheme="minorHAnsi"/>
        </w:rPr>
        <w:tab/>
        <w:t>The Customer shall regard an invoice as valid only if it complies with the provisions of this Clause 1. The Customer shall promptly return any non-compliant invoice to the Supplier and the Supplier shall promptly issue a replacement, compliant invoice.</w:t>
      </w:r>
    </w:p>
    <w:p w14:paraId="29935D86" w14:textId="77777777" w:rsidR="004B6008" w:rsidRPr="00A136C3" w:rsidRDefault="004B6008" w:rsidP="004B6008">
      <w:pPr>
        <w:pStyle w:val="ListParagraph"/>
        <w:spacing w:after="0"/>
        <w:ind w:left="360"/>
        <w:rPr>
          <w:rFonts w:cstheme="minorHAnsi"/>
        </w:rPr>
      </w:pPr>
      <w:r w:rsidRPr="00A136C3">
        <w:rPr>
          <w:rFonts w:cstheme="minorHAnsi"/>
        </w:rPr>
        <w:lastRenderedPageBreak/>
        <w:t>1.6</w:t>
      </w:r>
      <w:r w:rsidRPr="00A136C3">
        <w:rPr>
          <w:rFonts w:cstheme="minorHAnsi"/>
        </w:rPr>
        <w:tab/>
      </w:r>
      <w:r>
        <w:rPr>
          <w:rFonts w:cstheme="minorHAnsi"/>
        </w:rPr>
        <w:tab/>
      </w:r>
      <w:r w:rsidRPr="00A136C3">
        <w:rPr>
          <w:rFonts w:cstheme="minorHAnsi"/>
        </w:rPr>
        <w:t>In consideration of the supply of the Services by the Supplier, the Customer shall pay the Supplier the invoiced amounts no later than 30 days after receipt of a valid invoice which includes a valid Purchase Order Number.</w:t>
      </w:r>
    </w:p>
    <w:p w14:paraId="15779A73" w14:textId="77777777" w:rsidR="004B6008" w:rsidRPr="00A136C3" w:rsidRDefault="004B6008" w:rsidP="004B6008">
      <w:pPr>
        <w:pStyle w:val="ListParagraph"/>
        <w:spacing w:after="0"/>
        <w:ind w:left="360"/>
        <w:rPr>
          <w:rFonts w:cstheme="minorHAnsi"/>
        </w:rPr>
      </w:pPr>
      <w:r w:rsidRPr="00A136C3">
        <w:rPr>
          <w:rFonts w:cstheme="minorHAnsi"/>
        </w:rPr>
        <w:t>1.7</w:t>
      </w:r>
      <w:r>
        <w:rPr>
          <w:rFonts w:cstheme="minorHAnsi"/>
        </w:rPr>
        <w:tab/>
      </w:r>
      <w:r w:rsidRPr="00A136C3">
        <w:rPr>
          <w:rFonts w:cstheme="minorHAnsi"/>
        </w:rPr>
        <w:tab/>
        <w:t xml:space="preserve">If a payment of an undisputed amount is not made by the Customer by the due date, then the Customer shall pay the Supplier interest at the interest rate specified in the Late Payment of Commercial Debts (Interest) Act 1998.  </w:t>
      </w:r>
    </w:p>
    <w:p w14:paraId="286CED2B" w14:textId="77777777" w:rsidR="004B6008" w:rsidRPr="00A136C3" w:rsidRDefault="004B6008" w:rsidP="004B6008">
      <w:pPr>
        <w:pStyle w:val="ListParagraph"/>
        <w:spacing w:after="0"/>
        <w:ind w:left="360"/>
        <w:rPr>
          <w:rFonts w:cstheme="minorHAnsi"/>
        </w:rPr>
      </w:pPr>
      <w:r w:rsidRPr="00A136C3">
        <w:rPr>
          <w:rFonts w:cstheme="minorHAnsi"/>
        </w:rPr>
        <w:t>1.8</w:t>
      </w:r>
      <w:r>
        <w:rPr>
          <w:rFonts w:cstheme="minorHAnsi"/>
        </w:rPr>
        <w:tab/>
      </w:r>
      <w:r w:rsidRPr="00A136C3">
        <w:rPr>
          <w:rFonts w:cstheme="minorHAnsi"/>
        </w:rPr>
        <w:tab/>
        <w:t>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w:t>
      </w:r>
    </w:p>
    <w:p w14:paraId="75D357B8" w14:textId="77777777" w:rsidR="004B6008" w:rsidRPr="00DB57F6" w:rsidRDefault="004B6008" w:rsidP="004B6008">
      <w:pPr>
        <w:pStyle w:val="ListParagraph"/>
        <w:spacing w:after="0"/>
        <w:ind w:left="360"/>
        <w:rPr>
          <w:rFonts w:ascii="&amp;quot" w:hAnsi="&amp;quot" w:cs="Times New Roman"/>
          <w:sz w:val="18"/>
          <w:szCs w:val="18"/>
          <w:lang w:eastAsia="en-GB"/>
        </w:rPr>
      </w:pPr>
    </w:p>
    <w:p w14:paraId="47D92A86" w14:textId="77777777" w:rsidR="004B6008" w:rsidRPr="00DB69F5" w:rsidRDefault="004B6008" w:rsidP="0056106E">
      <w:pPr>
        <w:pStyle w:val="ListParagraph"/>
        <w:numPr>
          <w:ilvl w:val="0"/>
          <w:numId w:val="22"/>
        </w:numPr>
        <w:overflowPunct/>
        <w:autoSpaceDE/>
        <w:autoSpaceDN/>
        <w:adjustRightInd/>
        <w:spacing w:after="160" w:line="259" w:lineRule="auto"/>
        <w:ind w:left="426" w:hanging="426"/>
        <w:jc w:val="left"/>
        <w:textAlignment w:val="auto"/>
        <w:rPr>
          <w:rFonts w:cstheme="minorHAnsi"/>
          <w:b/>
        </w:rPr>
      </w:pPr>
      <w:r w:rsidRPr="00EB2B49">
        <w:rPr>
          <w:rFonts w:cstheme="minorHAnsi"/>
          <w:b/>
        </w:rPr>
        <w:t>Warranties</w:t>
      </w:r>
    </w:p>
    <w:p w14:paraId="71413A1B" w14:textId="77777777" w:rsidR="004B6008" w:rsidRPr="00EB2B49" w:rsidRDefault="004B6008" w:rsidP="0056106E">
      <w:pPr>
        <w:pStyle w:val="ListParagraph"/>
        <w:numPr>
          <w:ilvl w:val="1"/>
          <w:numId w:val="22"/>
        </w:numPr>
        <w:overflowPunct/>
        <w:autoSpaceDE/>
        <w:autoSpaceDN/>
        <w:adjustRightInd/>
        <w:spacing w:after="160" w:line="259" w:lineRule="auto"/>
        <w:ind w:left="426" w:hanging="426"/>
        <w:jc w:val="left"/>
        <w:textAlignment w:val="auto"/>
        <w:rPr>
          <w:rFonts w:cstheme="minorHAnsi"/>
          <w:b/>
        </w:rPr>
      </w:pPr>
      <w:r w:rsidRPr="00EB2B49">
        <w:rPr>
          <w:rFonts w:cstheme="minorHAnsi"/>
        </w:rPr>
        <w:t>The Supplier represents and warrants that:</w:t>
      </w:r>
    </w:p>
    <w:p w14:paraId="6E5F1F6F" w14:textId="77777777" w:rsidR="004B6008" w:rsidRPr="00EB2B49" w:rsidRDefault="004B6008" w:rsidP="0056106E">
      <w:pPr>
        <w:pStyle w:val="ListParagraph"/>
        <w:numPr>
          <w:ilvl w:val="2"/>
          <w:numId w:val="22"/>
        </w:numPr>
        <w:overflowPunct/>
        <w:autoSpaceDE/>
        <w:autoSpaceDN/>
        <w:adjustRightInd/>
        <w:spacing w:after="160" w:line="259" w:lineRule="auto"/>
        <w:ind w:left="1134" w:hanging="708"/>
        <w:jc w:val="left"/>
        <w:textAlignment w:val="auto"/>
        <w:rPr>
          <w:rFonts w:cstheme="minorHAnsi"/>
        </w:rPr>
      </w:pPr>
      <w:bookmarkStart w:id="3" w:name="_Ref19804150"/>
      <w:r w:rsidRPr="00EB2B49">
        <w:rPr>
          <w:rFonts w:cstheme="minorHAnsi"/>
        </w:rPr>
        <w:t xml:space="preserve">in the three years prior to the </w:t>
      </w:r>
      <w:r w:rsidRPr="006959A4">
        <w:rPr>
          <w:rFonts w:cstheme="minorHAnsi"/>
        </w:rPr>
        <w:t>Effective Date</w:t>
      </w:r>
      <w:r w:rsidRPr="00EB2B49">
        <w:rPr>
          <w:rFonts w:cstheme="minorHAnsi"/>
        </w:rPr>
        <w:t>, it has been in full compliance with all applicable securities and Laws</w:t>
      </w:r>
      <w:r>
        <w:rPr>
          <w:rFonts w:cstheme="minorHAnsi"/>
        </w:rPr>
        <w:t xml:space="preserve"> related to Tax</w:t>
      </w:r>
      <w:r w:rsidRPr="00EB2B49">
        <w:rPr>
          <w:rFonts w:cstheme="minorHAnsi"/>
        </w:rPr>
        <w:t xml:space="preserve"> in the United Kingdom and in the jurisdiction in which it is established;</w:t>
      </w:r>
      <w:bookmarkEnd w:id="3"/>
    </w:p>
    <w:p w14:paraId="5245C874" w14:textId="77777777" w:rsidR="004B6008" w:rsidRPr="00EB2B49" w:rsidRDefault="004B6008" w:rsidP="0056106E">
      <w:pPr>
        <w:pStyle w:val="ListParagraph"/>
        <w:numPr>
          <w:ilvl w:val="2"/>
          <w:numId w:val="22"/>
        </w:numPr>
        <w:overflowPunct/>
        <w:autoSpaceDE/>
        <w:autoSpaceDN/>
        <w:adjustRightInd/>
        <w:spacing w:after="160" w:line="259" w:lineRule="auto"/>
        <w:ind w:left="1134" w:hanging="708"/>
        <w:jc w:val="left"/>
        <w:textAlignment w:val="auto"/>
        <w:rPr>
          <w:rFonts w:cstheme="minorHAnsi"/>
        </w:rPr>
      </w:pPr>
      <w:bookmarkStart w:id="4" w:name="_Ref19804166"/>
      <w:r w:rsidRPr="00EB2B49">
        <w:rPr>
          <w:rFonts w:cstheme="minorHAnsi"/>
        </w:rPr>
        <w:t>it has notified the Authority in writing of any T</w:t>
      </w:r>
      <w:r>
        <w:rPr>
          <w:rFonts w:cstheme="minorHAnsi"/>
        </w:rPr>
        <w:t>ax Non-</w:t>
      </w:r>
      <w:r w:rsidRPr="00EB2B49">
        <w:rPr>
          <w:rFonts w:cstheme="minorHAnsi"/>
        </w:rPr>
        <w:t>Compliance it is involved in; and</w:t>
      </w:r>
      <w:bookmarkEnd w:id="4"/>
    </w:p>
    <w:p w14:paraId="5A27EFF8" w14:textId="77777777" w:rsidR="004B6008" w:rsidRPr="00EB2B49" w:rsidRDefault="004B6008" w:rsidP="0056106E">
      <w:pPr>
        <w:pStyle w:val="ListParagraph"/>
        <w:numPr>
          <w:ilvl w:val="2"/>
          <w:numId w:val="22"/>
        </w:numPr>
        <w:overflowPunct/>
        <w:autoSpaceDE/>
        <w:autoSpaceDN/>
        <w:adjustRightInd/>
        <w:spacing w:after="160" w:line="259" w:lineRule="auto"/>
        <w:ind w:left="1134" w:hanging="708"/>
        <w:jc w:val="left"/>
        <w:textAlignment w:val="auto"/>
        <w:rPr>
          <w:rFonts w:cstheme="minorHAnsi"/>
        </w:rPr>
      </w:pPr>
      <w:bookmarkStart w:id="5" w:name="_Ref19804201"/>
      <w:r w:rsidRPr="00EB2B49">
        <w:rPr>
          <w:rFonts w:cstheme="minorHAnsi"/>
        </w:rPr>
        <w:t xml:space="preserve">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w:t>
      </w:r>
      <w:r w:rsidRPr="00A136C3">
        <w:rPr>
          <w:rFonts w:cstheme="minorHAnsi"/>
        </w:rPr>
        <w:t>Effective Date</w:t>
      </w:r>
      <w:r w:rsidRPr="00EB2B49">
        <w:rPr>
          <w:rFonts w:cstheme="minorHAnsi"/>
        </w:rPr>
        <w:t>.</w:t>
      </w:r>
      <w:bookmarkEnd w:id="5"/>
    </w:p>
    <w:p w14:paraId="492DD12A" w14:textId="77777777" w:rsidR="004B6008" w:rsidRPr="00EB2B49" w:rsidRDefault="004B6008" w:rsidP="0056106E">
      <w:pPr>
        <w:pStyle w:val="ListParagraph"/>
        <w:numPr>
          <w:ilvl w:val="1"/>
          <w:numId w:val="22"/>
        </w:numPr>
        <w:overflowPunct/>
        <w:autoSpaceDE/>
        <w:autoSpaceDN/>
        <w:adjustRightInd/>
        <w:spacing w:after="160" w:line="259" w:lineRule="auto"/>
        <w:ind w:left="426" w:hanging="426"/>
        <w:jc w:val="left"/>
        <w:textAlignment w:val="auto"/>
        <w:rPr>
          <w:rFonts w:cstheme="minorHAnsi"/>
        </w:rPr>
      </w:pPr>
      <w:r w:rsidRPr="00EB2B49">
        <w:rPr>
          <w:rFonts w:cstheme="minorHAnsi"/>
        </w:rPr>
        <w:t xml:space="preserve">If at any time the Supplier becomes aware that a representation or warranty given by it under Clause </w:t>
      </w:r>
      <w:r>
        <w:rPr>
          <w:rFonts w:cstheme="minorHAnsi"/>
          <w:highlight w:val="yellow"/>
        </w:rPr>
        <w:fldChar w:fldCharType="begin"/>
      </w:r>
      <w:r>
        <w:rPr>
          <w:rFonts w:cstheme="minorHAnsi"/>
        </w:rPr>
        <w:instrText xml:space="preserve"> REF _Ref19804150 \r \h </w:instrText>
      </w:r>
      <w:r>
        <w:rPr>
          <w:rFonts w:cstheme="minorHAnsi"/>
          <w:highlight w:val="yellow"/>
        </w:rPr>
      </w:r>
      <w:r>
        <w:rPr>
          <w:rFonts w:cstheme="minorHAnsi"/>
          <w:highlight w:val="yellow"/>
        </w:rPr>
        <w:fldChar w:fldCharType="separate"/>
      </w:r>
      <w:r>
        <w:rPr>
          <w:rFonts w:cstheme="minorHAnsi"/>
        </w:rPr>
        <w:t>3.1.1</w:t>
      </w:r>
      <w:r>
        <w:rPr>
          <w:rFonts w:cstheme="minorHAnsi"/>
          <w:highlight w:val="yellow"/>
        </w:rPr>
        <w:fldChar w:fldCharType="end"/>
      </w:r>
      <w:r w:rsidRPr="00DB69F5">
        <w:rPr>
          <w:rFonts w:cstheme="minorHAnsi"/>
        </w:rPr>
        <w:t xml:space="preserve">, </w:t>
      </w:r>
      <w:r w:rsidRPr="00DB69F5">
        <w:rPr>
          <w:rFonts w:cstheme="minorHAnsi"/>
        </w:rPr>
        <w:fldChar w:fldCharType="begin"/>
      </w:r>
      <w:r w:rsidRPr="00DB69F5">
        <w:rPr>
          <w:rFonts w:cstheme="minorHAnsi"/>
        </w:rPr>
        <w:instrText xml:space="preserve"> REF _Ref19804166 \r \h </w:instrText>
      </w:r>
      <w:r>
        <w:rPr>
          <w:rFonts w:cstheme="minorHAnsi"/>
        </w:rPr>
        <w:instrText xml:space="preserve"> \* MERGEFORMAT </w:instrText>
      </w:r>
      <w:r w:rsidRPr="00DB69F5">
        <w:rPr>
          <w:rFonts w:cstheme="minorHAnsi"/>
        </w:rPr>
      </w:r>
      <w:r w:rsidRPr="00DB69F5">
        <w:rPr>
          <w:rFonts w:cstheme="minorHAnsi"/>
        </w:rPr>
        <w:fldChar w:fldCharType="separate"/>
      </w:r>
      <w:r>
        <w:rPr>
          <w:rFonts w:cstheme="minorHAnsi"/>
        </w:rPr>
        <w:t>3.1.2</w:t>
      </w:r>
      <w:r w:rsidRPr="00DB69F5">
        <w:rPr>
          <w:rFonts w:cstheme="minorHAnsi"/>
        </w:rPr>
        <w:fldChar w:fldCharType="end"/>
      </w:r>
      <w:r w:rsidRPr="00DB69F5">
        <w:rPr>
          <w:rFonts w:cstheme="minorHAnsi"/>
        </w:rPr>
        <w:t xml:space="preserve"> and/or </w:t>
      </w:r>
      <w:r w:rsidRPr="00DB69F5">
        <w:rPr>
          <w:rFonts w:cstheme="minorHAnsi"/>
        </w:rPr>
        <w:fldChar w:fldCharType="begin"/>
      </w:r>
      <w:r w:rsidRPr="00DB69F5">
        <w:rPr>
          <w:rFonts w:cstheme="minorHAnsi"/>
        </w:rPr>
        <w:instrText xml:space="preserve"> REF _Ref19804201 \r \h </w:instrText>
      </w:r>
      <w:r>
        <w:rPr>
          <w:rFonts w:cstheme="minorHAnsi"/>
        </w:rPr>
        <w:instrText xml:space="preserve"> \* MERGEFORMAT </w:instrText>
      </w:r>
      <w:r w:rsidRPr="00DB69F5">
        <w:rPr>
          <w:rFonts w:cstheme="minorHAnsi"/>
        </w:rPr>
      </w:r>
      <w:r w:rsidRPr="00DB69F5">
        <w:rPr>
          <w:rFonts w:cstheme="minorHAnsi"/>
        </w:rPr>
        <w:fldChar w:fldCharType="separate"/>
      </w:r>
      <w:r>
        <w:rPr>
          <w:rFonts w:cstheme="minorHAnsi"/>
        </w:rPr>
        <w:t>3.1.3</w:t>
      </w:r>
      <w:r w:rsidRPr="00DB69F5">
        <w:rPr>
          <w:rFonts w:cstheme="minorHAnsi"/>
        </w:rPr>
        <w:fldChar w:fldCharType="end"/>
      </w:r>
      <w:r w:rsidRPr="00DB69F5">
        <w:rPr>
          <w:rFonts w:cstheme="minorHAnsi"/>
        </w:rPr>
        <w:t xml:space="preserve"> has</w:t>
      </w:r>
      <w:r w:rsidRPr="00EB2B49">
        <w:rPr>
          <w:rFonts w:cstheme="minorHAnsi"/>
        </w:rPr>
        <w:t xml:space="preserve"> been breached, is untrue, or is misleading, it shall immediately notify the Authority of the relevant occurrence in sufficient detail to enable the Authority to make an accurate assessment of the situation. </w:t>
      </w:r>
    </w:p>
    <w:p w14:paraId="7DBE0A73" w14:textId="77777777" w:rsidR="004B6008" w:rsidRDefault="004B6008" w:rsidP="0056106E">
      <w:pPr>
        <w:pStyle w:val="ListParagraph"/>
        <w:numPr>
          <w:ilvl w:val="1"/>
          <w:numId w:val="22"/>
        </w:numPr>
        <w:overflowPunct/>
        <w:autoSpaceDE/>
        <w:autoSpaceDN/>
        <w:adjustRightInd/>
        <w:spacing w:after="160" w:line="259" w:lineRule="auto"/>
        <w:ind w:left="426" w:hanging="426"/>
        <w:jc w:val="left"/>
        <w:textAlignment w:val="auto"/>
        <w:rPr>
          <w:rFonts w:cstheme="minorHAnsi"/>
        </w:rPr>
      </w:pPr>
      <w:r w:rsidRPr="00EB2B49">
        <w:rPr>
          <w:rFonts w:cstheme="minorHAnsi"/>
        </w:rPr>
        <w:t xml:space="preserve">In the event that the warranty given by the Supplier pursuant to Clause </w:t>
      </w:r>
      <w:r>
        <w:rPr>
          <w:rFonts w:cstheme="minorHAnsi"/>
        </w:rPr>
        <w:fldChar w:fldCharType="begin"/>
      </w:r>
      <w:r>
        <w:rPr>
          <w:rFonts w:cstheme="minorHAnsi"/>
        </w:rPr>
        <w:instrText xml:space="preserve"> REF _Ref19804166 \r \h </w:instrText>
      </w:r>
      <w:r>
        <w:rPr>
          <w:rFonts w:cstheme="minorHAnsi"/>
        </w:rPr>
      </w:r>
      <w:r>
        <w:rPr>
          <w:rFonts w:cstheme="minorHAnsi"/>
        </w:rPr>
        <w:fldChar w:fldCharType="separate"/>
      </w:r>
      <w:r>
        <w:rPr>
          <w:rFonts w:cstheme="minorHAnsi"/>
        </w:rPr>
        <w:t>3.1.2</w:t>
      </w:r>
      <w:r>
        <w:rPr>
          <w:rFonts w:cstheme="minorHAnsi"/>
        </w:rPr>
        <w:fldChar w:fldCharType="end"/>
      </w:r>
      <w:r>
        <w:rPr>
          <w:rFonts w:cstheme="minorHAnsi"/>
        </w:rPr>
        <w:t xml:space="preserve"> </w:t>
      </w:r>
      <w:r w:rsidRPr="00EB2B49">
        <w:rPr>
          <w:rFonts w:cstheme="minorHAnsi"/>
        </w:rPr>
        <w:t>is materially untrue, the Authority shall be entitled to terminate th</w:t>
      </w:r>
      <w:r>
        <w:rPr>
          <w:rFonts w:cstheme="minorHAnsi"/>
        </w:rPr>
        <w:t>e</w:t>
      </w:r>
      <w:r w:rsidRPr="00EB2B49">
        <w:rPr>
          <w:rFonts w:cstheme="minorHAnsi"/>
        </w:rPr>
        <w:t xml:space="preserve"> Agreement pursuant to the Call-Off </w:t>
      </w:r>
      <w:r>
        <w:rPr>
          <w:rFonts w:cstheme="minorHAnsi"/>
        </w:rPr>
        <w:t>c</w:t>
      </w:r>
      <w:r w:rsidRPr="00EB2B49">
        <w:rPr>
          <w:rFonts w:cstheme="minorHAnsi"/>
        </w:rPr>
        <w:t>lause which provides the Authority the right to terminate the Agreement for Supplier fault (termination for Suppli</w:t>
      </w:r>
      <w:r>
        <w:rPr>
          <w:rFonts w:cstheme="minorHAnsi"/>
        </w:rPr>
        <w:t xml:space="preserve">er cause </w:t>
      </w:r>
      <w:r w:rsidRPr="00545FAC">
        <w:rPr>
          <w:rFonts w:cstheme="minorHAnsi"/>
        </w:rPr>
        <w:t>or equivalent clause</w:t>
      </w:r>
      <w:r>
        <w:rPr>
          <w:rFonts w:cstheme="minorHAnsi"/>
        </w:rPr>
        <w:t>)</w:t>
      </w:r>
      <w:r w:rsidRPr="00EB2B49">
        <w:rPr>
          <w:rFonts w:cstheme="minorHAnsi"/>
        </w:rPr>
        <w:t>.</w:t>
      </w:r>
    </w:p>
    <w:p w14:paraId="7EA3E7F1" w14:textId="77777777" w:rsidR="004B6008" w:rsidRPr="00EB2B49" w:rsidRDefault="004B6008" w:rsidP="004B6008">
      <w:pPr>
        <w:pStyle w:val="ListParagraph"/>
        <w:ind w:left="426"/>
        <w:rPr>
          <w:rFonts w:cstheme="minorHAnsi"/>
        </w:rPr>
      </w:pPr>
    </w:p>
    <w:p w14:paraId="710606A7" w14:textId="77777777" w:rsidR="004B6008" w:rsidRPr="009E35D5" w:rsidRDefault="004B6008" w:rsidP="0056106E">
      <w:pPr>
        <w:pStyle w:val="ListParagraph"/>
        <w:numPr>
          <w:ilvl w:val="0"/>
          <w:numId w:val="22"/>
        </w:numPr>
        <w:overflowPunct/>
        <w:autoSpaceDE/>
        <w:autoSpaceDN/>
        <w:adjustRightInd/>
        <w:spacing w:after="160" w:line="259" w:lineRule="auto"/>
        <w:ind w:left="426" w:hanging="426"/>
        <w:jc w:val="left"/>
        <w:textAlignment w:val="auto"/>
        <w:rPr>
          <w:rFonts w:cstheme="minorHAnsi"/>
          <w:b/>
        </w:rPr>
      </w:pPr>
      <w:r w:rsidRPr="00EB2B49">
        <w:rPr>
          <w:rFonts w:cstheme="minorHAnsi"/>
          <w:b/>
        </w:rPr>
        <w:t>Promoting Tax Compliance</w:t>
      </w:r>
    </w:p>
    <w:p w14:paraId="0F3A297C" w14:textId="77777777" w:rsidR="004B6008" w:rsidRPr="00545FAC" w:rsidRDefault="004B6008" w:rsidP="0056106E">
      <w:pPr>
        <w:pStyle w:val="ListParagraph"/>
        <w:numPr>
          <w:ilvl w:val="1"/>
          <w:numId w:val="22"/>
        </w:numPr>
        <w:overflowPunct/>
        <w:autoSpaceDE/>
        <w:autoSpaceDN/>
        <w:adjustRightInd/>
        <w:spacing w:after="160" w:line="259" w:lineRule="auto"/>
        <w:ind w:left="426" w:hanging="426"/>
        <w:jc w:val="left"/>
        <w:textAlignment w:val="auto"/>
        <w:rPr>
          <w:rFonts w:cstheme="minorHAnsi"/>
        </w:rPr>
      </w:pPr>
      <w:r w:rsidRPr="00545FAC">
        <w:rPr>
          <w:rFonts w:cstheme="minorHAnsi"/>
        </w:rPr>
        <w:t xml:space="preserve">All amounts stated </w:t>
      </w:r>
      <w:r w:rsidRPr="00545FAC">
        <w:rPr>
          <w:rFonts w:cstheme="minorHAnsi"/>
          <w:szCs w:val="20"/>
        </w:rPr>
        <w:t>are stated exclusive of VAT, which shall be added at the prevailing rate as applicable and paid by the Authority following delivery of a valid VAT invoice.</w:t>
      </w:r>
    </w:p>
    <w:p w14:paraId="4556346B" w14:textId="77777777" w:rsidR="004B6008" w:rsidRPr="00545FAC" w:rsidRDefault="004B6008" w:rsidP="0056106E">
      <w:pPr>
        <w:pStyle w:val="ListParagraph"/>
        <w:numPr>
          <w:ilvl w:val="1"/>
          <w:numId w:val="22"/>
        </w:numPr>
        <w:overflowPunct/>
        <w:autoSpaceDE/>
        <w:autoSpaceDN/>
        <w:adjustRightInd/>
        <w:spacing w:after="160" w:line="259" w:lineRule="auto"/>
        <w:ind w:left="426" w:hanging="426"/>
        <w:jc w:val="left"/>
        <w:textAlignment w:val="auto"/>
        <w:rPr>
          <w:rFonts w:cstheme="minorHAnsi"/>
        </w:rPr>
      </w:pPr>
      <w:bookmarkStart w:id="6" w:name="_Ref20319270"/>
      <w:r w:rsidRPr="00545FAC">
        <w:rPr>
          <w:rFonts w:cstheme="minorHAnsi"/>
        </w:rPr>
        <w:t xml:space="preserve">To the extent applicable to the Supplier, the Supplier shall </w:t>
      </w:r>
      <w:proofErr w:type="gramStart"/>
      <w:r w:rsidRPr="00545FAC">
        <w:rPr>
          <w:rFonts w:cstheme="minorHAnsi"/>
        </w:rPr>
        <w:t>at all times</w:t>
      </w:r>
      <w:proofErr w:type="gramEnd"/>
      <w:r w:rsidRPr="00545FAC">
        <w:rPr>
          <w:rFonts w:cstheme="minorHAnsi"/>
        </w:rPr>
        <w:t xml:space="preserve"> comply with all Laws relating to Tax and with the equivalent legal provisions of the country in which the Supplier is established.</w:t>
      </w:r>
      <w:bookmarkEnd w:id="6"/>
      <w:r w:rsidRPr="00545FAC">
        <w:rPr>
          <w:rFonts w:cstheme="minorHAnsi"/>
        </w:rPr>
        <w:t xml:space="preserve"> </w:t>
      </w:r>
    </w:p>
    <w:p w14:paraId="1725B375" w14:textId="77777777" w:rsidR="004B6008" w:rsidRPr="00545FAC" w:rsidRDefault="004B6008" w:rsidP="0056106E">
      <w:pPr>
        <w:pStyle w:val="ListParagraph"/>
        <w:numPr>
          <w:ilvl w:val="1"/>
          <w:numId w:val="22"/>
        </w:numPr>
        <w:overflowPunct/>
        <w:autoSpaceDE/>
        <w:autoSpaceDN/>
        <w:adjustRightInd/>
        <w:spacing w:after="160" w:line="259" w:lineRule="auto"/>
        <w:ind w:left="426" w:hanging="426"/>
        <w:jc w:val="left"/>
        <w:textAlignment w:val="auto"/>
        <w:rPr>
          <w:rFonts w:cstheme="minorHAnsi"/>
        </w:rPr>
      </w:pPr>
      <w:bookmarkStart w:id="7" w:name="_Ref20993847"/>
      <w:bookmarkStart w:id="8" w:name="_Ref20319306"/>
      <w:r w:rsidRPr="00545FAC">
        <w:rPr>
          <w:rFonts w:cstheme="minorHAnsi"/>
        </w:rPr>
        <w:t xml:space="preserve">The Supplier shall provide to the Authority the name and, as applicable, the Value Added Tax registration number, PAYE collection number and either the Corporation Tax or self-assessment reference of any agent, supplier or Subcontractor of the Supplier prior to the provision of </w:t>
      </w:r>
      <w:r>
        <w:rPr>
          <w:rFonts w:cstheme="minorHAnsi"/>
        </w:rPr>
        <w:t>any material Services under the</w:t>
      </w:r>
      <w:r w:rsidRPr="00545FAC">
        <w:rPr>
          <w:rFonts w:cstheme="minorHAnsi"/>
        </w:rPr>
        <w:t xml:space="preserve"> Agreement by that agent, supplier or Subcontractor.  Upon a request by the Authority, the Supplier shall not contract</w:t>
      </w:r>
      <w:r>
        <w:rPr>
          <w:rFonts w:cstheme="minorHAnsi"/>
        </w:rPr>
        <w:t>,</w:t>
      </w:r>
      <w:r w:rsidRPr="00545FAC">
        <w:rPr>
          <w:rFonts w:cstheme="minorHAnsi"/>
        </w:rPr>
        <w:t xml:space="preserve"> or will cease to contract</w:t>
      </w:r>
      <w:r>
        <w:rPr>
          <w:rFonts w:cstheme="minorHAnsi"/>
        </w:rPr>
        <w:t>,</w:t>
      </w:r>
      <w:r w:rsidRPr="00545FAC">
        <w:rPr>
          <w:rFonts w:cstheme="minorHAnsi"/>
        </w:rPr>
        <w:t xml:space="preserve"> with any agent, supplier or Subcontract</w:t>
      </w:r>
      <w:r>
        <w:rPr>
          <w:rFonts w:cstheme="minorHAnsi"/>
        </w:rPr>
        <w:t>or supplying Services under the</w:t>
      </w:r>
      <w:r w:rsidRPr="00545FAC">
        <w:rPr>
          <w:rFonts w:cstheme="minorHAnsi"/>
        </w:rPr>
        <w:t xml:space="preserve"> Agreement</w:t>
      </w:r>
      <w:r>
        <w:rPr>
          <w:rFonts w:cstheme="minorHAnsi"/>
        </w:rPr>
        <w:t>.</w:t>
      </w:r>
      <w:bookmarkEnd w:id="7"/>
      <w:r>
        <w:rPr>
          <w:rFonts w:cstheme="minorHAnsi"/>
        </w:rPr>
        <w:t xml:space="preserve"> </w:t>
      </w:r>
      <w:r w:rsidRPr="00545FAC">
        <w:rPr>
          <w:rFonts w:cstheme="minorHAnsi"/>
        </w:rPr>
        <w:t xml:space="preserve"> </w:t>
      </w:r>
      <w:bookmarkEnd w:id="8"/>
    </w:p>
    <w:p w14:paraId="1C624707" w14:textId="77777777" w:rsidR="004B6008" w:rsidRPr="00545FAC" w:rsidRDefault="004B6008" w:rsidP="0056106E">
      <w:pPr>
        <w:pStyle w:val="ListParagraph"/>
        <w:numPr>
          <w:ilvl w:val="1"/>
          <w:numId w:val="22"/>
        </w:numPr>
        <w:overflowPunct/>
        <w:autoSpaceDE/>
        <w:autoSpaceDN/>
        <w:adjustRightInd/>
        <w:spacing w:after="160" w:line="259" w:lineRule="auto"/>
        <w:ind w:left="426" w:hanging="426"/>
        <w:jc w:val="left"/>
        <w:textAlignment w:val="auto"/>
        <w:rPr>
          <w:rFonts w:cstheme="minorHAnsi"/>
        </w:rPr>
      </w:pPr>
      <w:bookmarkStart w:id="9" w:name="_Ref20993857"/>
      <w:r>
        <w:rPr>
          <w:rFonts w:cstheme="minorHAnsi"/>
        </w:rPr>
        <w:lastRenderedPageBreak/>
        <w:t>If, at any point during t</w:t>
      </w:r>
      <w:r w:rsidRPr="00545FAC">
        <w:rPr>
          <w:rFonts w:cstheme="minorHAnsi"/>
        </w:rPr>
        <w:t>he</w:t>
      </w:r>
      <w:r>
        <w:rPr>
          <w:rFonts w:cstheme="minorHAnsi"/>
        </w:rPr>
        <w:t xml:space="preserve"> Contract</w:t>
      </w:r>
      <w:r w:rsidRPr="00545FAC">
        <w:rPr>
          <w:rFonts w:cstheme="minorHAnsi"/>
        </w:rPr>
        <w:t xml:space="preserve"> </w:t>
      </w:r>
      <w:r w:rsidRPr="00A136C3">
        <w:rPr>
          <w:rFonts w:cstheme="minorHAnsi"/>
        </w:rPr>
        <w:t>Term</w:t>
      </w:r>
      <w:r w:rsidRPr="00545FAC">
        <w:rPr>
          <w:rFonts w:cstheme="minorHAnsi"/>
        </w:rPr>
        <w:t>, the</w:t>
      </w:r>
      <w:r>
        <w:rPr>
          <w:rFonts w:cstheme="minorHAnsi"/>
        </w:rPr>
        <w:t>re is Tax Non-</w:t>
      </w:r>
      <w:r w:rsidRPr="00545FAC">
        <w:rPr>
          <w:rFonts w:cstheme="minorHAnsi"/>
        </w:rPr>
        <w:t>Compliance, the Supplier shall:</w:t>
      </w:r>
      <w:bookmarkEnd w:id="9"/>
    </w:p>
    <w:p w14:paraId="014BA1E0" w14:textId="77777777" w:rsidR="004B6008" w:rsidRDefault="004B6008" w:rsidP="0056106E">
      <w:pPr>
        <w:pStyle w:val="ListParagraph"/>
        <w:numPr>
          <w:ilvl w:val="2"/>
          <w:numId w:val="22"/>
        </w:numPr>
        <w:overflowPunct/>
        <w:autoSpaceDE/>
        <w:autoSpaceDN/>
        <w:adjustRightInd/>
        <w:spacing w:after="160" w:line="259" w:lineRule="auto"/>
        <w:ind w:left="1134" w:hanging="708"/>
        <w:jc w:val="left"/>
        <w:textAlignment w:val="auto"/>
        <w:rPr>
          <w:rFonts w:cstheme="minorHAnsi"/>
        </w:rPr>
      </w:pPr>
      <w:bookmarkStart w:id="10" w:name="_Ref20319279"/>
      <w:r w:rsidRPr="00545FAC">
        <w:rPr>
          <w:rFonts w:cstheme="minorHAnsi"/>
        </w:rPr>
        <w:t>notify the Authority in writing of such fact within five (5) Working Days of its occurrence; and</w:t>
      </w:r>
      <w:bookmarkEnd w:id="10"/>
    </w:p>
    <w:p w14:paraId="4D8DC90B" w14:textId="77777777" w:rsidR="004B6008" w:rsidRDefault="004B6008" w:rsidP="0056106E">
      <w:pPr>
        <w:pStyle w:val="ListParagraph"/>
        <w:numPr>
          <w:ilvl w:val="2"/>
          <w:numId w:val="22"/>
        </w:numPr>
        <w:overflowPunct/>
        <w:autoSpaceDE/>
        <w:autoSpaceDN/>
        <w:adjustRightInd/>
        <w:spacing w:after="160" w:line="259" w:lineRule="auto"/>
        <w:ind w:left="1134" w:hanging="708"/>
        <w:jc w:val="left"/>
        <w:textAlignment w:val="auto"/>
        <w:rPr>
          <w:rFonts w:cstheme="minorHAnsi"/>
        </w:rPr>
      </w:pPr>
      <w:bookmarkStart w:id="11" w:name="_Ref20319317"/>
      <w:r w:rsidRPr="00545FAC">
        <w:rPr>
          <w:rFonts w:cstheme="minorHAnsi"/>
        </w:rPr>
        <w:t>promptly provide to the Authority:</w:t>
      </w:r>
      <w:bookmarkEnd w:id="11"/>
    </w:p>
    <w:p w14:paraId="53668D74" w14:textId="77777777" w:rsidR="004B6008" w:rsidRDefault="004B6008" w:rsidP="0056106E">
      <w:pPr>
        <w:pStyle w:val="ListParagraph"/>
        <w:numPr>
          <w:ilvl w:val="0"/>
          <w:numId w:val="26"/>
        </w:numPr>
        <w:overflowPunct/>
        <w:autoSpaceDE/>
        <w:autoSpaceDN/>
        <w:adjustRightInd/>
        <w:spacing w:after="160" w:line="259" w:lineRule="auto"/>
        <w:jc w:val="left"/>
        <w:textAlignment w:val="auto"/>
        <w:rPr>
          <w:rFonts w:cstheme="minorHAnsi"/>
        </w:rPr>
      </w:pPr>
      <w:r w:rsidRPr="00545FAC">
        <w:rPr>
          <w:rFonts w:cstheme="minorHAnsi"/>
        </w:rPr>
        <w:t>details of the steps which the Supplier i</w:t>
      </w:r>
      <w:r>
        <w:rPr>
          <w:rFonts w:cstheme="minorHAnsi"/>
        </w:rPr>
        <w:t>s taking to resolve the Tax Non-</w:t>
      </w:r>
      <w:r w:rsidRPr="00545FAC">
        <w:rPr>
          <w:rFonts w:cstheme="minorHAnsi"/>
        </w:rPr>
        <w:t xml:space="preserve">Compliance and to prevent the same from recurring, together with any mitigating factors that it considers relevant; and </w:t>
      </w:r>
    </w:p>
    <w:p w14:paraId="204D7402" w14:textId="77777777" w:rsidR="004B6008" w:rsidRPr="00545FAC" w:rsidRDefault="004B6008" w:rsidP="0056106E">
      <w:pPr>
        <w:pStyle w:val="ListParagraph"/>
        <w:numPr>
          <w:ilvl w:val="0"/>
          <w:numId w:val="26"/>
        </w:numPr>
        <w:overflowPunct/>
        <w:autoSpaceDE/>
        <w:autoSpaceDN/>
        <w:adjustRightInd/>
        <w:spacing w:after="160" w:line="259" w:lineRule="auto"/>
        <w:jc w:val="left"/>
        <w:textAlignment w:val="auto"/>
        <w:rPr>
          <w:rFonts w:cstheme="minorHAnsi"/>
        </w:rPr>
      </w:pPr>
      <w:r w:rsidRPr="00545FAC">
        <w:rPr>
          <w:rFonts w:cstheme="minorHAnsi"/>
        </w:rPr>
        <w:t>such other informa</w:t>
      </w:r>
      <w:r>
        <w:rPr>
          <w:rFonts w:cstheme="minorHAnsi"/>
        </w:rPr>
        <w:t>tion in relation to the Tax Non-</w:t>
      </w:r>
      <w:r w:rsidRPr="00545FAC">
        <w:rPr>
          <w:rFonts w:cstheme="minorHAnsi"/>
        </w:rPr>
        <w:t>Compliance as the Authority may reasonably require.</w:t>
      </w:r>
    </w:p>
    <w:p w14:paraId="56683489" w14:textId="77777777" w:rsidR="004B6008" w:rsidRPr="007F0D89" w:rsidRDefault="004B6008" w:rsidP="0056106E">
      <w:pPr>
        <w:pStyle w:val="ListParagraph"/>
        <w:numPr>
          <w:ilvl w:val="1"/>
          <w:numId w:val="22"/>
        </w:numPr>
        <w:overflowPunct/>
        <w:autoSpaceDE/>
        <w:autoSpaceDN/>
        <w:adjustRightInd/>
        <w:spacing w:after="160" w:line="259" w:lineRule="auto"/>
        <w:ind w:left="426" w:hanging="426"/>
        <w:jc w:val="left"/>
        <w:textAlignment w:val="auto"/>
        <w:rPr>
          <w:rFonts w:cstheme="minorHAnsi"/>
        </w:rPr>
      </w:pPr>
      <w:bookmarkStart w:id="12" w:name="_Ref20319101"/>
      <w:r w:rsidRPr="007F0D89">
        <w:rPr>
          <w:rFonts w:cstheme="minorHAnsi"/>
        </w:rP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w:t>
      </w:r>
      <w:r w:rsidRPr="007F0D89">
        <w:rPr>
          <w:rFonts w:cstheme="minorHAnsi"/>
        </w:rPr>
        <w:fldChar w:fldCharType="begin"/>
      </w:r>
      <w:r w:rsidRPr="007F0D89">
        <w:rPr>
          <w:rFonts w:cstheme="minorHAnsi"/>
        </w:rPr>
        <w:instrText xml:space="preserve"> REF _Ref20319101 \r \h </w:instrText>
      </w:r>
      <w:r w:rsidRPr="007F0D89">
        <w:rPr>
          <w:rFonts w:cstheme="minorHAnsi"/>
        </w:rPr>
      </w:r>
      <w:r w:rsidRPr="007F0D89">
        <w:rPr>
          <w:rFonts w:cstheme="minorHAnsi"/>
        </w:rPr>
        <w:fldChar w:fldCharType="separate"/>
      </w:r>
      <w:r>
        <w:rPr>
          <w:rFonts w:cstheme="minorHAnsi"/>
        </w:rPr>
        <w:t>4.5</w:t>
      </w:r>
      <w:r w:rsidRPr="007F0D89">
        <w:rPr>
          <w:rFonts w:cstheme="minorHAnsi"/>
        </w:rPr>
        <w:fldChar w:fldCharType="end"/>
      </w:r>
      <w:r w:rsidRPr="007F0D89">
        <w:rPr>
          <w:rFonts w:cstheme="minorHAnsi"/>
        </w:rPr>
        <w:t xml:space="preserve"> shall be paid in cleared funds by the Supplier to the Authority not less than five (5) Working Days before the date upon which the Tax or other liability is payable by the Authority.</w:t>
      </w:r>
      <w:bookmarkEnd w:id="12"/>
      <w:r w:rsidRPr="007F0D89">
        <w:rPr>
          <w:rFonts w:cstheme="minorHAnsi"/>
        </w:rPr>
        <w:t xml:space="preserve">  </w:t>
      </w:r>
    </w:p>
    <w:p w14:paraId="76B4545E" w14:textId="77777777" w:rsidR="004B6008" w:rsidRPr="00545FAC" w:rsidRDefault="004B6008" w:rsidP="0056106E">
      <w:pPr>
        <w:pStyle w:val="ListParagraph"/>
        <w:numPr>
          <w:ilvl w:val="1"/>
          <w:numId w:val="22"/>
        </w:numPr>
        <w:overflowPunct/>
        <w:autoSpaceDE/>
        <w:autoSpaceDN/>
        <w:adjustRightInd/>
        <w:spacing w:after="160" w:line="259" w:lineRule="auto"/>
        <w:ind w:left="426" w:hanging="426"/>
        <w:jc w:val="left"/>
        <w:textAlignment w:val="auto"/>
        <w:rPr>
          <w:rFonts w:cstheme="minorHAnsi"/>
        </w:rPr>
      </w:pPr>
      <w:bookmarkStart w:id="13" w:name="_Ref20319292"/>
      <w:r w:rsidRPr="00545FAC">
        <w:rPr>
          <w:rFonts w:cstheme="minorHAnsi"/>
        </w:rPr>
        <w:t>Upon the Authority’s request, the Supplier shall provide (promptly or within such other period notified by the Authority) information which demonstrates how the Supplier complies with its Tax obligations.</w:t>
      </w:r>
      <w:bookmarkEnd w:id="13"/>
      <w:r w:rsidRPr="00545FAC">
        <w:rPr>
          <w:rFonts w:cstheme="minorHAnsi"/>
        </w:rPr>
        <w:t xml:space="preserve"> </w:t>
      </w:r>
    </w:p>
    <w:p w14:paraId="7F1589DD" w14:textId="77777777" w:rsidR="004B6008" w:rsidRPr="00545FAC" w:rsidRDefault="004B6008" w:rsidP="0056106E">
      <w:pPr>
        <w:pStyle w:val="ListParagraph"/>
        <w:numPr>
          <w:ilvl w:val="1"/>
          <w:numId w:val="22"/>
        </w:numPr>
        <w:overflowPunct/>
        <w:autoSpaceDE/>
        <w:autoSpaceDN/>
        <w:adjustRightInd/>
        <w:spacing w:after="160" w:line="259" w:lineRule="auto"/>
        <w:ind w:left="426" w:hanging="426"/>
        <w:jc w:val="left"/>
        <w:textAlignment w:val="auto"/>
        <w:rPr>
          <w:rFonts w:cstheme="minorHAnsi"/>
        </w:rPr>
      </w:pPr>
      <w:r w:rsidRPr="00545FAC">
        <w:rPr>
          <w:rStyle w:val="normaltextrun1"/>
          <w:rFonts w:cstheme="minorHAnsi"/>
        </w:rPr>
        <w:t xml:space="preserve">If the Supplier: </w:t>
      </w:r>
    </w:p>
    <w:p w14:paraId="7856DCE4" w14:textId="77777777" w:rsidR="004B6008" w:rsidRDefault="004B6008" w:rsidP="0056106E">
      <w:pPr>
        <w:pStyle w:val="paragraph"/>
        <w:numPr>
          <w:ilvl w:val="2"/>
          <w:numId w:val="22"/>
        </w:numPr>
        <w:ind w:left="1276" w:hanging="709"/>
        <w:textAlignment w:val="baseline"/>
        <w:rPr>
          <w:rStyle w:val="normaltextrun1"/>
          <w:rFonts w:asciiTheme="minorHAnsi" w:hAnsiTheme="minorHAnsi" w:cstheme="minorHAnsi"/>
        </w:rPr>
      </w:pPr>
      <w:r w:rsidRPr="00545FAC">
        <w:rPr>
          <w:rStyle w:val="normaltextrun1"/>
          <w:rFonts w:asciiTheme="minorHAnsi" w:hAnsiTheme="minorHAnsi" w:cstheme="minorHAnsi"/>
        </w:rPr>
        <w:t xml:space="preserve">fails to comply (or if the Authority receives information which demonstrates to it that the Supplier has failed to comply) with Clauses </w:t>
      </w:r>
      <w:r>
        <w:rPr>
          <w:rStyle w:val="normaltextrun1"/>
          <w:rFonts w:asciiTheme="minorHAnsi" w:hAnsiTheme="minorHAnsi" w:cstheme="minorHAnsi"/>
        </w:rPr>
        <w:fldChar w:fldCharType="begin"/>
      </w:r>
      <w:r>
        <w:rPr>
          <w:rStyle w:val="normaltextrun1"/>
          <w:rFonts w:asciiTheme="minorHAnsi" w:hAnsiTheme="minorHAnsi" w:cstheme="minorHAnsi"/>
        </w:rPr>
        <w:instrText xml:space="preserve"> REF _Ref20319270 \r \h </w:instrText>
      </w:r>
      <w:r>
        <w:rPr>
          <w:rStyle w:val="normaltextrun1"/>
          <w:rFonts w:asciiTheme="minorHAnsi" w:hAnsiTheme="minorHAnsi" w:cstheme="minorHAnsi"/>
        </w:rPr>
      </w:r>
      <w:r>
        <w:rPr>
          <w:rStyle w:val="normaltextrun1"/>
          <w:rFonts w:asciiTheme="minorHAnsi" w:hAnsiTheme="minorHAnsi" w:cstheme="minorHAnsi"/>
        </w:rPr>
        <w:fldChar w:fldCharType="separate"/>
      </w:r>
      <w:r>
        <w:rPr>
          <w:rStyle w:val="normaltextrun1"/>
          <w:rFonts w:asciiTheme="minorHAnsi" w:hAnsiTheme="minorHAnsi" w:cstheme="minorHAnsi"/>
        </w:rPr>
        <w:t>4.2</w:t>
      </w:r>
      <w:r>
        <w:rPr>
          <w:rStyle w:val="normaltextrun1"/>
          <w:rFonts w:asciiTheme="minorHAnsi" w:hAnsiTheme="minorHAnsi" w:cstheme="minorHAnsi"/>
        </w:rPr>
        <w:fldChar w:fldCharType="end"/>
      </w:r>
      <w:r w:rsidRPr="00545FAC">
        <w:rPr>
          <w:rStyle w:val="normaltextrun1"/>
          <w:rFonts w:asciiTheme="minorHAnsi" w:hAnsiTheme="minorHAnsi" w:cstheme="minorHAnsi"/>
        </w:rPr>
        <w:t>,</w:t>
      </w:r>
      <w:r>
        <w:rPr>
          <w:rStyle w:val="normaltextrun1"/>
          <w:rFonts w:asciiTheme="minorHAnsi" w:hAnsiTheme="minorHAnsi" w:cstheme="minorHAnsi"/>
        </w:rPr>
        <w:t xml:space="preserve"> </w:t>
      </w:r>
      <w:r>
        <w:rPr>
          <w:rStyle w:val="normaltextrun1"/>
          <w:rFonts w:asciiTheme="minorHAnsi" w:hAnsiTheme="minorHAnsi" w:cstheme="minorHAnsi"/>
        </w:rPr>
        <w:fldChar w:fldCharType="begin"/>
      </w:r>
      <w:r>
        <w:rPr>
          <w:rStyle w:val="normaltextrun1"/>
          <w:rFonts w:asciiTheme="minorHAnsi" w:hAnsiTheme="minorHAnsi" w:cstheme="minorHAnsi"/>
        </w:rPr>
        <w:instrText xml:space="preserve"> REF _Ref20319279 \r \h </w:instrText>
      </w:r>
      <w:r>
        <w:rPr>
          <w:rStyle w:val="normaltextrun1"/>
          <w:rFonts w:asciiTheme="minorHAnsi" w:hAnsiTheme="minorHAnsi" w:cstheme="minorHAnsi"/>
        </w:rPr>
      </w:r>
      <w:r>
        <w:rPr>
          <w:rStyle w:val="normaltextrun1"/>
          <w:rFonts w:asciiTheme="minorHAnsi" w:hAnsiTheme="minorHAnsi" w:cstheme="minorHAnsi"/>
        </w:rPr>
        <w:fldChar w:fldCharType="separate"/>
      </w:r>
      <w:r>
        <w:rPr>
          <w:rStyle w:val="normaltextrun1"/>
          <w:rFonts w:asciiTheme="minorHAnsi" w:hAnsiTheme="minorHAnsi" w:cstheme="minorHAnsi"/>
        </w:rPr>
        <w:t>4.4.1</w:t>
      </w:r>
      <w:r>
        <w:rPr>
          <w:rStyle w:val="normaltextrun1"/>
          <w:rFonts w:asciiTheme="minorHAnsi" w:hAnsiTheme="minorHAnsi" w:cstheme="minorHAnsi"/>
        </w:rPr>
        <w:fldChar w:fldCharType="end"/>
      </w:r>
      <w:r>
        <w:rPr>
          <w:rStyle w:val="normaltextrun1"/>
          <w:rFonts w:asciiTheme="minorHAnsi" w:hAnsiTheme="minorHAnsi" w:cstheme="minorHAnsi"/>
        </w:rPr>
        <w:t xml:space="preserve"> and/or </w:t>
      </w:r>
      <w:r>
        <w:rPr>
          <w:rStyle w:val="normaltextrun1"/>
          <w:rFonts w:asciiTheme="minorHAnsi" w:hAnsiTheme="minorHAnsi" w:cstheme="minorHAnsi"/>
        </w:rPr>
        <w:fldChar w:fldCharType="begin"/>
      </w:r>
      <w:r>
        <w:rPr>
          <w:rStyle w:val="normaltextrun1"/>
          <w:rFonts w:asciiTheme="minorHAnsi" w:hAnsiTheme="minorHAnsi" w:cstheme="minorHAnsi"/>
        </w:rPr>
        <w:instrText xml:space="preserve"> REF _Ref20319292 \r \h </w:instrText>
      </w:r>
      <w:r>
        <w:rPr>
          <w:rStyle w:val="normaltextrun1"/>
          <w:rFonts w:asciiTheme="minorHAnsi" w:hAnsiTheme="minorHAnsi" w:cstheme="minorHAnsi"/>
        </w:rPr>
      </w:r>
      <w:r>
        <w:rPr>
          <w:rStyle w:val="normaltextrun1"/>
          <w:rFonts w:asciiTheme="minorHAnsi" w:hAnsiTheme="minorHAnsi" w:cstheme="minorHAnsi"/>
        </w:rPr>
        <w:fldChar w:fldCharType="separate"/>
      </w:r>
      <w:r>
        <w:rPr>
          <w:rStyle w:val="normaltextrun1"/>
          <w:rFonts w:asciiTheme="minorHAnsi" w:hAnsiTheme="minorHAnsi" w:cstheme="minorHAnsi"/>
        </w:rPr>
        <w:t>4.6</w:t>
      </w:r>
      <w:r>
        <w:rPr>
          <w:rStyle w:val="normaltextrun1"/>
          <w:rFonts w:asciiTheme="minorHAnsi" w:hAnsiTheme="minorHAnsi" w:cstheme="minorHAnsi"/>
        </w:rPr>
        <w:fldChar w:fldCharType="end"/>
      </w:r>
      <w:r>
        <w:rPr>
          <w:rStyle w:val="normaltextrun1"/>
          <w:rFonts w:asciiTheme="minorHAnsi" w:hAnsiTheme="minorHAnsi" w:cstheme="minorHAnsi"/>
        </w:rPr>
        <w:t xml:space="preserve"> </w:t>
      </w:r>
      <w:r w:rsidRPr="00545FAC">
        <w:rPr>
          <w:rStyle w:val="normaltextrun1"/>
          <w:rFonts w:asciiTheme="minorHAnsi" w:hAnsiTheme="minorHAnsi" w:cstheme="minorHAnsi"/>
        </w:rPr>
        <w:t xml:space="preserve">this may be a material breach of the Agreement; </w:t>
      </w:r>
    </w:p>
    <w:p w14:paraId="37650F8A" w14:textId="77777777" w:rsidR="004B6008" w:rsidRDefault="004B6008" w:rsidP="0056106E">
      <w:pPr>
        <w:pStyle w:val="paragraph"/>
        <w:numPr>
          <w:ilvl w:val="2"/>
          <w:numId w:val="22"/>
        </w:numPr>
        <w:ind w:left="1276" w:hanging="709"/>
        <w:textAlignment w:val="baseline"/>
        <w:rPr>
          <w:rStyle w:val="normaltextrun1"/>
          <w:rFonts w:asciiTheme="minorHAnsi" w:hAnsiTheme="minorHAnsi" w:cstheme="minorHAnsi"/>
        </w:rPr>
      </w:pPr>
      <w:r w:rsidRPr="00545FAC">
        <w:rPr>
          <w:rStyle w:val="normaltextrun1"/>
          <w:rFonts w:asciiTheme="minorHAnsi" w:hAnsiTheme="minorHAnsi" w:cstheme="minorHAnsi"/>
        </w:rPr>
        <w:t xml:space="preserve">fails to comply (or if the Authority receives information which demonstrates to it that the Supplier has failed to comply) </w:t>
      </w:r>
      <w:r w:rsidRPr="00545FAC">
        <w:rPr>
          <w:rFonts w:asciiTheme="minorHAnsi" w:hAnsiTheme="minorHAnsi" w:cstheme="minorHAnsi"/>
          <w:sz w:val="22"/>
          <w:szCs w:val="22"/>
        </w:rPr>
        <w:t>with a reasonable request by the Authority that it must not contract, or must cease to contract, with any agent, supplier or Subcontractor of the Supplier</w:t>
      </w:r>
      <w:r>
        <w:rPr>
          <w:rFonts w:asciiTheme="minorHAnsi" w:hAnsiTheme="minorHAnsi" w:cstheme="minorHAnsi"/>
          <w:sz w:val="22"/>
          <w:szCs w:val="22"/>
        </w:rPr>
        <w:t xml:space="preserve"> as required by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_Ref20319306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4.3</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45FAC">
        <w:rPr>
          <w:rFonts w:asciiTheme="minorHAnsi" w:hAnsiTheme="minorHAnsi" w:cstheme="minorHAnsi"/>
          <w:sz w:val="22"/>
          <w:szCs w:val="22"/>
        </w:rPr>
        <w:t>on the grounds that the agent, supplier or Subcontractor of the Supplier is involved in Tax Non-Compliance</w:t>
      </w:r>
      <w:r w:rsidRPr="00545FAC">
        <w:rPr>
          <w:rStyle w:val="normaltextrun1"/>
          <w:rFonts w:asciiTheme="minorHAnsi" w:hAnsiTheme="minorHAnsi" w:cstheme="minorHAnsi"/>
        </w:rPr>
        <w:t xml:space="preserve"> this shall be a material breach of the Agreement; and/or</w:t>
      </w:r>
    </w:p>
    <w:p w14:paraId="3B11EC96" w14:textId="77777777" w:rsidR="004B6008" w:rsidRPr="00545FAC" w:rsidRDefault="004B6008" w:rsidP="0056106E">
      <w:pPr>
        <w:pStyle w:val="paragraph"/>
        <w:numPr>
          <w:ilvl w:val="2"/>
          <w:numId w:val="22"/>
        </w:numPr>
        <w:ind w:left="1276" w:hanging="709"/>
        <w:textAlignment w:val="baseline"/>
        <w:rPr>
          <w:rStyle w:val="normaltextrun1"/>
          <w:rFonts w:asciiTheme="minorHAnsi" w:hAnsiTheme="minorHAnsi" w:cstheme="minorHAnsi"/>
        </w:rPr>
      </w:pPr>
      <w:r w:rsidRPr="00545FAC">
        <w:rPr>
          <w:rStyle w:val="normaltextrun1"/>
          <w:rFonts w:asciiTheme="minorHAnsi" w:hAnsiTheme="minorHAnsi" w:cstheme="minorHAnsi"/>
        </w:rPr>
        <w:t xml:space="preserve">fails to provide details of steps being taken and mitigating factors pursuant to Clause </w:t>
      </w:r>
      <w:r>
        <w:rPr>
          <w:rStyle w:val="normaltextrun1"/>
          <w:rFonts w:asciiTheme="minorHAnsi" w:hAnsiTheme="minorHAnsi" w:cstheme="minorHAnsi"/>
        </w:rPr>
        <w:fldChar w:fldCharType="begin"/>
      </w:r>
      <w:r>
        <w:rPr>
          <w:rStyle w:val="normaltextrun1"/>
          <w:rFonts w:asciiTheme="minorHAnsi" w:hAnsiTheme="minorHAnsi" w:cstheme="minorHAnsi"/>
        </w:rPr>
        <w:instrText xml:space="preserve"> REF _Ref20319317 \r \h </w:instrText>
      </w:r>
      <w:r>
        <w:rPr>
          <w:rStyle w:val="normaltextrun1"/>
          <w:rFonts w:asciiTheme="minorHAnsi" w:hAnsiTheme="minorHAnsi" w:cstheme="minorHAnsi"/>
        </w:rPr>
      </w:r>
      <w:r>
        <w:rPr>
          <w:rStyle w:val="normaltextrun1"/>
          <w:rFonts w:asciiTheme="minorHAnsi" w:hAnsiTheme="minorHAnsi" w:cstheme="minorHAnsi"/>
        </w:rPr>
        <w:fldChar w:fldCharType="separate"/>
      </w:r>
      <w:r>
        <w:rPr>
          <w:rStyle w:val="normaltextrun1"/>
          <w:rFonts w:asciiTheme="minorHAnsi" w:hAnsiTheme="minorHAnsi" w:cstheme="minorHAnsi"/>
        </w:rPr>
        <w:t>4.4.2</w:t>
      </w:r>
      <w:r>
        <w:rPr>
          <w:rStyle w:val="normaltextrun1"/>
          <w:rFonts w:asciiTheme="minorHAnsi" w:hAnsiTheme="minorHAnsi" w:cstheme="minorHAnsi"/>
        </w:rPr>
        <w:fldChar w:fldCharType="end"/>
      </w:r>
      <w:r>
        <w:rPr>
          <w:rStyle w:val="normaltextrun1"/>
          <w:rFonts w:asciiTheme="minorHAnsi" w:hAnsiTheme="minorHAnsi" w:cstheme="minorHAnsi"/>
        </w:rPr>
        <w:t xml:space="preserve"> </w:t>
      </w:r>
      <w:r w:rsidRPr="00545FAC">
        <w:rPr>
          <w:rStyle w:val="normaltextrun1"/>
          <w:rFonts w:asciiTheme="minorHAnsi" w:hAnsiTheme="minorHAnsi" w:cstheme="minorHAnsi"/>
        </w:rPr>
        <w:t>which in the reasonable opinion of the Authority are acceptable this shall be a material breach of the Agreement;</w:t>
      </w:r>
    </w:p>
    <w:p w14:paraId="39AE0CF6" w14:textId="77777777" w:rsidR="004B6008" w:rsidRPr="00545FAC" w:rsidRDefault="004B6008" w:rsidP="004B6008">
      <w:pPr>
        <w:pStyle w:val="paragraph"/>
        <w:ind w:left="426" w:hanging="426"/>
        <w:textAlignment w:val="baseline"/>
        <w:rPr>
          <w:rStyle w:val="normaltextrun1"/>
          <w:rFonts w:asciiTheme="minorHAnsi" w:hAnsiTheme="minorHAnsi" w:cstheme="minorHAnsi"/>
        </w:rPr>
      </w:pPr>
    </w:p>
    <w:p w14:paraId="6534045E" w14:textId="77777777" w:rsidR="004B6008" w:rsidRPr="001109D6" w:rsidRDefault="004B6008" w:rsidP="004B6008">
      <w:pPr>
        <w:pStyle w:val="paragraph"/>
        <w:ind w:left="426"/>
        <w:textAlignment w:val="baseline"/>
        <w:rPr>
          <w:rFonts w:asciiTheme="minorHAnsi" w:hAnsiTheme="minorHAnsi" w:cstheme="minorHAnsi"/>
          <w:sz w:val="22"/>
          <w:szCs w:val="22"/>
        </w:rPr>
      </w:pPr>
      <w:r w:rsidRPr="001109D6">
        <w:rPr>
          <w:rStyle w:val="normaltextrun1"/>
          <w:rFonts w:asciiTheme="minorHAnsi" w:hAnsiTheme="minorHAnsi" w:cstheme="minorHAnsi"/>
        </w:rPr>
        <w:t xml:space="preserve">and any such material breach shall allow the Authority to </w:t>
      </w:r>
      <w:r w:rsidRPr="001109D6">
        <w:rPr>
          <w:rFonts w:asciiTheme="minorHAnsi" w:hAnsiTheme="minorHAnsi" w:cstheme="minorHAnsi"/>
          <w:sz w:val="22"/>
          <w:szCs w:val="22"/>
        </w:rPr>
        <w:t>terminate the Agreement pursuant to the Call-Off Clause which provides the Authority the right to terminate the Agreement for Supplier fault (termination for Supplier cause or equivalent clause</w:t>
      </w:r>
      <w:r>
        <w:rPr>
          <w:rFonts w:asciiTheme="minorHAnsi" w:hAnsiTheme="minorHAnsi" w:cstheme="minorHAnsi"/>
          <w:sz w:val="22"/>
          <w:szCs w:val="22"/>
        </w:rPr>
        <w:t>)</w:t>
      </w:r>
      <w:r w:rsidRPr="001109D6">
        <w:rPr>
          <w:rFonts w:asciiTheme="minorHAnsi" w:hAnsiTheme="minorHAnsi" w:cstheme="minorHAnsi"/>
          <w:sz w:val="22"/>
          <w:szCs w:val="22"/>
        </w:rPr>
        <w:t xml:space="preserve">. </w:t>
      </w:r>
    </w:p>
    <w:p w14:paraId="17988389" w14:textId="77777777" w:rsidR="004B6008" w:rsidRDefault="004B6008" w:rsidP="0056106E">
      <w:pPr>
        <w:pStyle w:val="ListParagraph"/>
        <w:numPr>
          <w:ilvl w:val="1"/>
          <w:numId w:val="22"/>
        </w:numPr>
        <w:overflowPunct/>
        <w:autoSpaceDE/>
        <w:autoSpaceDN/>
        <w:adjustRightInd/>
        <w:spacing w:after="160" w:line="259" w:lineRule="auto"/>
        <w:ind w:left="426" w:hanging="426"/>
        <w:jc w:val="left"/>
        <w:textAlignment w:val="auto"/>
        <w:rPr>
          <w:rFonts w:cstheme="minorHAnsi"/>
        </w:rPr>
      </w:pPr>
      <w:r w:rsidRPr="001109D6">
        <w:rPr>
          <w:rFonts w:cstheme="minorHAnsi"/>
        </w:rPr>
        <w:t xml:space="preserve">The Authority may internally share any information which it receives under Clauses </w:t>
      </w:r>
      <w:r>
        <w:rPr>
          <w:rFonts w:cstheme="minorHAnsi"/>
        </w:rPr>
        <w:fldChar w:fldCharType="begin"/>
      </w:r>
      <w:r>
        <w:rPr>
          <w:rFonts w:cstheme="minorHAnsi"/>
        </w:rPr>
        <w:instrText xml:space="preserve"> REF _Ref20993847 \r \h </w:instrText>
      </w:r>
      <w:r>
        <w:rPr>
          <w:rFonts w:cstheme="minorHAnsi"/>
        </w:rPr>
      </w:r>
      <w:r>
        <w:rPr>
          <w:rFonts w:cstheme="minorHAnsi"/>
        </w:rPr>
        <w:fldChar w:fldCharType="separate"/>
      </w:r>
      <w:r>
        <w:rPr>
          <w:rFonts w:cstheme="minorHAnsi"/>
        </w:rPr>
        <w:t>4.3</w:t>
      </w:r>
      <w:r>
        <w:rPr>
          <w:rFonts w:cstheme="minorHAnsi"/>
        </w:rPr>
        <w:fldChar w:fldCharType="end"/>
      </w:r>
      <w:r w:rsidRPr="00584272">
        <w:rPr>
          <w:rFonts w:cstheme="minorHAnsi"/>
        </w:rPr>
        <w:t xml:space="preserve"> to </w:t>
      </w:r>
      <w:r>
        <w:rPr>
          <w:rFonts w:cstheme="minorHAnsi"/>
        </w:rPr>
        <w:fldChar w:fldCharType="begin"/>
      </w:r>
      <w:r>
        <w:rPr>
          <w:rFonts w:cstheme="minorHAnsi"/>
        </w:rPr>
        <w:instrText xml:space="preserve"> REF _Ref20993857 \r \h </w:instrText>
      </w:r>
      <w:r>
        <w:rPr>
          <w:rFonts w:cstheme="minorHAnsi"/>
        </w:rPr>
      </w:r>
      <w:r>
        <w:rPr>
          <w:rFonts w:cstheme="minorHAnsi"/>
        </w:rPr>
        <w:fldChar w:fldCharType="separate"/>
      </w:r>
      <w:r>
        <w:rPr>
          <w:rFonts w:cstheme="minorHAnsi"/>
        </w:rPr>
        <w:t>4.4</w:t>
      </w:r>
      <w:r>
        <w:rPr>
          <w:rFonts w:cstheme="minorHAnsi"/>
        </w:rPr>
        <w:fldChar w:fldCharType="end"/>
      </w:r>
      <w:r>
        <w:rPr>
          <w:rFonts w:cstheme="minorHAnsi"/>
        </w:rPr>
        <w:t xml:space="preserve"> </w:t>
      </w:r>
      <w:r w:rsidRPr="00584272">
        <w:rPr>
          <w:rFonts w:cstheme="minorHAnsi"/>
        </w:rPr>
        <w:t xml:space="preserve">(inclusive) and </w:t>
      </w:r>
      <w:r>
        <w:rPr>
          <w:rFonts w:cstheme="minorHAnsi"/>
        </w:rPr>
        <w:fldChar w:fldCharType="begin"/>
      </w:r>
      <w:r>
        <w:rPr>
          <w:rFonts w:cstheme="minorHAnsi"/>
        </w:rPr>
        <w:instrText xml:space="preserve"> REF _Ref20319292 \r \h </w:instrText>
      </w:r>
      <w:r>
        <w:rPr>
          <w:rFonts w:cstheme="minorHAnsi"/>
        </w:rPr>
      </w:r>
      <w:r>
        <w:rPr>
          <w:rFonts w:cstheme="minorHAnsi"/>
        </w:rPr>
        <w:fldChar w:fldCharType="separate"/>
      </w:r>
      <w:r>
        <w:rPr>
          <w:rFonts w:cstheme="minorHAnsi"/>
        </w:rPr>
        <w:t>4.6</w:t>
      </w:r>
      <w:r>
        <w:rPr>
          <w:rFonts w:cstheme="minorHAnsi"/>
        </w:rPr>
        <w:fldChar w:fldCharType="end"/>
      </w:r>
      <w:r w:rsidRPr="00584272">
        <w:rPr>
          <w:rFonts w:cstheme="minorHAnsi"/>
        </w:rPr>
        <w:t>, for the purpose of the collection and management of revenue for which</w:t>
      </w:r>
      <w:r w:rsidRPr="001109D6">
        <w:rPr>
          <w:rFonts w:cstheme="minorHAnsi"/>
        </w:rPr>
        <w:t xml:space="preserve"> the Authority is responsible. </w:t>
      </w:r>
    </w:p>
    <w:p w14:paraId="50FADC23" w14:textId="77777777" w:rsidR="004B6008" w:rsidRPr="00187CF4" w:rsidRDefault="004B6008" w:rsidP="004B6008">
      <w:pPr>
        <w:pStyle w:val="ListParagraph"/>
        <w:ind w:left="426"/>
        <w:rPr>
          <w:rFonts w:cstheme="minorHAnsi"/>
        </w:rPr>
      </w:pPr>
    </w:p>
    <w:p w14:paraId="42DBFB7D" w14:textId="77777777" w:rsidR="004B6008" w:rsidRPr="009E35D5" w:rsidRDefault="004B6008" w:rsidP="0056106E">
      <w:pPr>
        <w:pStyle w:val="ListParagraph"/>
        <w:numPr>
          <w:ilvl w:val="0"/>
          <w:numId w:val="22"/>
        </w:numPr>
        <w:overflowPunct/>
        <w:autoSpaceDE/>
        <w:autoSpaceDN/>
        <w:adjustRightInd/>
        <w:spacing w:after="160" w:line="259" w:lineRule="auto"/>
        <w:ind w:left="426" w:hanging="426"/>
        <w:jc w:val="left"/>
        <w:textAlignment w:val="auto"/>
        <w:rPr>
          <w:rFonts w:cstheme="minorHAnsi"/>
          <w:b/>
          <w:lang w:val="en-US"/>
        </w:rPr>
      </w:pPr>
      <w:r w:rsidRPr="00EB2B49">
        <w:rPr>
          <w:rFonts w:cstheme="minorHAnsi"/>
          <w:b/>
          <w:lang w:val="en-US"/>
        </w:rPr>
        <w:t>Use of Off-shore Tax Structures</w:t>
      </w:r>
      <w:bookmarkStart w:id="14" w:name="_Ref456277829"/>
    </w:p>
    <w:p w14:paraId="0C4BBCE9" w14:textId="77777777" w:rsidR="004B6008" w:rsidRPr="000A193A" w:rsidRDefault="004B6008" w:rsidP="0056106E">
      <w:pPr>
        <w:pStyle w:val="ListParagraph"/>
        <w:numPr>
          <w:ilvl w:val="1"/>
          <w:numId w:val="27"/>
        </w:numPr>
        <w:overflowPunct/>
        <w:autoSpaceDE/>
        <w:autoSpaceDN/>
        <w:adjustRightInd/>
        <w:spacing w:after="160" w:line="259" w:lineRule="auto"/>
        <w:ind w:left="426" w:hanging="426"/>
        <w:jc w:val="left"/>
        <w:textAlignment w:val="auto"/>
        <w:rPr>
          <w:rFonts w:cstheme="minorHAnsi"/>
          <w:b/>
          <w:lang w:val="en-US"/>
        </w:rPr>
      </w:pPr>
      <w:bookmarkStart w:id="15" w:name="_Ref19805004"/>
      <w:r w:rsidRPr="000A193A">
        <w:rPr>
          <w:rFonts w:cstheme="minorHAnsi"/>
          <w:bCs/>
          <w:iCs/>
        </w:rPr>
        <w:t xml:space="preserve">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w:t>
      </w:r>
      <w:r w:rsidRPr="000A193A">
        <w:rPr>
          <w:rFonts w:cstheme="minorHAnsi"/>
          <w:bCs/>
          <w:iCs/>
        </w:rPr>
        <w:lastRenderedPageBreak/>
        <w:t>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0A193A">
        <w:rPr>
          <w:rFonts w:cstheme="minorHAnsi"/>
          <w:b/>
          <w:bCs/>
          <w:iCs/>
        </w:rPr>
        <w:t>“Prohibited Transactions”</w:t>
      </w:r>
      <w:r w:rsidRPr="000A193A">
        <w:rPr>
          <w:rFonts w:cstheme="minorHAnsi"/>
          <w:bCs/>
          <w:iCs/>
        </w:rPr>
        <w:t xml:space="preserve">). Prohibited Transactions shall not include transactions made between the Supplier and its Connected Companies or a Key Subcontractor and its Connected Companies on terms which are at arms-length and are </w:t>
      </w:r>
      <w:proofErr w:type="gramStart"/>
      <w:r w:rsidRPr="000A193A">
        <w:rPr>
          <w:rFonts w:cstheme="minorHAnsi"/>
          <w:bCs/>
          <w:iCs/>
        </w:rPr>
        <w:t>entered into</w:t>
      </w:r>
      <w:proofErr w:type="gramEnd"/>
      <w:r w:rsidRPr="000A193A">
        <w:rPr>
          <w:rFonts w:cstheme="minorHAnsi"/>
          <w:bCs/>
          <w:iCs/>
        </w:rPr>
        <w:t xml:space="preserve"> in the ordinary course of the transacting parties’ business.</w:t>
      </w:r>
      <w:bookmarkStart w:id="16" w:name="_Ref454350421"/>
      <w:bookmarkEnd w:id="14"/>
      <w:bookmarkEnd w:id="15"/>
    </w:p>
    <w:p w14:paraId="509AE998" w14:textId="77777777" w:rsidR="004B6008" w:rsidRPr="00EB2B49" w:rsidRDefault="004B6008" w:rsidP="0056106E">
      <w:pPr>
        <w:pStyle w:val="ListParagraph"/>
        <w:numPr>
          <w:ilvl w:val="1"/>
          <w:numId w:val="27"/>
        </w:numPr>
        <w:overflowPunct/>
        <w:autoSpaceDE/>
        <w:autoSpaceDN/>
        <w:adjustRightInd/>
        <w:spacing w:after="160" w:line="259" w:lineRule="auto"/>
        <w:ind w:left="426" w:hanging="426"/>
        <w:jc w:val="left"/>
        <w:textAlignment w:val="auto"/>
        <w:rPr>
          <w:rFonts w:cstheme="minorHAnsi"/>
          <w:b/>
          <w:lang w:val="en-US"/>
        </w:rPr>
      </w:pPr>
      <w:bookmarkStart w:id="17" w:name="_Ref19805057"/>
      <w:r w:rsidRPr="00EB2B49">
        <w:rPr>
          <w:rFonts w:cstheme="minorHAnsi"/>
          <w:bCs/>
          <w:iCs/>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18" w:name="_Ref454350981"/>
      <w:bookmarkEnd w:id="16"/>
      <w:bookmarkEnd w:id="17"/>
    </w:p>
    <w:p w14:paraId="620059D6" w14:textId="77777777" w:rsidR="004B6008" w:rsidRPr="00EB2B49" w:rsidRDefault="004B6008" w:rsidP="0056106E">
      <w:pPr>
        <w:pStyle w:val="ListParagraph"/>
        <w:numPr>
          <w:ilvl w:val="1"/>
          <w:numId w:val="27"/>
        </w:numPr>
        <w:overflowPunct/>
        <w:autoSpaceDE/>
        <w:autoSpaceDN/>
        <w:adjustRightInd/>
        <w:spacing w:after="160" w:line="259" w:lineRule="auto"/>
        <w:ind w:left="426" w:hanging="426"/>
        <w:jc w:val="left"/>
        <w:textAlignment w:val="auto"/>
        <w:rPr>
          <w:rFonts w:cstheme="minorHAnsi"/>
          <w:b/>
          <w:lang w:val="en-US"/>
        </w:rPr>
      </w:pPr>
      <w:bookmarkStart w:id="19" w:name="_Ref19805096"/>
      <w:r w:rsidRPr="00EB2B49">
        <w:rPr>
          <w:rFonts w:cstheme="minorHAnsi"/>
          <w:bCs/>
          <w:iCs/>
        </w:rPr>
        <w:t xml:space="preserve">In the event of a Prohibited Transaction being entered into in breach of Clause </w:t>
      </w:r>
      <w:r>
        <w:rPr>
          <w:rFonts w:cstheme="minorHAnsi"/>
          <w:bCs/>
          <w:iCs/>
        </w:rPr>
        <w:fldChar w:fldCharType="begin"/>
      </w:r>
      <w:r>
        <w:rPr>
          <w:rFonts w:cstheme="minorHAnsi"/>
          <w:bCs/>
          <w:iCs/>
        </w:rPr>
        <w:instrText xml:space="preserve"> REF _Ref19805004 \r \h </w:instrText>
      </w:r>
      <w:r>
        <w:rPr>
          <w:rFonts w:cstheme="minorHAnsi"/>
          <w:bCs/>
          <w:iCs/>
        </w:rPr>
      </w:r>
      <w:r>
        <w:rPr>
          <w:rFonts w:cstheme="minorHAnsi"/>
          <w:bCs/>
          <w:iCs/>
        </w:rPr>
        <w:fldChar w:fldCharType="separate"/>
      </w:r>
      <w:r>
        <w:rPr>
          <w:rFonts w:cstheme="minorHAnsi"/>
          <w:bCs/>
          <w:iCs/>
        </w:rPr>
        <w:t>5.1</w:t>
      </w:r>
      <w:r>
        <w:rPr>
          <w:rFonts w:cstheme="minorHAnsi"/>
          <w:bCs/>
          <w:iCs/>
        </w:rPr>
        <w:fldChar w:fldCharType="end"/>
      </w:r>
      <w:r w:rsidRPr="00EB2B49">
        <w:rPr>
          <w:rFonts w:cstheme="minorHAnsi"/>
          <w:bCs/>
          <w:iCs/>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Pr>
          <w:rFonts w:cstheme="minorHAnsi"/>
          <w:bCs/>
          <w:iCs/>
        </w:rPr>
        <w:fldChar w:fldCharType="begin"/>
      </w:r>
      <w:r>
        <w:rPr>
          <w:rFonts w:cstheme="minorHAnsi"/>
          <w:bCs/>
          <w:iCs/>
        </w:rPr>
        <w:instrText xml:space="preserve"> REF _Ref19805004 \r \h </w:instrText>
      </w:r>
      <w:r>
        <w:rPr>
          <w:rFonts w:cstheme="minorHAnsi"/>
          <w:bCs/>
          <w:iCs/>
        </w:rPr>
      </w:r>
      <w:r>
        <w:rPr>
          <w:rFonts w:cstheme="minorHAnsi"/>
          <w:bCs/>
          <w:iCs/>
        </w:rPr>
        <w:fldChar w:fldCharType="separate"/>
      </w:r>
      <w:r>
        <w:rPr>
          <w:rFonts w:cstheme="minorHAnsi"/>
          <w:bCs/>
          <w:iCs/>
        </w:rPr>
        <w:t>5.1</w:t>
      </w:r>
      <w:r>
        <w:rPr>
          <w:rFonts w:cstheme="minorHAnsi"/>
          <w:bCs/>
          <w:iCs/>
        </w:rPr>
        <w:fldChar w:fldCharType="end"/>
      </w:r>
      <w:r>
        <w:rPr>
          <w:rFonts w:cstheme="minorHAnsi"/>
          <w:bCs/>
          <w:iCs/>
        </w:rPr>
        <w:t xml:space="preserve"> </w:t>
      </w:r>
      <w:r w:rsidRPr="008436F5">
        <w:rPr>
          <w:rFonts w:cstheme="minorHAnsi"/>
          <w:bCs/>
          <w:iCs/>
        </w:rPr>
        <w:t>and</w:t>
      </w:r>
      <w:r>
        <w:rPr>
          <w:rFonts w:cstheme="minorHAnsi"/>
          <w:bCs/>
          <w:iCs/>
        </w:rPr>
        <w:t xml:space="preserve"> </w:t>
      </w:r>
      <w:r>
        <w:rPr>
          <w:rFonts w:cstheme="minorHAnsi"/>
          <w:bCs/>
          <w:iCs/>
        </w:rPr>
        <w:fldChar w:fldCharType="begin"/>
      </w:r>
      <w:r>
        <w:rPr>
          <w:rFonts w:cstheme="minorHAnsi"/>
          <w:bCs/>
          <w:iCs/>
        </w:rPr>
        <w:instrText xml:space="preserve"> REF _Ref19805057 \r \h </w:instrText>
      </w:r>
      <w:r>
        <w:rPr>
          <w:rFonts w:cstheme="minorHAnsi"/>
          <w:bCs/>
          <w:iCs/>
        </w:rPr>
      </w:r>
      <w:r>
        <w:rPr>
          <w:rFonts w:cstheme="minorHAnsi"/>
          <w:bCs/>
          <w:iCs/>
        </w:rPr>
        <w:fldChar w:fldCharType="separate"/>
      </w:r>
      <w:r>
        <w:rPr>
          <w:rFonts w:cstheme="minorHAnsi"/>
          <w:bCs/>
          <w:iCs/>
        </w:rPr>
        <w:t>5.2</w:t>
      </w:r>
      <w:r>
        <w:rPr>
          <w:rFonts w:cstheme="minorHAnsi"/>
          <w:bCs/>
          <w:iCs/>
        </w:rPr>
        <w:fldChar w:fldCharType="end"/>
      </w:r>
      <w:r w:rsidRPr="00EB2B49">
        <w:rPr>
          <w:rFonts w:cstheme="minorHAnsi"/>
          <w:bCs/>
          <w:iCs/>
        </w:rPr>
        <w:t>, the Parties (and the Supplier shall procure that the Key Subcontractor, where applicable) shall agree (at no cost to the Authority) timely and appropriate changes to any such arrangements by the undertakings concerned, resolving the matter (if required) through the</w:t>
      </w:r>
      <w:r>
        <w:rPr>
          <w:rFonts w:cstheme="minorHAnsi"/>
          <w:bCs/>
          <w:iCs/>
        </w:rPr>
        <w:t xml:space="preserve"> escalation process in the Agreement.</w:t>
      </w:r>
      <w:bookmarkStart w:id="20" w:name="_Ref519588655"/>
      <w:bookmarkEnd w:id="18"/>
      <w:bookmarkEnd w:id="19"/>
    </w:p>
    <w:p w14:paraId="42835CFB" w14:textId="77777777" w:rsidR="004B6008" w:rsidRPr="005A5F40" w:rsidRDefault="004B6008" w:rsidP="0056106E">
      <w:pPr>
        <w:pStyle w:val="ListParagraph"/>
        <w:numPr>
          <w:ilvl w:val="1"/>
          <w:numId w:val="27"/>
        </w:numPr>
        <w:overflowPunct/>
        <w:autoSpaceDE/>
        <w:autoSpaceDN/>
        <w:adjustRightInd/>
        <w:spacing w:after="160" w:line="259" w:lineRule="auto"/>
        <w:ind w:left="426" w:hanging="426"/>
        <w:jc w:val="left"/>
        <w:textAlignment w:val="auto"/>
        <w:rPr>
          <w:rFonts w:cstheme="minorHAnsi"/>
          <w:b/>
          <w:lang w:val="en-US"/>
        </w:rPr>
      </w:pPr>
      <w:r w:rsidRPr="00EB2B49">
        <w:rPr>
          <w:rFonts w:cstheme="minorHAnsi"/>
          <w:bCs/>
          <w:iCs/>
        </w:rPr>
        <w:t xml:space="preserve">Failure by the Supplier (or a Key Subcontractor) to comply with the obligations set out in Clauses </w:t>
      </w:r>
      <w:r>
        <w:rPr>
          <w:rFonts w:cstheme="minorHAnsi"/>
          <w:bCs/>
          <w:iCs/>
        </w:rPr>
        <w:fldChar w:fldCharType="begin"/>
      </w:r>
      <w:r>
        <w:rPr>
          <w:rFonts w:cstheme="minorHAnsi"/>
          <w:bCs/>
          <w:iCs/>
        </w:rPr>
        <w:instrText xml:space="preserve"> REF _Ref19805057 \r \h </w:instrText>
      </w:r>
      <w:r>
        <w:rPr>
          <w:rFonts w:cstheme="minorHAnsi"/>
          <w:bCs/>
          <w:iCs/>
        </w:rPr>
      </w:r>
      <w:r>
        <w:rPr>
          <w:rFonts w:cstheme="minorHAnsi"/>
          <w:bCs/>
          <w:iCs/>
        </w:rPr>
        <w:fldChar w:fldCharType="separate"/>
      </w:r>
      <w:r>
        <w:rPr>
          <w:rFonts w:cstheme="minorHAnsi"/>
          <w:bCs/>
          <w:iCs/>
        </w:rPr>
        <w:t>5.2</w:t>
      </w:r>
      <w:r>
        <w:rPr>
          <w:rFonts w:cstheme="minorHAnsi"/>
          <w:bCs/>
          <w:iCs/>
        </w:rPr>
        <w:fldChar w:fldCharType="end"/>
      </w:r>
      <w:r>
        <w:rPr>
          <w:rFonts w:cstheme="minorHAnsi"/>
          <w:bCs/>
          <w:iCs/>
        </w:rPr>
        <w:t xml:space="preserve"> </w:t>
      </w:r>
      <w:r w:rsidRPr="008436F5">
        <w:rPr>
          <w:rFonts w:cstheme="minorHAnsi"/>
          <w:bCs/>
          <w:iCs/>
        </w:rPr>
        <w:t xml:space="preserve">and </w:t>
      </w:r>
      <w:r>
        <w:rPr>
          <w:rFonts w:cstheme="minorHAnsi"/>
          <w:bCs/>
          <w:iCs/>
        </w:rPr>
        <w:fldChar w:fldCharType="begin"/>
      </w:r>
      <w:r>
        <w:rPr>
          <w:rFonts w:cstheme="minorHAnsi"/>
          <w:bCs/>
          <w:iCs/>
        </w:rPr>
        <w:instrText xml:space="preserve"> REF _Ref19805096 \r \h </w:instrText>
      </w:r>
      <w:r>
        <w:rPr>
          <w:rFonts w:cstheme="minorHAnsi"/>
          <w:bCs/>
          <w:iCs/>
        </w:rPr>
      </w:r>
      <w:r>
        <w:rPr>
          <w:rFonts w:cstheme="minorHAnsi"/>
          <w:bCs/>
          <w:iCs/>
        </w:rPr>
        <w:fldChar w:fldCharType="separate"/>
      </w:r>
      <w:r>
        <w:rPr>
          <w:rFonts w:cstheme="minorHAnsi"/>
          <w:bCs/>
          <w:iCs/>
        </w:rPr>
        <w:t>5.3</w:t>
      </w:r>
      <w:r>
        <w:rPr>
          <w:rFonts w:cstheme="minorHAnsi"/>
          <w:bCs/>
          <w:iCs/>
        </w:rPr>
        <w:fldChar w:fldCharType="end"/>
      </w:r>
      <w:r>
        <w:rPr>
          <w:rFonts w:cstheme="minorHAnsi"/>
          <w:bCs/>
          <w:iCs/>
        </w:rPr>
        <w:t xml:space="preserve"> </w:t>
      </w:r>
      <w:r w:rsidRPr="00EB2B49">
        <w:rPr>
          <w:rFonts w:cstheme="minorHAnsi"/>
          <w:bCs/>
          <w:iCs/>
        </w:rPr>
        <w:t xml:space="preserve">shall allow the Authority to terminate the Agreement pursuant to the Clause that </w:t>
      </w:r>
      <w:bookmarkEnd w:id="20"/>
      <w:r w:rsidRPr="00EB2B49">
        <w:rPr>
          <w:rFonts w:cstheme="minorHAnsi"/>
        </w:rPr>
        <w:t>provides the Authority the right to terminate the Agreement for Supplier fault (termination for Supplier cause).</w:t>
      </w:r>
    </w:p>
    <w:p w14:paraId="4492D4C9" w14:textId="77777777" w:rsidR="004B6008" w:rsidRDefault="004B6008" w:rsidP="004B6008">
      <w:pPr>
        <w:pStyle w:val="Body2"/>
        <w:keepLines/>
        <w:spacing w:after="0"/>
        <w:ind w:left="426"/>
        <w:rPr>
          <w:rFonts w:asciiTheme="minorHAnsi" w:hAnsiTheme="minorHAnsi" w:cstheme="minorHAnsi"/>
          <w:b/>
          <w:spacing w:val="-3"/>
          <w:sz w:val="22"/>
          <w:szCs w:val="22"/>
          <w:lang w:val="en-US"/>
        </w:rPr>
      </w:pPr>
    </w:p>
    <w:p w14:paraId="4FFA076C" w14:textId="77777777" w:rsidR="004B6008" w:rsidRPr="00EB2B49" w:rsidRDefault="004B6008" w:rsidP="0056106E">
      <w:pPr>
        <w:pStyle w:val="Body2"/>
        <w:keepLines/>
        <w:numPr>
          <w:ilvl w:val="0"/>
          <w:numId w:val="27"/>
        </w:numPr>
        <w:spacing w:after="0"/>
        <w:ind w:left="426" w:hanging="426"/>
        <w:rPr>
          <w:rFonts w:asciiTheme="minorHAnsi" w:hAnsiTheme="minorHAnsi" w:cstheme="minorHAnsi"/>
          <w:b/>
          <w:spacing w:val="-3"/>
          <w:sz w:val="22"/>
          <w:szCs w:val="22"/>
          <w:lang w:val="en-US"/>
        </w:rPr>
      </w:pPr>
      <w:r w:rsidRPr="00EB2B49">
        <w:rPr>
          <w:rFonts w:asciiTheme="minorHAnsi" w:hAnsiTheme="minorHAnsi" w:cstheme="minorHAnsi"/>
          <w:b/>
          <w:spacing w:val="-3"/>
          <w:sz w:val="22"/>
          <w:szCs w:val="22"/>
          <w:lang w:val="en-US"/>
        </w:rPr>
        <w:t>Data Protection and off-shoring</w:t>
      </w:r>
    </w:p>
    <w:p w14:paraId="45FBA35C" w14:textId="77777777" w:rsidR="004B6008" w:rsidRPr="00EB2B49" w:rsidRDefault="004B6008" w:rsidP="0056106E">
      <w:pPr>
        <w:pStyle w:val="Body2"/>
        <w:keepLines/>
        <w:numPr>
          <w:ilvl w:val="1"/>
          <w:numId w:val="27"/>
        </w:numPr>
        <w:spacing w:after="0"/>
        <w:ind w:left="426" w:hanging="426"/>
        <w:jc w:val="left"/>
        <w:rPr>
          <w:rFonts w:asciiTheme="minorHAnsi" w:hAnsiTheme="minorHAnsi" w:cstheme="minorHAnsi"/>
          <w:spacing w:val="-3"/>
          <w:sz w:val="22"/>
          <w:szCs w:val="22"/>
          <w:lang w:val="en-US"/>
        </w:rPr>
      </w:pPr>
      <w:bookmarkStart w:id="21" w:name="_Ref19805122"/>
      <w:r w:rsidRPr="00EB2B49">
        <w:rPr>
          <w:rFonts w:asciiTheme="minorHAnsi" w:hAnsiTheme="minorHAnsi" w:cstheme="minorHAnsi"/>
          <w:spacing w:val="-3"/>
          <w:sz w:val="22"/>
          <w:szCs w:val="22"/>
          <w:lang w:val="en-US"/>
        </w:rPr>
        <w:t>The Processor shall, in relation to any Personal Data processed in connection</w:t>
      </w:r>
      <w:r>
        <w:rPr>
          <w:rFonts w:asciiTheme="minorHAnsi" w:hAnsiTheme="minorHAnsi" w:cstheme="minorHAnsi"/>
          <w:spacing w:val="-3"/>
          <w:sz w:val="22"/>
          <w:szCs w:val="22"/>
          <w:lang w:val="en-US"/>
        </w:rPr>
        <w:t xml:space="preserve"> with its obligations under the</w:t>
      </w:r>
      <w:r w:rsidRPr="00EB2B49">
        <w:rPr>
          <w:rFonts w:asciiTheme="minorHAnsi" w:hAnsiTheme="minorHAnsi" w:cstheme="minorHAnsi"/>
          <w:spacing w:val="-3"/>
          <w:sz w:val="22"/>
          <w:szCs w:val="22"/>
          <w:lang w:val="en-US"/>
        </w:rPr>
        <w:t xml:space="preserve"> Agreement:</w:t>
      </w:r>
      <w:bookmarkEnd w:id="21"/>
    </w:p>
    <w:p w14:paraId="61B6D431" w14:textId="77777777" w:rsidR="004B6008" w:rsidRPr="00EB2B49" w:rsidRDefault="004B6008" w:rsidP="0056106E">
      <w:pPr>
        <w:pStyle w:val="Body2"/>
        <w:keepLines/>
        <w:numPr>
          <w:ilvl w:val="2"/>
          <w:numId w:val="27"/>
        </w:numPr>
        <w:spacing w:after="240"/>
        <w:ind w:left="1134" w:hanging="708"/>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not transfer Personal Data outside of the U</w:t>
      </w:r>
      <w:r>
        <w:rPr>
          <w:rFonts w:asciiTheme="minorHAnsi" w:hAnsiTheme="minorHAnsi" w:cstheme="minorHAnsi"/>
          <w:spacing w:val="-3"/>
          <w:sz w:val="22"/>
          <w:szCs w:val="22"/>
          <w:lang w:val="en-US"/>
        </w:rPr>
        <w:t xml:space="preserve">nited </w:t>
      </w:r>
      <w:r w:rsidRPr="00EB2B49">
        <w:rPr>
          <w:rFonts w:asciiTheme="minorHAnsi" w:hAnsiTheme="minorHAnsi" w:cstheme="minorHAnsi"/>
          <w:spacing w:val="-3"/>
          <w:sz w:val="22"/>
          <w:szCs w:val="22"/>
          <w:lang w:val="en-US"/>
        </w:rPr>
        <w:t>K</w:t>
      </w:r>
      <w:r>
        <w:rPr>
          <w:rFonts w:asciiTheme="minorHAnsi" w:hAnsiTheme="minorHAnsi" w:cstheme="minorHAnsi"/>
          <w:spacing w:val="-3"/>
          <w:sz w:val="22"/>
          <w:szCs w:val="22"/>
          <w:lang w:val="en-US"/>
        </w:rPr>
        <w:t>ingdom</w:t>
      </w:r>
      <w:r w:rsidRPr="00EB2B49">
        <w:rPr>
          <w:rFonts w:asciiTheme="minorHAnsi" w:hAnsiTheme="minorHAnsi" w:cstheme="minorHAnsi"/>
          <w:spacing w:val="-3"/>
          <w:sz w:val="22"/>
          <w:szCs w:val="22"/>
          <w:lang w:val="en-US"/>
        </w:rPr>
        <w:t xml:space="preserve"> unless the prior written consent of the Controller has been obtained and the following conditions are fulfilled:</w:t>
      </w:r>
    </w:p>
    <w:p w14:paraId="3DF7387D" w14:textId="77777777" w:rsidR="004B6008" w:rsidRPr="00EB2B49" w:rsidRDefault="004B6008" w:rsidP="0056106E">
      <w:pPr>
        <w:pStyle w:val="Body2"/>
        <w:keepLines/>
        <w:numPr>
          <w:ilvl w:val="1"/>
          <w:numId w:val="23"/>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the Controller or the Processor has provided appropriate safeguards in relation to the transfer (whether in accordance with GDPR Article 46 or LED Article 37) as determined by the Controller;</w:t>
      </w:r>
    </w:p>
    <w:p w14:paraId="503EE156" w14:textId="77777777" w:rsidR="004B6008" w:rsidRPr="00EB2B49" w:rsidRDefault="004B6008" w:rsidP="0056106E">
      <w:pPr>
        <w:pStyle w:val="Body2"/>
        <w:keepLines/>
        <w:numPr>
          <w:ilvl w:val="1"/>
          <w:numId w:val="23"/>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the Data Subject has enforceable rights and effective legal remedies;</w:t>
      </w:r>
    </w:p>
    <w:p w14:paraId="1757767D" w14:textId="77777777" w:rsidR="004B6008" w:rsidRPr="00EB2B49" w:rsidRDefault="004B6008" w:rsidP="0056106E">
      <w:pPr>
        <w:pStyle w:val="Body2"/>
        <w:keepLines/>
        <w:numPr>
          <w:ilvl w:val="1"/>
          <w:numId w:val="23"/>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the Processor complies with its obligations under the Data Protection Legislation by providing an adequate level of protection to any Personal Data that is transferred (or, if it is not so bound, uses its best </w:t>
      </w:r>
      <w:proofErr w:type="spellStart"/>
      <w:r w:rsidRPr="00EB2B49">
        <w:rPr>
          <w:rFonts w:asciiTheme="minorHAnsi" w:hAnsiTheme="minorHAnsi" w:cstheme="minorHAnsi"/>
          <w:spacing w:val="-3"/>
          <w:sz w:val="22"/>
          <w:szCs w:val="22"/>
          <w:lang w:val="en-US"/>
        </w:rPr>
        <w:t>endeavours</w:t>
      </w:r>
      <w:proofErr w:type="spellEnd"/>
      <w:r w:rsidRPr="00EB2B49">
        <w:rPr>
          <w:rFonts w:asciiTheme="minorHAnsi" w:hAnsiTheme="minorHAnsi" w:cstheme="minorHAnsi"/>
          <w:spacing w:val="-3"/>
          <w:sz w:val="22"/>
          <w:szCs w:val="22"/>
          <w:lang w:val="en-US"/>
        </w:rPr>
        <w:t xml:space="preserve"> to assist the Controller in meeting its obligations); and</w:t>
      </w:r>
    </w:p>
    <w:p w14:paraId="11694F83" w14:textId="77777777" w:rsidR="004B6008" w:rsidRPr="00EB2B49" w:rsidRDefault="004B6008" w:rsidP="0056106E">
      <w:pPr>
        <w:pStyle w:val="Body2"/>
        <w:keepLines/>
        <w:numPr>
          <w:ilvl w:val="1"/>
          <w:numId w:val="23"/>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lastRenderedPageBreak/>
        <w:t>the Processor complies with any reasonable instructions notified to it in advance by the Controller with respect to the processing of the Personal Data;</w:t>
      </w:r>
    </w:p>
    <w:p w14:paraId="101C0D9D" w14:textId="77777777" w:rsidR="004B6008" w:rsidRPr="000713AC" w:rsidRDefault="004B6008" w:rsidP="0056106E">
      <w:pPr>
        <w:pStyle w:val="ListParagraph"/>
        <w:numPr>
          <w:ilvl w:val="1"/>
          <w:numId w:val="27"/>
        </w:numPr>
        <w:overflowPunct/>
        <w:autoSpaceDE/>
        <w:autoSpaceDN/>
        <w:adjustRightInd/>
        <w:spacing w:after="160" w:line="259" w:lineRule="auto"/>
        <w:ind w:left="426" w:hanging="426"/>
        <w:jc w:val="left"/>
        <w:textAlignment w:val="auto"/>
        <w:rPr>
          <w:rFonts w:cstheme="minorHAnsi"/>
          <w:b/>
        </w:rPr>
      </w:pPr>
      <w:r w:rsidRPr="00EB2B49">
        <w:rPr>
          <w:rFonts w:cstheme="minorHAnsi"/>
          <w:bCs/>
          <w:iCs/>
        </w:rPr>
        <w:t xml:space="preserve">Failure by the Processor to comply with the obligations set out in Clause </w:t>
      </w:r>
      <w:r>
        <w:rPr>
          <w:rFonts w:cstheme="minorHAnsi"/>
          <w:bCs/>
          <w:iCs/>
          <w:highlight w:val="yellow"/>
        </w:rPr>
        <w:fldChar w:fldCharType="begin"/>
      </w:r>
      <w:r>
        <w:rPr>
          <w:rFonts w:cstheme="minorHAnsi"/>
          <w:bCs/>
          <w:iCs/>
        </w:rPr>
        <w:instrText xml:space="preserve"> REF _Ref19805122 \r \h </w:instrText>
      </w:r>
      <w:r>
        <w:rPr>
          <w:rFonts w:cstheme="minorHAnsi"/>
          <w:bCs/>
          <w:iCs/>
          <w:highlight w:val="yellow"/>
        </w:rPr>
      </w:r>
      <w:r>
        <w:rPr>
          <w:rFonts w:cstheme="minorHAnsi"/>
          <w:bCs/>
          <w:iCs/>
          <w:highlight w:val="yellow"/>
        </w:rPr>
        <w:fldChar w:fldCharType="separate"/>
      </w:r>
      <w:r>
        <w:rPr>
          <w:rFonts w:cstheme="minorHAnsi"/>
          <w:bCs/>
          <w:iCs/>
        </w:rPr>
        <w:t>6.1</w:t>
      </w:r>
      <w:r>
        <w:rPr>
          <w:rFonts w:cstheme="minorHAnsi"/>
          <w:bCs/>
          <w:iCs/>
          <w:highlight w:val="yellow"/>
        </w:rPr>
        <w:fldChar w:fldCharType="end"/>
      </w:r>
      <w:r w:rsidRPr="00EB2B49">
        <w:rPr>
          <w:rFonts w:cstheme="minorHAnsi"/>
        </w:rPr>
        <w:t xml:space="preserve"> s</w:t>
      </w:r>
      <w:r w:rsidRPr="00EB2B49">
        <w:rPr>
          <w:rFonts w:cstheme="minorHAnsi"/>
          <w:bCs/>
          <w:iCs/>
        </w:rPr>
        <w:t xml:space="preserve">hall allow the Authority to terminate the Agreement pursuant to the Clause that </w:t>
      </w:r>
      <w:r w:rsidRPr="00EB2B49">
        <w:rPr>
          <w:rFonts w:cstheme="minorHAnsi"/>
        </w:rPr>
        <w:t>provides the Authority the right to terminate the Agreement for Supplier fault (t</w:t>
      </w:r>
      <w:r>
        <w:rPr>
          <w:rFonts w:cstheme="minorHAnsi"/>
        </w:rPr>
        <w:t xml:space="preserve">ermination for Supplier cause </w:t>
      </w:r>
      <w:r w:rsidRPr="00545FAC">
        <w:rPr>
          <w:rFonts w:cstheme="minorHAnsi"/>
        </w:rPr>
        <w:t>or equivalent clause</w:t>
      </w:r>
      <w:r>
        <w:rPr>
          <w:rFonts w:cstheme="minorHAnsi"/>
        </w:rPr>
        <w:t>)</w:t>
      </w:r>
      <w:r w:rsidRPr="00EB2B49">
        <w:rPr>
          <w:rFonts w:cstheme="minorHAnsi"/>
        </w:rPr>
        <w:t>.</w:t>
      </w:r>
    </w:p>
    <w:p w14:paraId="1F42FC48" w14:textId="77777777" w:rsidR="004B6008" w:rsidRPr="00DB57F6" w:rsidRDefault="004B6008" w:rsidP="004B6008">
      <w:pPr>
        <w:pStyle w:val="ListParagraph"/>
        <w:ind w:left="426"/>
        <w:rPr>
          <w:rFonts w:cstheme="minorHAnsi"/>
          <w:b/>
        </w:rPr>
      </w:pPr>
    </w:p>
    <w:p w14:paraId="67D50B21" w14:textId="77777777" w:rsidR="004B6008" w:rsidRPr="00F12836" w:rsidRDefault="004B6008" w:rsidP="0056106E">
      <w:pPr>
        <w:pStyle w:val="ListParagraph"/>
        <w:numPr>
          <w:ilvl w:val="0"/>
          <w:numId w:val="27"/>
        </w:numPr>
        <w:overflowPunct/>
        <w:autoSpaceDE/>
        <w:autoSpaceDN/>
        <w:adjustRightInd/>
        <w:spacing w:after="160" w:line="259" w:lineRule="auto"/>
        <w:ind w:left="426" w:hanging="426"/>
        <w:jc w:val="left"/>
        <w:textAlignment w:val="auto"/>
        <w:rPr>
          <w:rFonts w:cstheme="minorHAnsi"/>
          <w:b/>
        </w:rPr>
      </w:pPr>
      <w:bookmarkStart w:id="22" w:name="_Ref24987602"/>
      <w:bookmarkStart w:id="23" w:name="_Ref25767967"/>
      <w:r w:rsidRPr="00EB2B49">
        <w:rPr>
          <w:rFonts w:cstheme="minorHAnsi"/>
          <w:b/>
        </w:rPr>
        <w:t>Commissioners for Revenue and Customs Act 2005</w:t>
      </w:r>
      <w:bookmarkEnd w:id="22"/>
      <w:r>
        <w:rPr>
          <w:rFonts w:cstheme="minorHAnsi"/>
          <w:b/>
        </w:rPr>
        <w:t xml:space="preserve"> and related Legislation</w:t>
      </w:r>
      <w:bookmarkEnd w:id="23"/>
      <w:r>
        <w:rPr>
          <w:rFonts w:cstheme="minorHAnsi"/>
          <w:b/>
        </w:rPr>
        <w:t xml:space="preserve"> </w:t>
      </w:r>
    </w:p>
    <w:p w14:paraId="7318DAEF" w14:textId="77777777" w:rsidR="004B6008" w:rsidRDefault="004B6008" w:rsidP="0056106E">
      <w:pPr>
        <w:pStyle w:val="ListParagraph"/>
        <w:numPr>
          <w:ilvl w:val="1"/>
          <w:numId w:val="27"/>
        </w:numPr>
        <w:overflowPunct/>
        <w:autoSpaceDE/>
        <w:autoSpaceDN/>
        <w:adjustRightInd/>
        <w:spacing w:after="160" w:line="259" w:lineRule="auto"/>
        <w:ind w:left="426" w:hanging="426"/>
        <w:jc w:val="left"/>
        <w:textAlignment w:val="auto"/>
        <w:rPr>
          <w:rFonts w:cstheme="minorHAnsi"/>
        </w:rPr>
      </w:pPr>
      <w:bookmarkStart w:id="24" w:name="_Ref19805143"/>
      <w:r w:rsidRPr="00EB2B49">
        <w:rPr>
          <w:rFonts w:cstheme="minorHAnsi"/>
        </w:rPr>
        <w:t xml:space="preserve">The Supplier shall comply </w:t>
      </w:r>
      <w:proofErr w:type="gramStart"/>
      <w:r w:rsidRPr="00EB2B49">
        <w:rPr>
          <w:rFonts w:cstheme="minorHAnsi"/>
        </w:rPr>
        <w:t>with, and</w:t>
      </w:r>
      <w:proofErr w:type="gramEnd"/>
      <w:r w:rsidRPr="00EB2B49">
        <w:rPr>
          <w:rFonts w:cstheme="minorHAnsi"/>
        </w:rPr>
        <w:t xml:space="preserve"> shall ensure that </w:t>
      </w:r>
      <w:r>
        <w:rPr>
          <w:rFonts w:cstheme="minorHAnsi"/>
        </w:rPr>
        <w:t>all</w:t>
      </w:r>
      <w:r w:rsidRPr="00EB2B49">
        <w:rPr>
          <w:rFonts w:cstheme="minorHAnsi"/>
        </w:rPr>
        <w:t xml:space="preserve"> Supplier Personnel who will have access to, or are provided with, Authority Data comply with</w:t>
      </w:r>
      <w:bookmarkEnd w:id="24"/>
      <w:r>
        <w:rPr>
          <w:rFonts w:cstheme="minorHAnsi"/>
        </w:rPr>
        <w:t xml:space="preserve"> </w:t>
      </w:r>
      <w:r w:rsidRPr="001E4442">
        <w:rPr>
          <w:rFonts w:cstheme="minorHAnsi"/>
        </w:rPr>
        <w:t xml:space="preserve">the obligations set out </w:t>
      </w:r>
      <w:r>
        <w:rPr>
          <w:rFonts w:cstheme="minorHAnsi"/>
        </w:rPr>
        <w:t xml:space="preserve">in </w:t>
      </w:r>
      <w:r w:rsidRPr="001E4442">
        <w:rPr>
          <w:rFonts w:cstheme="minorHAnsi"/>
        </w:rPr>
        <w:t xml:space="preserve">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1B93FCE3" w14:textId="77777777" w:rsidR="004B6008" w:rsidRPr="0078116D" w:rsidRDefault="004B6008" w:rsidP="0056106E">
      <w:pPr>
        <w:pStyle w:val="ListParagraph"/>
        <w:numPr>
          <w:ilvl w:val="1"/>
          <w:numId w:val="27"/>
        </w:numPr>
        <w:overflowPunct/>
        <w:autoSpaceDE/>
        <w:autoSpaceDN/>
        <w:adjustRightInd/>
        <w:spacing w:after="160" w:line="259" w:lineRule="auto"/>
        <w:ind w:left="426" w:hanging="426"/>
        <w:jc w:val="left"/>
        <w:textAlignment w:val="auto"/>
        <w:rPr>
          <w:rFonts w:cstheme="minorHAnsi"/>
        </w:rPr>
      </w:pPr>
      <w:r w:rsidRPr="0078116D">
        <w:rPr>
          <w:rFonts w:cstheme="minorHAnsi"/>
        </w:rPr>
        <w:t xml:space="preserve">The Supplier shall comply </w:t>
      </w:r>
      <w:proofErr w:type="gramStart"/>
      <w:r w:rsidRPr="0078116D">
        <w:rPr>
          <w:rFonts w:cstheme="minorHAnsi"/>
        </w:rPr>
        <w:t>with, and</w:t>
      </w:r>
      <w:proofErr w:type="gramEnd"/>
      <w:r w:rsidRPr="0078116D">
        <w:rPr>
          <w:rFonts w:cstheme="minorHAnsi"/>
        </w:rPr>
        <w:t xml:space="preserve"> shall ensure that all Supplier Personnel who will have access to, or are provided with, Authority Data comply with the obligations set out in </w:t>
      </w:r>
      <w:r>
        <w:t>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17593FE6" w14:textId="77777777" w:rsidR="004B6008" w:rsidRPr="00EB2B49" w:rsidRDefault="004B6008" w:rsidP="0056106E">
      <w:pPr>
        <w:pStyle w:val="ListParagraph"/>
        <w:numPr>
          <w:ilvl w:val="1"/>
          <w:numId w:val="27"/>
        </w:numPr>
        <w:overflowPunct/>
        <w:autoSpaceDE/>
        <w:autoSpaceDN/>
        <w:adjustRightInd/>
        <w:spacing w:after="160" w:line="259" w:lineRule="auto"/>
        <w:ind w:left="426" w:hanging="426"/>
        <w:jc w:val="left"/>
        <w:textAlignment w:val="auto"/>
        <w:rPr>
          <w:rFonts w:cstheme="minorHAnsi"/>
        </w:rPr>
      </w:pPr>
      <w:r w:rsidRPr="00EB2B49">
        <w:rPr>
          <w:rFonts w:cstheme="minorHAnsi"/>
        </w:rPr>
        <w:t xml:space="preserve">The Supplier shall regularly (not less than once every six (6) months) remind all Supplier Personnel who will have access to, or are provided with, Authority Data in writing of the obligations upon Supplier Personnel set out in Clause </w:t>
      </w:r>
      <w:r>
        <w:rPr>
          <w:rFonts w:cstheme="minorHAnsi"/>
        </w:rPr>
        <w:fldChar w:fldCharType="begin"/>
      </w:r>
      <w:r>
        <w:rPr>
          <w:rFonts w:cstheme="minorHAnsi"/>
        </w:rPr>
        <w:instrText xml:space="preserve"> REF _Ref19805143 \r \h </w:instrText>
      </w:r>
      <w:r>
        <w:rPr>
          <w:rFonts w:cstheme="minorHAnsi"/>
        </w:rPr>
      </w:r>
      <w:r>
        <w:rPr>
          <w:rFonts w:cstheme="minorHAnsi"/>
        </w:rPr>
        <w:fldChar w:fldCharType="separate"/>
      </w:r>
      <w:r>
        <w:rPr>
          <w:rFonts w:cstheme="minorHAnsi"/>
        </w:rPr>
        <w:t>7.1</w:t>
      </w:r>
      <w:r>
        <w:rPr>
          <w:rFonts w:cstheme="minorHAnsi"/>
        </w:rPr>
        <w:fldChar w:fldCharType="end"/>
      </w:r>
      <w:r>
        <w:rPr>
          <w:rFonts w:cstheme="minorHAnsi"/>
        </w:rPr>
        <w:t xml:space="preserve"> </w:t>
      </w:r>
      <w:r w:rsidRPr="008436F5">
        <w:rPr>
          <w:rFonts w:cstheme="minorHAnsi"/>
        </w:rPr>
        <w:t>above</w:t>
      </w:r>
      <w:r w:rsidRPr="00EB2B49">
        <w:rPr>
          <w:rFonts w:cstheme="minorHAnsi"/>
        </w:rPr>
        <w:t>.  The Supplier shall monitor the compliance by Supplier Personnel with such obligations.</w:t>
      </w:r>
    </w:p>
    <w:p w14:paraId="55F50D35" w14:textId="77777777" w:rsidR="004B6008" w:rsidRPr="00EB2B49" w:rsidRDefault="004B6008" w:rsidP="0056106E">
      <w:pPr>
        <w:pStyle w:val="ListParagraph"/>
        <w:numPr>
          <w:ilvl w:val="1"/>
          <w:numId w:val="27"/>
        </w:numPr>
        <w:overflowPunct/>
        <w:autoSpaceDE/>
        <w:autoSpaceDN/>
        <w:adjustRightInd/>
        <w:spacing w:after="160" w:line="259" w:lineRule="auto"/>
        <w:ind w:left="426" w:hanging="426"/>
        <w:jc w:val="left"/>
        <w:textAlignment w:val="auto"/>
        <w:rPr>
          <w:rFonts w:cstheme="minorHAnsi"/>
        </w:rPr>
      </w:pPr>
      <w:r w:rsidRPr="00EB2B49">
        <w:rPr>
          <w:rFonts w:cstheme="minorHAnsi"/>
        </w:rPr>
        <w:t xml:space="preserve">The Supplier shall ensure that all Supplier Personnel who will have access to, or are provided with, Authority Data sign (or have previously signed) a </w:t>
      </w:r>
      <w:r>
        <w:rPr>
          <w:rFonts w:cstheme="minorHAnsi"/>
        </w:rPr>
        <w:t>Confidentiality D</w:t>
      </w:r>
      <w:r w:rsidRPr="00EB2B49">
        <w:rPr>
          <w:rFonts w:cstheme="minorHAnsi"/>
        </w:rPr>
        <w:t>eclaration, in the form provided at Annex 2</w:t>
      </w:r>
      <w:r>
        <w:rPr>
          <w:rFonts w:cstheme="minorHAnsi"/>
        </w:rPr>
        <w:t xml:space="preserve">. </w:t>
      </w:r>
      <w:r w:rsidRPr="00EB2B49">
        <w:rPr>
          <w:rFonts w:cstheme="minorHAnsi"/>
        </w:rPr>
        <w:t>The Supplier shall provide a copy of each such signed declaration to the Authority upon demand.</w:t>
      </w:r>
    </w:p>
    <w:p w14:paraId="35087C00" w14:textId="77777777" w:rsidR="004B6008" w:rsidRPr="00EB2B49" w:rsidRDefault="004B6008" w:rsidP="0056106E">
      <w:pPr>
        <w:pStyle w:val="ListParagraph"/>
        <w:numPr>
          <w:ilvl w:val="1"/>
          <w:numId w:val="27"/>
        </w:numPr>
        <w:overflowPunct/>
        <w:autoSpaceDE/>
        <w:autoSpaceDN/>
        <w:adjustRightInd/>
        <w:spacing w:after="160" w:line="259" w:lineRule="auto"/>
        <w:ind w:left="426" w:hanging="426"/>
        <w:jc w:val="left"/>
        <w:textAlignment w:val="auto"/>
        <w:rPr>
          <w:rFonts w:cstheme="minorHAnsi"/>
        </w:rPr>
      </w:pPr>
      <w:r w:rsidRPr="00EB2B49">
        <w:rPr>
          <w:rFonts w:cstheme="minorHAnsi"/>
        </w:rPr>
        <w:t>In the event that the Supplier or the Supplier Pers</w:t>
      </w:r>
      <w:r>
        <w:rPr>
          <w:rFonts w:cstheme="minorHAnsi"/>
        </w:rPr>
        <w:t>onnel fail to comply with this C</w:t>
      </w:r>
      <w:r w:rsidRPr="00EB2B49">
        <w:rPr>
          <w:rFonts w:cstheme="minorHAnsi"/>
        </w:rPr>
        <w:t>lause</w:t>
      </w:r>
      <w:r>
        <w:rPr>
          <w:rFonts w:cstheme="minorHAnsi"/>
        </w:rPr>
        <w:t xml:space="preserve"> </w:t>
      </w:r>
      <w:r>
        <w:rPr>
          <w:rFonts w:cstheme="minorHAnsi"/>
        </w:rPr>
        <w:fldChar w:fldCharType="begin"/>
      </w:r>
      <w:r>
        <w:rPr>
          <w:rFonts w:cstheme="minorHAnsi"/>
        </w:rPr>
        <w:instrText xml:space="preserve"> REF _Ref25767967 \r \h </w:instrText>
      </w:r>
      <w:r>
        <w:rPr>
          <w:rFonts w:cstheme="minorHAnsi"/>
        </w:rPr>
      </w:r>
      <w:r>
        <w:rPr>
          <w:rFonts w:cstheme="minorHAnsi"/>
        </w:rPr>
        <w:fldChar w:fldCharType="separate"/>
      </w:r>
      <w:r>
        <w:rPr>
          <w:rFonts w:cstheme="minorHAnsi"/>
        </w:rPr>
        <w:t>7</w:t>
      </w:r>
      <w:r>
        <w:rPr>
          <w:rFonts w:cstheme="minorHAnsi"/>
        </w:rPr>
        <w:fldChar w:fldCharType="end"/>
      </w:r>
      <w:r w:rsidRPr="00EB2B49">
        <w:rPr>
          <w:rFonts w:cstheme="minorHAnsi"/>
        </w:rPr>
        <w:t>, the Authority reserves the right to terminate the Agreement with immediate effect</w:t>
      </w:r>
      <w:r w:rsidRPr="00EB2B49" w:rsidDel="00920BB3">
        <w:rPr>
          <w:rFonts w:cstheme="minorHAnsi"/>
        </w:rPr>
        <w:t xml:space="preserve"> </w:t>
      </w:r>
      <w:r w:rsidRPr="00EB2B49">
        <w:rPr>
          <w:rFonts w:cstheme="minorHAnsi"/>
        </w:rPr>
        <w:t>pursuant</w:t>
      </w:r>
      <w:r w:rsidRPr="00EB2B49">
        <w:rPr>
          <w:rFonts w:cstheme="minorHAnsi"/>
          <w:bCs/>
          <w:iCs/>
        </w:rPr>
        <w:t xml:space="preserve"> to the clause that </w:t>
      </w:r>
      <w:r w:rsidRPr="00EB2B49">
        <w:rPr>
          <w:rFonts w:cstheme="minorHAnsi"/>
        </w:rPr>
        <w:t>provides the Authority the right to terminate the Agreement for Supplier fault (termination for Supplier cause).</w:t>
      </w:r>
    </w:p>
    <w:p w14:paraId="2189EC5C" w14:textId="77777777" w:rsidR="004B6008" w:rsidRPr="00EB2B49" w:rsidRDefault="004B6008" w:rsidP="004B6008">
      <w:pPr>
        <w:rPr>
          <w:rFonts w:cstheme="minorHAnsi"/>
        </w:rPr>
      </w:pPr>
    </w:p>
    <w:p w14:paraId="433D4F87" w14:textId="77777777" w:rsidR="004B6008" w:rsidRPr="00EB2B49" w:rsidRDefault="004B6008" w:rsidP="004B6008">
      <w:pPr>
        <w:jc w:val="center"/>
        <w:rPr>
          <w:rFonts w:cstheme="minorHAnsi"/>
        </w:rPr>
      </w:pPr>
      <w:r w:rsidRPr="00EB2B49">
        <w:rPr>
          <w:rFonts w:cstheme="minorHAnsi"/>
        </w:rPr>
        <w:t xml:space="preserve"> </w:t>
      </w:r>
    </w:p>
    <w:p w14:paraId="2220BA2C" w14:textId="77777777" w:rsidR="004B6008" w:rsidRPr="00EB2B49" w:rsidRDefault="004B6008" w:rsidP="004B6008">
      <w:pPr>
        <w:rPr>
          <w:rFonts w:cstheme="minorHAnsi"/>
        </w:rPr>
      </w:pPr>
    </w:p>
    <w:p w14:paraId="5C92F270" w14:textId="132D59DA" w:rsidR="004B6008" w:rsidRDefault="004B6008" w:rsidP="004B6008">
      <w:pPr>
        <w:rPr>
          <w:rFonts w:cstheme="minorHAnsi"/>
        </w:rPr>
      </w:pPr>
    </w:p>
    <w:p w14:paraId="4DDCA968" w14:textId="255BD0E0" w:rsidR="00E200E5" w:rsidRDefault="00E200E5" w:rsidP="004B6008">
      <w:pPr>
        <w:rPr>
          <w:rFonts w:cstheme="minorHAnsi"/>
        </w:rPr>
      </w:pPr>
    </w:p>
    <w:p w14:paraId="4E68EFE6" w14:textId="2AC8322F" w:rsidR="00E200E5" w:rsidRDefault="00E200E5" w:rsidP="004B6008">
      <w:pPr>
        <w:rPr>
          <w:rFonts w:cstheme="minorHAnsi"/>
        </w:rPr>
      </w:pPr>
    </w:p>
    <w:p w14:paraId="5D39F091" w14:textId="12CECD0F" w:rsidR="00E200E5" w:rsidRDefault="00E200E5" w:rsidP="004B6008">
      <w:pPr>
        <w:rPr>
          <w:rFonts w:cstheme="minorHAnsi"/>
        </w:rPr>
      </w:pPr>
    </w:p>
    <w:p w14:paraId="229D7EE2" w14:textId="77777777" w:rsidR="00E200E5" w:rsidRPr="00EB2B49" w:rsidRDefault="00E200E5" w:rsidP="004B6008">
      <w:pPr>
        <w:rPr>
          <w:rFonts w:cstheme="minorHAnsi"/>
        </w:rPr>
      </w:pPr>
    </w:p>
    <w:p w14:paraId="26757E02" w14:textId="77777777" w:rsidR="00E200E5" w:rsidRDefault="00E200E5" w:rsidP="00E200E5">
      <w:pPr>
        <w:overflowPunct/>
        <w:autoSpaceDE/>
        <w:autoSpaceDN/>
        <w:adjustRightInd/>
        <w:spacing w:after="0"/>
        <w:ind w:left="0"/>
        <w:jc w:val="left"/>
        <w:rPr>
          <w:b/>
          <w:bCs/>
          <w:sz w:val="21"/>
          <w:szCs w:val="21"/>
          <w:bdr w:val="none" w:sz="0" w:space="0" w:color="auto" w:frame="1"/>
          <w:lang w:val="en" w:eastAsia="en-GB"/>
        </w:rPr>
        <w:sectPr w:rsidR="00E200E5">
          <w:headerReference w:type="even" r:id="rId9"/>
          <w:headerReference w:type="default" r:id="rId10"/>
          <w:footerReference w:type="default" r:id="rId11"/>
          <w:footerReference w:type="first" r:id="rId12"/>
          <w:endnotePr>
            <w:numFmt w:val="decimal"/>
          </w:endnotePr>
          <w:type w:val="continuous"/>
          <w:pgSz w:w="11907" w:h="16839" w:code="9"/>
          <w:pgMar w:top="1560" w:right="1417" w:bottom="1440" w:left="1440" w:header="425" w:footer="720" w:gutter="0"/>
          <w:cols w:space="720"/>
          <w:titlePg/>
          <w:docGrid w:linePitch="299"/>
        </w:sectPr>
      </w:pPr>
    </w:p>
    <w:p w14:paraId="6C8C669B" w14:textId="7E63F405" w:rsidR="004B6008" w:rsidRDefault="00E95828" w:rsidP="00E95828">
      <w:pPr>
        <w:overflowPunct/>
        <w:autoSpaceDE/>
        <w:autoSpaceDN/>
        <w:adjustRightInd/>
        <w:spacing w:after="0"/>
        <w:ind w:left="0" w:firstLine="720"/>
        <w:jc w:val="left"/>
        <w:rPr>
          <w:b/>
          <w:bCs/>
          <w:sz w:val="21"/>
          <w:szCs w:val="21"/>
          <w:bdr w:val="none" w:sz="0" w:space="0" w:color="auto" w:frame="1"/>
          <w:lang w:val="en" w:eastAsia="en-GB"/>
        </w:rPr>
      </w:pPr>
      <w:r>
        <w:rPr>
          <w:b/>
          <w:bCs/>
          <w:sz w:val="21"/>
          <w:szCs w:val="21"/>
          <w:bdr w:val="none" w:sz="0" w:space="0" w:color="auto" w:frame="1"/>
          <w:lang w:val="en" w:eastAsia="en-GB"/>
        </w:rPr>
        <w:lastRenderedPageBreak/>
        <w:t>Schedule</w:t>
      </w:r>
      <w:r w:rsidR="00E200E5">
        <w:rPr>
          <w:b/>
          <w:bCs/>
          <w:sz w:val="21"/>
          <w:szCs w:val="21"/>
          <w:bdr w:val="none" w:sz="0" w:space="0" w:color="auto" w:frame="1"/>
          <w:lang w:val="en" w:eastAsia="en-GB"/>
        </w:rPr>
        <w:t xml:space="preserve"> B</w:t>
      </w:r>
    </w:p>
    <w:p w14:paraId="1373C453" w14:textId="7BBF1579" w:rsidR="00E200E5" w:rsidRPr="002335A9" w:rsidRDefault="00E95828" w:rsidP="00E95828">
      <w:pPr>
        <w:pStyle w:val="Heading3"/>
      </w:pPr>
      <w:bookmarkStart w:id="25" w:name="_Toc447529906"/>
      <w:r>
        <w:t xml:space="preserve">            </w:t>
      </w:r>
      <w:r w:rsidR="00E200E5" w:rsidRPr="00020F5E">
        <w:t>Security Plan</w:t>
      </w:r>
      <w:bookmarkEnd w:id="25"/>
    </w:p>
    <w:p w14:paraId="5B3F62DE" w14:textId="77777777" w:rsidR="00E200E5" w:rsidRPr="0092387A" w:rsidRDefault="00E200E5" w:rsidP="00E95828">
      <w:pPr>
        <w:ind w:left="0"/>
        <w:rPr>
          <w:b/>
        </w:rPr>
      </w:pPr>
    </w:p>
    <w:tbl>
      <w:tblPr>
        <w:tblW w:w="147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4760"/>
      </w:tblGrid>
      <w:tr w:rsidR="00E200E5" w:rsidRPr="004D2F02" w14:paraId="61A342E2" w14:textId="77777777" w:rsidTr="00E200E5">
        <w:trPr>
          <w:cantSplit/>
        </w:trPr>
        <w:tc>
          <w:tcPr>
            <w:tcW w:w="14760" w:type="dxa"/>
            <w:shd w:val="clear" w:color="auto" w:fill="4472C4"/>
          </w:tcPr>
          <w:p w14:paraId="29C0B9C3" w14:textId="77777777" w:rsidR="00E200E5" w:rsidRPr="004E527A" w:rsidRDefault="00E200E5" w:rsidP="00E95828">
            <w:pPr>
              <w:ind w:left="0"/>
            </w:pPr>
            <w:r w:rsidRPr="004E527A">
              <w:rPr>
                <w:b/>
                <w:color w:val="FFFFFF"/>
              </w:rPr>
              <w:t>Background</w:t>
            </w:r>
          </w:p>
        </w:tc>
      </w:tr>
      <w:tr w:rsidR="00E200E5" w:rsidRPr="004D2F02" w14:paraId="7F385E80" w14:textId="77777777" w:rsidTr="00E200E5">
        <w:trPr>
          <w:cantSplit/>
        </w:trPr>
        <w:tc>
          <w:tcPr>
            <w:tcW w:w="14760" w:type="dxa"/>
            <w:shd w:val="clear" w:color="auto" w:fill="FFFFFF"/>
          </w:tcPr>
          <w:p w14:paraId="4F49B829" w14:textId="77777777" w:rsidR="00E200E5" w:rsidRPr="004E527A" w:rsidRDefault="00E200E5" w:rsidP="00E95828">
            <w:pPr>
              <w:spacing w:after="0"/>
              <w:ind w:left="0"/>
            </w:pPr>
            <w:r w:rsidRPr="004E527A">
              <w:t>The Contractor is required to prepare a Security Plan in accordance with the HMRC’s Security Policy.</w:t>
            </w:r>
          </w:p>
          <w:p w14:paraId="5A2AD17D" w14:textId="77777777" w:rsidR="00E200E5" w:rsidRPr="004E527A" w:rsidRDefault="00E200E5" w:rsidP="00E95828">
            <w:pPr>
              <w:spacing w:after="0"/>
              <w:ind w:left="0"/>
            </w:pPr>
            <w:r w:rsidRPr="004E527A">
              <w:t>The requirements set out in this Security Plan also apply to any sub-contractors engaged by the Contractor to perform any of the services under the Contract.</w:t>
            </w:r>
          </w:p>
          <w:p w14:paraId="37B38506" w14:textId="77777777" w:rsidR="00E200E5" w:rsidRPr="004E527A" w:rsidRDefault="00E200E5" w:rsidP="00E95828">
            <w:pPr>
              <w:spacing w:after="0"/>
              <w:ind w:left="0"/>
            </w:pPr>
            <w:r w:rsidRPr="004E527A">
              <w:t>HMRC has developed a standard set of questions and recommendations (see attached Appendices) to ensure consistency across relevant contracts. The Contractor is required to provide answers to the standard set of questions contained within this questionnaire to formulate the initial Security Plan.</w:t>
            </w:r>
          </w:p>
          <w:p w14:paraId="7D02FE22" w14:textId="77777777" w:rsidR="00E200E5" w:rsidRPr="004E527A" w:rsidRDefault="00E200E5" w:rsidP="00E95828">
            <w:pPr>
              <w:spacing w:after="0"/>
              <w:ind w:left="0"/>
            </w:pPr>
            <w:r w:rsidRPr="004E527A">
              <w:t>This Security Questionnaire covers the principles of protective security to be applied in delivering the services in accordance with HMRC's Security Policy and Standards</w:t>
            </w:r>
          </w:p>
          <w:p w14:paraId="76DC5F13" w14:textId="77777777" w:rsidR="00E200E5" w:rsidRPr="004E527A" w:rsidRDefault="00E200E5" w:rsidP="00E95828">
            <w:pPr>
              <w:spacing w:after="0"/>
              <w:ind w:left="0"/>
            </w:pPr>
            <w:r w:rsidRPr="004E527A">
              <w:t xml:space="preserve">The Contractor’s response to this questionnaire, with any subsequent amendments as may be agreed as part of a clarification process, will be included in the signed version of any resulting agreement, as confirmation that the content of the Security Plan has been agreed with HMRC. </w:t>
            </w:r>
          </w:p>
        </w:tc>
      </w:tr>
      <w:tr w:rsidR="00E200E5" w:rsidRPr="004D2F02" w14:paraId="5D09E985" w14:textId="77777777" w:rsidTr="00E200E5">
        <w:trPr>
          <w:cantSplit/>
        </w:trPr>
        <w:tc>
          <w:tcPr>
            <w:tcW w:w="14760" w:type="dxa"/>
            <w:shd w:val="clear" w:color="auto" w:fill="4472C4"/>
          </w:tcPr>
          <w:p w14:paraId="308E456B" w14:textId="77777777" w:rsidR="00E200E5" w:rsidRPr="004E527A" w:rsidRDefault="00E200E5" w:rsidP="00E95828">
            <w:pPr>
              <w:spacing w:after="0"/>
              <w:ind w:left="0"/>
            </w:pPr>
            <w:r w:rsidRPr="004E527A">
              <w:rPr>
                <w:b/>
                <w:color w:val="FFFFFF"/>
              </w:rPr>
              <w:t xml:space="preserve"> 1 Policy &amp; Standards</w:t>
            </w:r>
          </w:p>
        </w:tc>
      </w:tr>
      <w:tr w:rsidR="00E200E5" w:rsidRPr="004D2F02" w14:paraId="08F403A5" w14:textId="77777777" w:rsidTr="00E200E5">
        <w:trPr>
          <w:cantSplit/>
        </w:trPr>
        <w:tc>
          <w:tcPr>
            <w:tcW w:w="14760" w:type="dxa"/>
            <w:shd w:val="clear" w:color="auto" w:fill="FFFFFF"/>
          </w:tcPr>
          <w:p w14:paraId="60507060" w14:textId="77777777" w:rsidR="00E200E5" w:rsidRPr="004E527A" w:rsidRDefault="00E200E5" w:rsidP="00E95828">
            <w:pPr>
              <w:spacing w:after="0"/>
              <w:ind w:left="0"/>
              <w:rPr>
                <w:b/>
              </w:rPr>
            </w:pPr>
            <w:r w:rsidRPr="004E527A">
              <w:rPr>
                <w:b/>
              </w:rPr>
              <w:t xml:space="preserve">1a </w:t>
            </w:r>
            <w:r w:rsidRPr="004E527A">
              <w:t>Please confirm that you understand that your responses to this questionnaire will form the initial Security Plan and will be included in the final signed version of any resulting agreement.</w:t>
            </w:r>
          </w:p>
        </w:tc>
      </w:tr>
      <w:tr w:rsidR="00E200E5" w:rsidRPr="004D2F02" w14:paraId="72D01619" w14:textId="77777777" w:rsidTr="00E200E5">
        <w:trPr>
          <w:cantSplit/>
        </w:trPr>
        <w:tc>
          <w:tcPr>
            <w:tcW w:w="14760" w:type="dxa"/>
            <w:shd w:val="clear" w:color="auto" w:fill="FFFFFF"/>
          </w:tcPr>
          <w:p w14:paraId="143C9295" w14:textId="77777777" w:rsidR="00E200E5" w:rsidRPr="004E527A" w:rsidRDefault="00E200E5" w:rsidP="00E95828">
            <w:pPr>
              <w:spacing w:after="0"/>
              <w:ind w:left="0"/>
            </w:pPr>
            <w:r w:rsidRPr="004E527A">
              <w:rPr>
                <w:b/>
              </w:rPr>
              <w:t>1b</w:t>
            </w:r>
            <w:r w:rsidRPr="004E527A">
              <w:t xml:space="preserve"> Please confirm your organisation and any subcontractors' will conform to the requirements set out in the Government Security Policy Framework (SPF), available from </w:t>
            </w:r>
            <w:hyperlink r:id="rId13" w:history="1">
              <w:r>
                <w:rPr>
                  <w:rStyle w:val="Hyperlink"/>
                </w:rPr>
                <w:t>Security Policy Framework</w:t>
              </w:r>
            </w:hyperlink>
            <w:r w:rsidRPr="004E527A">
              <w:t xml:space="preserve"> and any Security Requirements recorded in the schedules and/or Order Form.</w:t>
            </w:r>
          </w:p>
        </w:tc>
      </w:tr>
      <w:tr w:rsidR="00E200E5" w:rsidRPr="004D2F02" w14:paraId="1A57A02A" w14:textId="77777777" w:rsidTr="00E200E5">
        <w:trPr>
          <w:cantSplit/>
        </w:trPr>
        <w:tc>
          <w:tcPr>
            <w:tcW w:w="14760" w:type="dxa"/>
            <w:shd w:val="clear" w:color="auto" w:fill="FFFFFF"/>
          </w:tcPr>
          <w:p w14:paraId="33ECB139" w14:textId="77777777" w:rsidR="00E200E5" w:rsidRPr="004E527A" w:rsidRDefault="00E200E5" w:rsidP="00E95828">
            <w:pPr>
              <w:spacing w:after="0"/>
              <w:ind w:left="0"/>
            </w:pPr>
            <w:r w:rsidRPr="004E527A">
              <w:rPr>
                <w:b/>
              </w:rPr>
              <w:t>1c</w:t>
            </w:r>
            <w:r w:rsidRPr="004E527A">
              <w:t xml:space="preserve"> If you believe that the </w:t>
            </w:r>
            <w:hyperlink r:id="rId14" w:history="1">
              <w:r w:rsidRPr="004E527A">
                <w:rPr>
                  <w:rStyle w:val="Hyperlink"/>
                </w:rPr>
                <w:t>Public Sector Network (PSN)</w:t>
              </w:r>
            </w:hyperlink>
            <w:r w:rsidRPr="004E527A">
              <w:t xml:space="preserve"> Code of Connection, available from www.gov.uk, will apply to your organisation and any sub-contractors, please provide details of how you will conform to this.</w:t>
            </w:r>
          </w:p>
        </w:tc>
      </w:tr>
      <w:tr w:rsidR="00E200E5" w:rsidRPr="004D2F02" w14:paraId="0667592A" w14:textId="77777777" w:rsidTr="00E200E5">
        <w:trPr>
          <w:cantSplit/>
          <w:trHeight w:val="558"/>
        </w:trPr>
        <w:tc>
          <w:tcPr>
            <w:tcW w:w="14760" w:type="dxa"/>
            <w:shd w:val="clear" w:color="auto" w:fill="FFFFFF"/>
          </w:tcPr>
          <w:p w14:paraId="2EA83789" w14:textId="77777777" w:rsidR="00E200E5" w:rsidRPr="004E527A" w:rsidRDefault="00E200E5" w:rsidP="00E95828">
            <w:pPr>
              <w:spacing w:after="0"/>
              <w:ind w:left="0"/>
            </w:pPr>
            <w:r w:rsidRPr="004E527A">
              <w:rPr>
                <w:b/>
              </w:rPr>
              <w:t xml:space="preserve">1d </w:t>
            </w:r>
            <w:r w:rsidRPr="004E527A">
              <w:t xml:space="preserve">Please confirm that your organisation and any sub-contractors will handle HMRC assets in accordance with legislation including the </w:t>
            </w:r>
            <w:r>
              <w:t xml:space="preserve">General </w:t>
            </w:r>
            <w:r w:rsidRPr="004E527A">
              <w:t xml:space="preserve">Data Protection </w:t>
            </w:r>
            <w:r>
              <w:t>Regulation</w:t>
            </w:r>
            <w:r w:rsidRPr="004E527A">
              <w:t xml:space="preserve"> see </w:t>
            </w:r>
            <w:hyperlink r:id="rId15" w:history="1">
              <w:r>
                <w:rPr>
                  <w:rStyle w:val="Hyperlink"/>
                </w:rPr>
                <w:t>GDPR</w:t>
              </w:r>
            </w:hyperlink>
            <w:r w:rsidRPr="004E527A">
              <w:t xml:space="preserve"> and in accordance with Clause </w:t>
            </w:r>
            <w:r>
              <w:t>23</w:t>
            </w:r>
            <w:r w:rsidRPr="004E527A">
              <w:t xml:space="preserve"> </w:t>
            </w:r>
            <w:r>
              <w:t>(</w:t>
            </w:r>
            <w:r w:rsidRPr="00774ACF">
              <w:rPr>
                <w:i/>
              </w:rPr>
              <w:t>Protection of Personal Data</w:t>
            </w:r>
            <w:r>
              <w:t xml:space="preserve">) </w:t>
            </w:r>
            <w:r w:rsidRPr="004E527A">
              <w:t>of the Contract..</w:t>
            </w:r>
          </w:p>
        </w:tc>
      </w:tr>
      <w:tr w:rsidR="00E200E5" w:rsidRPr="004D2F02" w14:paraId="00186864" w14:textId="77777777" w:rsidTr="00E200E5">
        <w:trPr>
          <w:cantSplit/>
          <w:trHeight w:val="132"/>
        </w:trPr>
        <w:tc>
          <w:tcPr>
            <w:tcW w:w="14760" w:type="dxa"/>
            <w:shd w:val="clear" w:color="auto" w:fill="FFFFFF"/>
          </w:tcPr>
          <w:p w14:paraId="45D4644B" w14:textId="77777777" w:rsidR="00E200E5" w:rsidRPr="004E527A" w:rsidRDefault="00E200E5" w:rsidP="00E95828">
            <w:pPr>
              <w:spacing w:after="0"/>
              <w:ind w:left="0"/>
              <w:rPr>
                <w:b/>
              </w:rPr>
            </w:pPr>
            <w:r w:rsidRPr="004E527A">
              <w:rPr>
                <w:b/>
              </w:rPr>
              <w:t>1e</w:t>
            </w:r>
            <w:r w:rsidRPr="004E527A">
              <w:t xml:space="preserve"> Please confirm </w:t>
            </w:r>
            <w:r>
              <w:t>that you have paid the Data Protection Fee to the ICO or that you fall into one of the exempt categories</w:t>
            </w:r>
            <w:r w:rsidRPr="004E527A">
              <w:t xml:space="preserve">. More information can be found </w:t>
            </w:r>
            <w:hyperlink r:id="rId16" w:history="1">
              <w:r w:rsidRPr="00B15863">
                <w:rPr>
                  <w:rStyle w:val="Hyperlink"/>
                </w:rPr>
                <w:t>here</w:t>
              </w:r>
            </w:hyperlink>
          </w:p>
        </w:tc>
      </w:tr>
      <w:tr w:rsidR="00E200E5" w:rsidRPr="004D2F02" w14:paraId="4192FB16" w14:textId="77777777" w:rsidTr="00E200E5">
        <w:trPr>
          <w:cantSplit/>
          <w:trHeight w:val="558"/>
        </w:trPr>
        <w:tc>
          <w:tcPr>
            <w:tcW w:w="14760" w:type="dxa"/>
            <w:shd w:val="clear" w:color="auto" w:fill="FFFFFF"/>
          </w:tcPr>
          <w:p w14:paraId="43698152" w14:textId="77777777" w:rsidR="00E200E5" w:rsidRPr="004E527A" w:rsidRDefault="00E200E5" w:rsidP="00E95828">
            <w:pPr>
              <w:spacing w:after="0"/>
              <w:ind w:left="0"/>
            </w:pPr>
            <w:r w:rsidRPr="004E527A">
              <w:rPr>
                <w:b/>
              </w:rPr>
              <w:t xml:space="preserve">1f </w:t>
            </w:r>
            <w:r w:rsidRPr="004E527A">
              <w:t>Please provide details of any security accreditation that your organisation currently possesses, such as but not exclusive to, ISO27001 and PCI DSS and describe the process used for achieving the accreditation.</w:t>
            </w:r>
          </w:p>
        </w:tc>
      </w:tr>
      <w:tr w:rsidR="00E200E5" w:rsidRPr="004D2F02" w14:paraId="188674D7" w14:textId="77777777" w:rsidTr="00E200E5">
        <w:trPr>
          <w:cantSplit/>
        </w:trPr>
        <w:tc>
          <w:tcPr>
            <w:tcW w:w="14760" w:type="dxa"/>
            <w:tcBorders>
              <w:bottom w:val="single" w:sz="4" w:space="0" w:color="auto"/>
            </w:tcBorders>
            <w:shd w:val="clear" w:color="auto" w:fill="FFFFFF"/>
          </w:tcPr>
          <w:p w14:paraId="6A58CE28" w14:textId="77777777" w:rsidR="00E200E5" w:rsidRDefault="00E200E5" w:rsidP="00E95828">
            <w:pPr>
              <w:spacing w:after="0"/>
              <w:ind w:left="0"/>
            </w:pPr>
            <w:r w:rsidRPr="004E527A">
              <w:rPr>
                <w:b/>
              </w:rPr>
              <w:t>1g</w:t>
            </w:r>
            <w:r w:rsidRPr="004E527A">
              <w:t xml:space="preserve"> If you intend to involve sub-contractors at any stage during the Contract please list them and provide details of how you will ensure their compliance with all aspects of this Security Plan.</w:t>
            </w:r>
          </w:p>
          <w:p w14:paraId="3EB7495E" w14:textId="0582147E" w:rsidR="00E95828" w:rsidRPr="004E527A" w:rsidRDefault="00E95828" w:rsidP="00E95828">
            <w:pPr>
              <w:spacing w:after="0"/>
              <w:ind w:left="0"/>
            </w:pPr>
          </w:p>
        </w:tc>
      </w:tr>
      <w:tr w:rsidR="00E200E5" w:rsidRPr="004D2F02" w14:paraId="38FB5CBD" w14:textId="77777777" w:rsidTr="00E200E5">
        <w:trPr>
          <w:cantSplit/>
        </w:trPr>
        <w:tc>
          <w:tcPr>
            <w:tcW w:w="14760" w:type="dxa"/>
            <w:shd w:val="clear" w:color="auto" w:fill="99CCFF"/>
          </w:tcPr>
          <w:p w14:paraId="793D1FD6" w14:textId="77777777" w:rsidR="00E200E5" w:rsidRPr="004E527A" w:rsidRDefault="00E200E5" w:rsidP="00E95828">
            <w:pPr>
              <w:spacing w:after="0"/>
              <w:ind w:left="0"/>
            </w:pPr>
            <w:r w:rsidRPr="004E527A">
              <w:rPr>
                <w:b/>
              </w:rPr>
              <w:lastRenderedPageBreak/>
              <w:t>2 Physical Security</w:t>
            </w:r>
            <w:r w:rsidRPr="004E527A">
              <w:t xml:space="preserve"> (For requirements please see Appendix A – Physical Security)</w:t>
            </w:r>
          </w:p>
        </w:tc>
      </w:tr>
      <w:tr w:rsidR="00E200E5" w:rsidRPr="004D2F02" w14:paraId="4095D4D9" w14:textId="77777777" w:rsidTr="00E200E5">
        <w:trPr>
          <w:cantSplit/>
        </w:trPr>
        <w:tc>
          <w:tcPr>
            <w:tcW w:w="14760" w:type="dxa"/>
            <w:shd w:val="clear" w:color="auto" w:fill="FFFFFF"/>
          </w:tcPr>
          <w:p w14:paraId="1E218C37" w14:textId="77777777" w:rsidR="00E200E5" w:rsidRPr="004E527A" w:rsidRDefault="00E200E5" w:rsidP="00E95828">
            <w:pPr>
              <w:spacing w:after="0"/>
              <w:ind w:left="0"/>
            </w:pPr>
            <w:r w:rsidRPr="004E527A">
              <w:rPr>
                <w:b/>
              </w:rPr>
              <w:t>2a</w:t>
            </w:r>
            <w:r w:rsidRPr="004E527A">
              <w:t xml:space="preserve"> </w:t>
            </w:r>
            <w:proofErr w:type="gramStart"/>
            <w:r w:rsidRPr="004E527A">
              <w:t>For</w:t>
            </w:r>
            <w:proofErr w:type="gramEnd"/>
            <w:r w:rsidRPr="004E527A">
              <w:t xml:space="preserve"> the locations where HMRC assets are held please provide details of any procedures and security in place designed to control access to the site perimeter.</w:t>
            </w:r>
          </w:p>
          <w:p w14:paraId="080CCD63" w14:textId="77777777" w:rsidR="00E200E5" w:rsidRPr="004E527A" w:rsidRDefault="00E200E5" w:rsidP="00E95828">
            <w:pPr>
              <w:spacing w:after="0"/>
              <w:ind w:left="0"/>
            </w:pPr>
            <w:r w:rsidRPr="004E527A">
              <w:t>Detail measures such as fencing, CCTV, guarding, and procedures and controls in place to handle staff and visitors requesting access to the site.</w:t>
            </w:r>
          </w:p>
          <w:p w14:paraId="6E2FF34D" w14:textId="77777777" w:rsidR="00E200E5" w:rsidRPr="004E527A" w:rsidRDefault="00E200E5" w:rsidP="00E95828">
            <w:pPr>
              <w:spacing w:after="0"/>
              <w:ind w:left="0"/>
            </w:pPr>
            <w:r w:rsidRPr="004E527A">
              <w:t>Please also provide details of the maintenance schedule of your security controls.</w:t>
            </w:r>
          </w:p>
        </w:tc>
      </w:tr>
      <w:tr w:rsidR="00E200E5" w:rsidRPr="004D2F02" w14:paraId="5AB66884" w14:textId="77777777" w:rsidTr="00E200E5">
        <w:trPr>
          <w:cantSplit/>
          <w:trHeight w:val="589"/>
        </w:trPr>
        <w:tc>
          <w:tcPr>
            <w:tcW w:w="14760" w:type="dxa"/>
            <w:tcBorders>
              <w:bottom w:val="single" w:sz="4" w:space="0" w:color="auto"/>
            </w:tcBorders>
            <w:shd w:val="clear" w:color="auto" w:fill="FFFFFF"/>
          </w:tcPr>
          <w:p w14:paraId="4F1356AF" w14:textId="77777777" w:rsidR="00E200E5" w:rsidRPr="004E527A" w:rsidRDefault="00E200E5" w:rsidP="00E95828">
            <w:pPr>
              <w:spacing w:after="0"/>
              <w:ind w:left="0"/>
            </w:pPr>
            <w:r w:rsidRPr="004E527A">
              <w:rPr>
                <w:b/>
              </w:rPr>
              <w:t>2b</w:t>
            </w:r>
            <w:r w:rsidRPr="004E527A">
              <w:t xml:space="preserve"> Please provide details of the building where the service will operate from and describe the procedures and security in place to control access to premises and any areas holding HMRC assets.</w:t>
            </w:r>
          </w:p>
          <w:p w14:paraId="33F146D9" w14:textId="77777777" w:rsidR="00E200E5" w:rsidRPr="004E527A" w:rsidRDefault="00E200E5" w:rsidP="00E95828">
            <w:pPr>
              <w:spacing w:after="0"/>
              <w:ind w:left="0"/>
            </w:pPr>
            <w:r w:rsidRPr="004E527A">
              <w:t xml:space="preserve">Detail measures such as building construction type, availability of lockable storage, procedures covering end of day/silent hours, key management, visitor controls. Please also include details of any automated access controls, alarms and CCTV coverage. </w:t>
            </w:r>
          </w:p>
          <w:p w14:paraId="4A37D36A" w14:textId="77777777" w:rsidR="00E200E5" w:rsidRPr="004E527A" w:rsidRDefault="00E200E5" w:rsidP="00E95828">
            <w:pPr>
              <w:spacing w:after="0"/>
              <w:ind w:left="0"/>
              <w:rPr>
                <w:b/>
              </w:rPr>
            </w:pPr>
            <w:r w:rsidRPr="004E527A">
              <w:t>Please also provide details of the maintenance schedule of these security controls.</w:t>
            </w:r>
          </w:p>
        </w:tc>
      </w:tr>
      <w:tr w:rsidR="00E200E5" w:rsidRPr="004D2F02" w14:paraId="4BC2CD35" w14:textId="77777777" w:rsidTr="00E200E5">
        <w:trPr>
          <w:cantSplit/>
        </w:trPr>
        <w:tc>
          <w:tcPr>
            <w:tcW w:w="14760" w:type="dxa"/>
            <w:shd w:val="clear" w:color="auto" w:fill="99CCFF"/>
          </w:tcPr>
          <w:p w14:paraId="22D47615" w14:textId="77777777" w:rsidR="00E200E5" w:rsidRPr="004E527A" w:rsidRDefault="00E200E5" w:rsidP="00E95828">
            <w:pPr>
              <w:ind w:left="0"/>
            </w:pPr>
            <w:r w:rsidRPr="004E527A">
              <w:rPr>
                <w:b/>
              </w:rPr>
              <w:t>3 IT Security</w:t>
            </w:r>
            <w:r w:rsidRPr="004E527A">
              <w:t xml:space="preserve"> (For requirements please see Appendix B – IT Security) </w:t>
            </w:r>
          </w:p>
        </w:tc>
      </w:tr>
      <w:tr w:rsidR="00E200E5" w:rsidRPr="004D2F02" w14:paraId="4A2E45D2" w14:textId="77777777" w:rsidTr="00E200E5">
        <w:trPr>
          <w:cantSplit/>
        </w:trPr>
        <w:tc>
          <w:tcPr>
            <w:tcW w:w="14760" w:type="dxa"/>
            <w:shd w:val="clear" w:color="auto" w:fill="FFFFFF"/>
          </w:tcPr>
          <w:p w14:paraId="0B475255" w14:textId="77777777" w:rsidR="00E200E5" w:rsidRPr="004E527A" w:rsidRDefault="00E200E5" w:rsidP="00E95828">
            <w:pPr>
              <w:spacing w:after="0"/>
              <w:ind w:left="0"/>
              <w:rPr>
                <w:b/>
              </w:rPr>
            </w:pPr>
            <w:r w:rsidRPr="004E527A">
              <w:rPr>
                <w:b/>
              </w:rPr>
              <w:t xml:space="preserve">3a </w:t>
            </w:r>
            <w:r w:rsidRPr="004E527A">
              <w:t xml:space="preserve">Please state what, if any, form of assessment in relation to the Government backed Cyber Essentials Scheme has been performed. If no assessment has been </w:t>
            </w:r>
            <w:proofErr w:type="gramStart"/>
            <w:r w:rsidRPr="004E527A">
              <w:t>performed</w:t>
            </w:r>
            <w:proofErr w:type="gramEnd"/>
            <w:r w:rsidRPr="004E527A">
              <w:t xml:space="preserve"> please state when you expect it to be completed.</w:t>
            </w:r>
          </w:p>
        </w:tc>
      </w:tr>
      <w:tr w:rsidR="00E200E5" w:rsidRPr="004D2F02" w14:paraId="6E2FD698" w14:textId="77777777" w:rsidTr="00E200E5">
        <w:trPr>
          <w:cantSplit/>
          <w:trHeight w:val="709"/>
        </w:trPr>
        <w:tc>
          <w:tcPr>
            <w:tcW w:w="14760" w:type="dxa"/>
            <w:shd w:val="clear" w:color="auto" w:fill="FFFFFF"/>
          </w:tcPr>
          <w:p w14:paraId="6C3952F1" w14:textId="77777777" w:rsidR="00E200E5" w:rsidRPr="004E527A" w:rsidRDefault="00E200E5" w:rsidP="00E95828">
            <w:pPr>
              <w:spacing w:after="0"/>
              <w:ind w:left="0"/>
            </w:pPr>
            <w:r w:rsidRPr="004E527A">
              <w:rPr>
                <w:b/>
              </w:rPr>
              <w:t>3b</w:t>
            </w:r>
            <w:r w:rsidRPr="004E527A">
              <w:t xml:space="preserve"> Please provide details of the controls and processes you have in place covering patching, malware (anti-virus), boundary/network security (intruder detection), content checking/blocking (filters), lockdown (prevention), and how regularly you update them.</w:t>
            </w:r>
          </w:p>
        </w:tc>
      </w:tr>
      <w:tr w:rsidR="00E200E5" w:rsidRPr="004D2F02" w14:paraId="40930744" w14:textId="77777777" w:rsidTr="00E200E5">
        <w:trPr>
          <w:cantSplit/>
          <w:trHeight w:val="1248"/>
        </w:trPr>
        <w:tc>
          <w:tcPr>
            <w:tcW w:w="14760" w:type="dxa"/>
            <w:shd w:val="clear" w:color="auto" w:fill="FFFFFF"/>
          </w:tcPr>
          <w:p w14:paraId="3C48668D" w14:textId="77777777" w:rsidR="00E200E5" w:rsidRPr="004E527A" w:rsidRDefault="00E200E5" w:rsidP="00E95828">
            <w:pPr>
              <w:spacing w:after="0"/>
              <w:ind w:left="0"/>
            </w:pPr>
            <w:r w:rsidRPr="004E527A">
              <w:rPr>
                <w:b/>
              </w:rPr>
              <w:t>3c</w:t>
            </w:r>
            <w:r w:rsidRPr="004E527A">
              <w:t xml:space="preserve"> Please provide details of the overall security and access control policy of your systems covering physical and electronic assets (including communications connection equipment, e.g. bridge, routers, patch panels). You should record details of the formal registration/deregistration process, how users are Authorised, Authenticated and held Accountable for their actions. Also Include details of the measures in place to manage privilege access e.g. System Administrators and remote users.</w:t>
            </w:r>
          </w:p>
        </w:tc>
      </w:tr>
      <w:tr w:rsidR="00E200E5" w:rsidRPr="004D2F02" w14:paraId="534D8D0F" w14:textId="77777777" w:rsidTr="00E200E5">
        <w:trPr>
          <w:cantSplit/>
          <w:trHeight w:val="892"/>
        </w:trPr>
        <w:tc>
          <w:tcPr>
            <w:tcW w:w="14760" w:type="dxa"/>
            <w:shd w:val="clear" w:color="auto" w:fill="FFFFFF"/>
          </w:tcPr>
          <w:p w14:paraId="638A7F96" w14:textId="77777777" w:rsidR="00E200E5" w:rsidRPr="004E527A" w:rsidRDefault="00E200E5" w:rsidP="00E95828">
            <w:pPr>
              <w:spacing w:after="0"/>
              <w:ind w:left="0"/>
              <w:rPr>
                <w:b/>
              </w:rPr>
            </w:pPr>
            <w:r w:rsidRPr="004E527A">
              <w:rPr>
                <w:b/>
              </w:rPr>
              <w:t>3d</w:t>
            </w:r>
            <w:r w:rsidRPr="004E527A">
              <w:t xml:space="preserve"> Please provide details of how your security and access control policy complies with Security Policy Framework requirements including where necessary, use and control of </w:t>
            </w:r>
            <w:proofErr w:type="spellStart"/>
            <w:r w:rsidRPr="004E527A">
              <w:t>back up</w:t>
            </w:r>
            <w:proofErr w:type="spellEnd"/>
            <w:r w:rsidRPr="004E527A">
              <w:t xml:space="preserve"> systems, network storage and segregation of HMRC data (including 'cloud' solutions), and additional security for more sensitive information assets. </w:t>
            </w:r>
          </w:p>
        </w:tc>
      </w:tr>
      <w:tr w:rsidR="00E200E5" w:rsidRPr="004D2F02" w14:paraId="0BEFF3E8" w14:textId="77777777" w:rsidTr="00E200E5">
        <w:trPr>
          <w:cantSplit/>
          <w:trHeight w:val="645"/>
        </w:trPr>
        <w:tc>
          <w:tcPr>
            <w:tcW w:w="14760" w:type="dxa"/>
            <w:shd w:val="clear" w:color="auto" w:fill="FFFFFF"/>
          </w:tcPr>
          <w:p w14:paraId="6129640B" w14:textId="77777777" w:rsidR="00E200E5" w:rsidRPr="004E527A" w:rsidRDefault="00E200E5" w:rsidP="00E95828">
            <w:pPr>
              <w:spacing w:after="0"/>
              <w:ind w:left="0"/>
            </w:pPr>
            <w:r w:rsidRPr="004E527A">
              <w:rPr>
                <w:b/>
              </w:rPr>
              <w:t xml:space="preserve">3e </w:t>
            </w:r>
            <w:r w:rsidRPr="004E527A">
              <w:t>Please describe how you ensure all software and data is approved before being installed and how your information systems are reviewed for compliance with security implementation standards (e.g. penetration testing).</w:t>
            </w:r>
          </w:p>
        </w:tc>
      </w:tr>
      <w:tr w:rsidR="00E200E5" w:rsidRPr="004D2F02" w14:paraId="5CE9E71A" w14:textId="77777777" w:rsidTr="00E200E5">
        <w:trPr>
          <w:cantSplit/>
          <w:trHeight w:val="652"/>
        </w:trPr>
        <w:tc>
          <w:tcPr>
            <w:tcW w:w="14760" w:type="dxa"/>
            <w:shd w:val="clear" w:color="auto" w:fill="FFFFFF"/>
          </w:tcPr>
          <w:p w14:paraId="0F6CD311" w14:textId="77777777" w:rsidR="00E200E5" w:rsidRPr="004E527A" w:rsidRDefault="00E200E5" w:rsidP="00E95828">
            <w:pPr>
              <w:spacing w:after="0"/>
              <w:ind w:left="0"/>
            </w:pPr>
            <w:r w:rsidRPr="004E527A">
              <w:rPr>
                <w:b/>
              </w:rPr>
              <w:t>3f</w:t>
            </w:r>
            <w:r w:rsidRPr="004E527A">
              <w:t xml:space="preserve"> Please provide details of the controls and processes (including level of encryption and controlled access procedures) you have in place for the use of portable media and storage devices exceptionally loaded with HMRC data.</w:t>
            </w:r>
          </w:p>
        </w:tc>
      </w:tr>
      <w:tr w:rsidR="00E200E5" w:rsidRPr="004D2F02" w14:paraId="68036C56" w14:textId="77777777" w:rsidTr="00E200E5">
        <w:trPr>
          <w:cantSplit/>
          <w:trHeight w:val="170"/>
        </w:trPr>
        <w:tc>
          <w:tcPr>
            <w:tcW w:w="14760" w:type="dxa"/>
            <w:shd w:val="clear" w:color="auto" w:fill="auto"/>
          </w:tcPr>
          <w:p w14:paraId="0406284F" w14:textId="77777777" w:rsidR="00E200E5" w:rsidRDefault="00E200E5" w:rsidP="00E95828">
            <w:pPr>
              <w:spacing w:after="0"/>
              <w:ind w:left="0"/>
            </w:pPr>
            <w:r w:rsidRPr="004E527A">
              <w:rPr>
                <w:b/>
              </w:rPr>
              <w:t>3g</w:t>
            </w:r>
            <w:r w:rsidRPr="004E527A">
              <w:t xml:space="preserve"> Please provide details of how all equipment (e.g. hardware, portable media) that holds or has held data will be destroyed or decommissioned, and how all data will be rendered unreadable and irretrievable in line with the Security Policy Framework.</w:t>
            </w:r>
          </w:p>
          <w:p w14:paraId="1453A591" w14:textId="6BE9D10F" w:rsidR="00E95828" w:rsidRPr="004E527A" w:rsidRDefault="00E95828" w:rsidP="00E95828">
            <w:pPr>
              <w:spacing w:after="0"/>
              <w:ind w:left="0"/>
              <w:rPr>
                <w:b/>
              </w:rPr>
            </w:pPr>
          </w:p>
        </w:tc>
      </w:tr>
      <w:tr w:rsidR="00E200E5" w:rsidRPr="004D2F02" w14:paraId="0F3BDA41" w14:textId="77777777" w:rsidTr="00E200E5">
        <w:trPr>
          <w:cantSplit/>
          <w:trHeight w:val="170"/>
        </w:trPr>
        <w:tc>
          <w:tcPr>
            <w:tcW w:w="14760" w:type="dxa"/>
            <w:shd w:val="clear" w:color="auto" w:fill="99CCFF"/>
          </w:tcPr>
          <w:p w14:paraId="66601614" w14:textId="77777777" w:rsidR="00E200E5" w:rsidRPr="004E527A" w:rsidRDefault="00E200E5" w:rsidP="00E95828">
            <w:pPr>
              <w:spacing w:after="0"/>
              <w:ind w:left="0"/>
            </w:pPr>
            <w:r w:rsidRPr="004E527A">
              <w:rPr>
                <w:b/>
              </w:rPr>
              <w:lastRenderedPageBreak/>
              <w:t xml:space="preserve">4 Personnel Security </w:t>
            </w:r>
            <w:r w:rsidRPr="004E527A">
              <w:t>(For requirements please see Appendix C – Personnel Security)</w:t>
            </w:r>
          </w:p>
        </w:tc>
      </w:tr>
      <w:tr w:rsidR="00E200E5" w:rsidRPr="004D2F02" w14:paraId="1551BF7C" w14:textId="77777777" w:rsidTr="00E200E5">
        <w:trPr>
          <w:cantSplit/>
        </w:trPr>
        <w:tc>
          <w:tcPr>
            <w:tcW w:w="14760" w:type="dxa"/>
            <w:shd w:val="clear" w:color="auto" w:fill="FFFFFF"/>
          </w:tcPr>
          <w:p w14:paraId="0630B30D" w14:textId="77777777" w:rsidR="00E200E5" w:rsidRPr="004E527A" w:rsidRDefault="00E200E5" w:rsidP="00E95828">
            <w:pPr>
              <w:spacing w:after="0"/>
              <w:ind w:left="0"/>
              <w:rPr>
                <w:b/>
                <w:color w:val="000000"/>
              </w:rPr>
            </w:pPr>
            <w:r w:rsidRPr="004E527A">
              <w:rPr>
                <w:b/>
                <w:color w:val="000000"/>
              </w:rPr>
              <w:t xml:space="preserve">4a </w:t>
            </w:r>
            <w:r w:rsidRPr="004E527A">
              <w:rPr>
                <w:color w:val="000000"/>
              </w:rPr>
              <w:t xml:space="preserve">Have all staff who will have access to, or come in to contact with, HMRC data or assets undergone Baseline Personnel Security Standard checks (See </w:t>
            </w:r>
            <w:hyperlink r:id="rId17" w:history="1">
              <w:r w:rsidRPr="004E527A">
                <w:rPr>
                  <w:rStyle w:val="Hyperlink"/>
                </w:rPr>
                <w:t>www.gov.uk</w:t>
              </w:r>
            </w:hyperlink>
            <w:r w:rsidRPr="004E527A">
              <w:rPr>
                <w:color w:val="000000"/>
              </w:rPr>
              <w:t>).</w:t>
            </w:r>
          </w:p>
        </w:tc>
      </w:tr>
      <w:tr w:rsidR="00E200E5" w:rsidRPr="004D2F02" w14:paraId="32FE1E3D" w14:textId="77777777" w:rsidTr="00E200E5">
        <w:trPr>
          <w:cantSplit/>
        </w:trPr>
        <w:tc>
          <w:tcPr>
            <w:tcW w:w="14760" w:type="dxa"/>
            <w:shd w:val="clear" w:color="auto" w:fill="FFFFFF"/>
          </w:tcPr>
          <w:p w14:paraId="7C2BAFA4" w14:textId="77777777" w:rsidR="00E200E5" w:rsidRPr="004E527A" w:rsidRDefault="00E200E5" w:rsidP="00E95828">
            <w:pPr>
              <w:spacing w:after="0"/>
              <w:ind w:left="0"/>
            </w:pPr>
            <w:r w:rsidRPr="004E527A">
              <w:rPr>
                <w:b/>
              </w:rPr>
              <w:t>4b</w:t>
            </w:r>
            <w:r w:rsidRPr="004E527A">
              <w:t xml:space="preserve"> Please provide details of how you will ensure that all staff accessing HMRC data are aware of the confidential nature of the data and comply with their legal and specific obligations under the Contract?</w:t>
            </w:r>
          </w:p>
        </w:tc>
      </w:tr>
      <w:tr w:rsidR="00E200E5" w:rsidRPr="004D2F02" w14:paraId="3DE2603E" w14:textId="77777777" w:rsidTr="00E200E5">
        <w:trPr>
          <w:cantSplit/>
          <w:trHeight w:val="309"/>
        </w:trPr>
        <w:tc>
          <w:tcPr>
            <w:tcW w:w="14760" w:type="dxa"/>
            <w:shd w:val="clear" w:color="auto" w:fill="FFFFFF"/>
          </w:tcPr>
          <w:p w14:paraId="59DAE725" w14:textId="77777777" w:rsidR="00E200E5" w:rsidRPr="004E527A" w:rsidRDefault="00E200E5" w:rsidP="00E95828">
            <w:pPr>
              <w:spacing w:after="0"/>
              <w:ind w:left="0"/>
            </w:pPr>
            <w:r w:rsidRPr="004E527A">
              <w:rPr>
                <w:b/>
              </w:rPr>
              <w:t xml:space="preserve">4c </w:t>
            </w:r>
            <w:r w:rsidRPr="004E527A">
              <w:t xml:space="preserve">All contractor’s personnel who have access to HMRC data, and/or are directly involved in the service provision must sign a copy of HMRC’s Confidentiality Agreement (CA). Please confirm that, </w:t>
            </w:r>
            <w:proofErr w:type="gramStart"/>
            <w:r w:rsidRPr="004E527A">
              <w:t>in the event that</w:t>
            </w:r>
            <w:proofErr w:type="gramEnd"/>
            <w:r w:rsidRPr="004E527A">
              <w:t xml:space="preserve"> your bid is successful, you will provide signed hard copies of the NDA for all personnel involved in this Contract if requested.</w:t>
            </w:r>
          </w:p>
        </w:tc>
      </w:tr>
      <w:tr w:rsidR="00E200E5" w:rsidRPr="004D2F02" w14:paraId="1018D81F" w14:textId="77777777" w:rsidTr="00E200E5">
        <w:trPr>
          <w:cantSplit/>
          <w:trHeight w:val="297"/>
        </w:trPr>
        <w:tc>
          <w:tcPr>
            <w:tcW w:w="14760" w:type="dxa"/>
            <w:shd w:val="clear" w:color="auto" w:fill="99CCFF"/>
          </w:tcPr>
          <w:p w14:paraId="3092F048" w14:textId="77777777" w:rsidR="00E200E5" w:rsidRPr="004E527A" w:rsidRDefault="00E200E5" w:rsidP="00E95828">
            <w:pPr>
              <w:spacing w:after="0"/>
              <w:ind w:left="0"/>
              <w:rPr>
                <w:b/>
              </w:rPr>
            </w:pPr>
            <w:r w:rsidRPr="004E527A">
              <w:rPr>
                <w:b/>
              </w:rPr>
              <w:t>5 Process Security</w:t>
            </w:r>
            <w:r w:rsidRPr="004E527A">
              <w:t xml:space="preserve"> (For requirements please see Appendix D – Process Security)</w:t>
            </w:r>
          </w:p>
        </w:tc>
      </w:tr>
      <w:tr w:rsidR="00E200E5" w:rsidRPr="004D2F02" w14:paraId="25380314" w14:textId="77777777" w:rsidTr="00E200E5">
        <w:trPr>
          <w:cantSplit/>
          <w:trHeight w:val="75"/>
        </w:trPr>
        <w:tc>
          <w:tcPr>
            <w:tcW w:w="14760" w:type="dxa"/>
            <w:shd w:val="clear" w:color="auto" w:fill="FFFFFF"/>
          </w:tcPr>
          <w:p w14:paraId="2427C833" w14:textId="77777777" w:rsidR="00E200E5" w:rsidRPr="004E527A" w:rsidRDefault="00E200E5" w:rsidP="00E95828">
            <w:pPr>
              <w:spacing w:after="0"/>
              <w:ind w:left="0"/>
            </w:pPr>
            <w:r w:rsidRPr="004E527A">
              <w:rPr>
                <w:b/>
              </w:rPr>
              <w:t>5a</w:t>
            </w:r>
            <w:r w:rsidRPr="004E527A">
              <w:t xml:space="preserve"> Please provide details of the format in which HMRC data will be held, how you will ensure segregation of HMRC data, and the locations where this data will be processed.</w:t>
            </w:r>
          </w:p>
        </w:tc>
      </w:tr>
      <w:tr w:rsidR="00E200E5" w:rsidRPr="004D2F02" w14:paraId="15D3402E" w14:textId="77777777" w:rsidTr="00E200E5">
        <w:trPr>
          <w:cantSplit/>
          <w:trHeight w:val="75"/>
        </w:trPr>
        <w:tc>
          <w:tcPr>
            <w:tcW w:w="14760" w:type="dxa"/>
            <w:shd w:val="clear" w:color="auto" w:fill="FFFFFF"/>
          </w:tcPr>
          <w:p w14:paraId="70DAD2BB" w14:textId="77777777" w:rsidR="00E200E5" w:rsidRPr="004E527A" w:rsidRDefault="00E200E5" w:rsidP="00E95828">
            <w:pPr>
              <w:spacing w:after="0"/>
              <w:ind w:left="0"/>
              <w:rPr>
                <w:b/>
              </w:rPr>
            </w:pPr>
            <w:r w:rsidRPr="004E527A">
              <w:rPr>
                <w:b/>
              </w:rPr>
              <w:t xml:space="preserve">5b </w:t>
            </w:r>
            <w:r w:rsidRPr="004E527A">
              <w:t>Please confirm your understanding and agreement that the transfer of any HMRC asset to third parties (any individual or group other than the main Contractor including any associates/sub-contractors) is prohibited without prior written consent from the HMRC. If you anticipate transferring data, especially using portable media during the delivery of this project, please set out your proposed transfer procedures for consideration.</w:t>
            </w:r>
          </w:p>
        </w:tc>
      </w:tr>
      <w:tr w:rsidR="00E200E5" w:rsidRPr="004D2F02" w14:paraId="28D03CE1" w14:textId="77777777" w:rsidTr="00E200E5">
        <w:trPr>
          <w:cantSplit/>
          <w:trHeight w:val="75"/>
        </w:trPr>
        <w:tc>
          <w:tcPr>
            <w:tcW w:w="14760" w:type="dxa"/>
            <w:shd w:val="clear" w:color="auto" w:fill="FFFFFF"/>
          </w:tcPr>
          <w:p w14:paraId="6451DC15" w14:textId="77777777" w:rsidR="00E200E5" w:rsidRPr="004E527A" w:rsidRDefault="00E200E5" w:rsidP="00E95828">
            <w:pPr>
              <w:spacing w:after="0"/>
              <w:ind w:left="0"/>
            </w:pPr>
            <w:r w:rsidRPr="004E527A">
              <w:rPr>
                <w:b/>
              </w:rPr>
              <w:t xml:space="preserve">5c </w:t>
            </w:r>
            <w:r w:rsidRPr="004E527A">
              <w:t xml:space="preserve">Please confirm that you understand that HMRC Data must not be processed or stored outside the United Kingdom without the express permission of HMRC. </w:t>
            </w:r>
          </w:p>
          <w:p w14:paraId="3374F463" w14:textId="77777777" w:rsidR="00E200E5" w:rsidRPr="004E527A" w:rsidRDefault="00E200E5" w:rsidP="00E95828">
            <w:pPr>
              <w:spacing w:after="0"/>
              <w:ind w:left="0"/>
            </w:pPr>
            <w:r w:rsidRPr="004E527A">
              <w:t xml:space="preserve">If you are considering storing data outside of the UK, please provide details on how and where the data will be stored and also provide details of how you comply with Cabinet Office policy for offshoring see </w:t>
            </w:r>
            <w:hyperlink r:id="rId18" w:history="1">
              <w:r>
                <w:rPr>
                  <w:rStyle w:val="Hyperlink"/>
                </w:rPr>
                <w:t>Offshoring</w:t>
              </w:r>
            </w:hyperlink>
          </w:p>
        </w:tc>
      </w:tr>
      <w:tr w:rsidR="00E200E5" w:rsidRPr="004D2F02" w14:paraId="6BCCDD12" w14:textId="77777777" w:rsidTr="00E200E5">
        <w:trPr>
          <w:cantSplit/>
          <w:trHeight w:val="221"/>
        </w:trPr>
        <w:tc>
          <w:tcPr>
            <w:tcW w:w="14760" w:type="dxa"/>
            <w:shd w:val="clear" w:color="auto" w:fill="FFFFFF"/>
          </w:tcPr>
          <w:p w14:paraId="57BC3F15" w14:textId="77777777" w:rsidR="00E200E5" w:rsidRPr="004E527A" w:rsidRDefault="00E200E5" w:rsidP="00E95828">
            <w:pPr>
              <w:spacing w:after="0"/>
              <w:ind w:left="0"/>
            </w:pPr>
            <w:r w:rsidRPr="004E527A">
              <w:rPr>
                <w:b/>
              </w:rPr>
              <w:t>5d</w:t>
            </w:r>
            <w:r w:rsidRPr="004E527A">
              <w:t xml:space="preserve"> In order to protect against loss, destruction, damage, alteration or disclosure of HMRC data, and to ensure it is not stored, copied or generated except as necessary and authorised, please provide details of the technical and organisational measures you have in place (including segregation of duties and areas of responsibility) to protect against accident or malicious intent.</w:t>
            </w:r>
          </w:p>
        </w:tc>
      </w:tr>
      <w:tr w:rsidR="00E200E5" w:rsidRPr="004D2F02" w14:paraId="089F2D1E" w14:textId="77777777" w:rsidTr="00E200E5">
        <w:trPr>
          <w:cantSplit/>
          <w:trHeight w:val="221"/>
        </w:trPr>
        <w:tc>
          <w:tcPr>
            <w:tcW w:w="14760" w:type="dxa"/>
            <w:shd w:val="clear" w:color="auto" w:fill="FFFFFF"/>
          </w:tcPr>
          <w:p w14:paraId="2D49F094" w14:textId="77777777" w:rsidR="00E200E5" w:rsidRPr="004E527A" w:rsidRDefault="00E200E5" w:rsidP="00E95828">
            <w:pPr>
              <w:spacing w:after="0"/>
              <w:ind w:left="0"/>
              <w:rPr>
                <w:b/>
              </w:rPr>
            </w:pPr>
            <w:r w:rsidRPr="004E527A">
              <w:rPr>
                <w:b/>
              </w:rPr>
              <w:t xml:space="preserve">5e </w:t>
            </w:r>
            <w:r w:rsidRPr="004E527A">
              <w:t>What arrangements are in place for secure disposal of HMRC assets once no longer required?</w:t>
            </w:r>
          </w:p>
        </w:tc>
      </w:tr>
      <w:tr w:rsidR="00E200E5" w:rsidRPr="004D2F02" w14:paraId="5C07BBE1" w14:textId="77777777" w:rsidTr="00E200E5">
        <w:trPr>
          <w:cantSplit/>
          <w:trHeight w:val="221"/>
        </w:trPr>
        <w:tc>
          <w:tcPr>
            <w:tcW w:w="14760" w:type="dxa"/>
            <w:shd w:val="clear" w:color="auto" w:fill="FFFFFF"/>
          </w:tcPr>
          <w:p w14:paraId="5D929916" w14:textId="77777777" w:rsidR="00E200E5" w:rsidRPr="004E527A" w:rsidRDefault="00E200E5" w:rsidP="00E95828">
            <w:pPr>
              <w:spacing w:after="0"/>
              <w:ind w:left="0"/>
            </w:pPr>
            <w:r w:rsidRPr="004E527A">
              <w:rPr>
                <w:b/>
              </w:rPr>
              <w:t xml:space="preserve">5f </w:t>
            </w:r>
            <w:r w:rsidRPr="004E527A">
              <w:t xml:space="preserve">How and when will you advise HMRC of security incidents that impact HMRC assets. </w:t>
            </w:r>
          </w:p>
        </w:tc>
      </w:tr>
      <w:tr w:rsidR="00E200E5" w:rsidRPr="004D2F02" w14:paraId="629A4994" w14:textId="77777777" w:rsidTr="00E200E5">
        <w:trPr>
          <w:cantSplit/>
          <w:trHeight w:val="221"/>
        </w:trPr>
        <w:tc>
          <w:tcPr>
            <w:tcW w:w="14760" w:type="dxa"/>
            <w:shd w:val="clear" w:color="auto" w:fill="99CCFF"/>
          </w:tcPr>
          <w:p w14:paraId="2FBF8D3E" w14:textId="77777777" w:rsidR="00E200E5" w:rsidRPr="004E527A" w:rsidRDefault="00E200E5" w:rsidP="00E95828">
            <w:pPr>
              <w:spacing w:after="0"/>
              <w:ind w:left="0"/>
              <w:rPr>
                <w:b/>
              </w:rPr>
            </w:pPr>
            <w:r w:rsidRPr="004E527A">
              <w:rPr>
                <w:b/>
              </w:rPr>
              <w:t xml:space="preserve">6 Business Continuity </w:t>
            </w:r>
            <w:r w:rsidRPr="004E527A">
              <w:t>(For requirements please see Appendix E – Business Continuity)</w:t>
            </w:r>
          </w:p>
        </w:tc>
      </w:tr>
      <w:tr w:rsidR="00E200E5" w:rsidRPr="004D2F02" w14:paraId="78BB50C1" w14:textId="77777777" w:rsidTr="00E200E5">
        <w:trPr>
          <w:cantSplit/>
          <w:trHeight w:val="221"/>
        </w:trPr>
        <w:tc>
          <w:tcPr>
            <w:tcW w:w="14760" w:type="dxa"/>
            <w:shd w:val="clear" w:color="auto" w:fill="FFFFFF"/>
          </w:tcPr>
          <w:p w14:paraId="5405AC99" w14:textId="77777777" w:rsidR="00E200E5" w:rsidRPr="004E527A" w:rsidRDefault="00E200E5" w:rsidP="00E95828">
            <w:pPr>
              <w:spacing w:after="0"/>
              <w:ind w:left="0"/>
            </w:pPr>
            <w:r w:rsidRPr="004E527A">
              <w:rPr>
                <w:b/>
              </w:rPr>
              <w:t xml:space="preserve">6a </w:t>
            </w:r>
            <w:r w:rsidRPr="004E527A">
              <w:t xml:space="preserve">Please provide an overview of your organisation’s business continuity and disaster recovery plans in terms of HMRC data under the </w:t>
            </w:r>
            <w:proofErr w:type="gramStart"/>
            <w:r w:rsidRPr="004E527A">
              <w:t>Contract, or</w:t>
            </w:r>
            <w:proofErr w:type="gramEnd"/>
            <w:r w:rsidRPr="004E527A">
              <w:t xml:space="preserve"> attach a copy of your Business Continuity Plan. </w:t>
            </w:r>
          </w:p>
        </w:tc>
      </w:tr>
    </w:tbl>
    <w:p w14:paraId="451600E3" w14:textId="77777777" w:rsidR="00E200E5" w:rsidRPr="004E527A" w:rsidRDefault="00E200E5" w:rsidP="00E95828">
      <w:pPr>
        <w:ind w:left="0"/>
      </w:pPr>
    </w:p>
    <w:p w14:paraId="254CC936" w14:textId="77777777" w:rsidR="00E95828" w:rsidRDefault="00E95828" w:rsidP="00E95828">
      <w:pPr>
        <w:ind w:left="0"/>
        <w:rPr>
          <w:b/>
        </w:rPr>
      </w:pPr>
    </w:p>
    <w:p w14:paraId="789178D6" w14:textId="77777777" w:rsidR="00E95828" w:rsidRDefault="00E95828" w:rsidP="00E95828">
      <w:pPr>
        <w:ind w:left="0"/>
        <w:rPr>
          <w:b/>
        </w:rPr>
      </w:pPr>
    </w:p>
    <w:p w14:paraId="782CD935" w14:textId="0DCFD0FF" w:rsidR="00E200E5" w:rsidRPr="004E527A" w:rsidRDefault="00E200E5" w:rsidP="00E95828">
      <w:pPr>
        <w:ind w:left="0"/>
        <w:rPr>
          <w:b/>
        </w:rPr>
      </w:pPr>
      <w:r w:rsidRPr="004E527A">
        <w:rPr>
          <w:b/>
        </w:rPr>
        <w:lastRenderedPageBreak/>
        <w:t xml:space="preserve">The following appendices provide additional information on the types of security control that </w:t>
      </w:r>
      <w:r w:rsidRPr="004E527A">
        <w:rPr>
          <w:b/>
          <w:u w:val="single"/>
        </w:rPr>
        <w:t>may</w:t>
      </w:r>
      <w:r w:rsidRPr="004E527A">
        <w:rPr>
          <w:b/>
        </w:rPr>
        <w:t xml:space="preserve"> be expected as a minimum for the protection of HMRC information, data and assets.</w:t>
      </w:r>
    </w:p>
    <w:p w14:paraId="6B95B0CD" w14:textId="77777777" w:rsidR="00E200E5" w:rsidRPr="004E527A" w:rsidRDefault="00E200E5" w:rsidP="00E95828">
      <w:pPr>
        <w:ind w:left="0"/>
        <w:rPr>
          <w:b/>
        </w:rPr>
      </w:pPr>
      <w:r w:rsidRPr="004E527A">
        <w:rPr>
          <w:b/>
        </w:rPr>
        <w:t xml:space="preserve">It is not a legally binding document, nor does it provide a definitive list of baseline security </w:t>
      </w:r>
      <w:proofErr w:type="gramStart"/>
      <w:r w:rsidRPr="004E527A">
        <w:rPr>
          <w:b/>
        </w:rPr>
        <w:t>controls, and</w:t>
      </w:r>
      <w:proofErr w:type="gramEnd"/>
      <w:r w:rsidRPr="004E527A">
        <w:rPr>
          <w:b/>
        </w:rPr>
        <w:t xml:space="preserve"> must be read in conjunction with HMG and HMRC</w:t>
      </w:r>
      <w:r>
        <w:rPr>
          <w:b/>
        </w:rPr>
        <w:t xml:space="preserve"> Security Policy and Standards.</w:t>
      </w:r>
    </w:p>
    <w:p w14:paraId="68AC8DB3" w14:textId="77777777" w:rsidR="00E200E5" w:rsidRPr="004E527A" w:rsidRDefault="00E200E5" w:rsidP="00E95828">
      <w:pPr>
        <w:ind w:left="0"/>
        <w:rPr>
          <w:b/>
        </w:rPr>
      </w:pPr>
      <w:r>
        <w:rPr>
          <w:rFonts w:ascii="Verdana" w:hAnsi="Verdana"/>
          <w:b/>
        </w:rPr>
        <w:br w:type="page"/>
      </w:r>
      <w:r w:rsidRPr="004E527A">
        <w:rPr>
          <w:b/>
        </w:rPr>
        <w:lastRenderedPageBreak/>
        <w:t>Appendix A – Physical Security</w:t>
      </w:r>
    </w:p>
    <w:p w14:paraId="3EC4F527" w14:textId="77777777" w:rsidR="00E200E5" w:rsidRPr="004E527A" w:rsidRDefault="00E200E5" w:rsidP="00E95828">
      <w:pPr>
        <w:ind w:left="0"/>
      </w:pPr>
      <w:r w:rsidRPr="004E527A">
        <w:t>Please consider: the effect of topographic features and landscaping on perimeter security; the possibility of being overlooked; the ease of access and communications; the existence and proximity of public rights of way and neighbouring buildings; the existence of emergency and evacuation routes from adjacent buildings; the implications of shared accommodation; the location of police and emergency services; the build of the structure.</w:t>
      </w:r>
    </w:p>
    <w:p w14:paraId="24FDACF1" w14:textId="77777777" w:rsidR="00E200E5" w:rsidRPr="004E527A" w:rsidRDefault="00E200E5" w:rsidP="00E95828">
      <w:pPr>
        <w:ind w:left="0"/>
      </w:pPr>
      <w:r w:rsidRPr="004E527A">
        <w:t xml:space="preserve">Building Security - Preferably there should be as few points of exit and entry as possible but in line with Health &amp; Safety and Fire Regulations.  Where exit and entry points exist then physical security controls, such as window bars, grilles shutters Security Doors etc may be installed.  The effectiveness of these protection measures may be enhanced </w:t>
      </w:r>
      <w:proofErr w:type="gramStart"/>
      <w:r w:rsidRPr="004E527A">
        <w:t>by the use of</w:t>
      </w:r>
      <w:proofErr w:type="gramEnd"/>
      <w:r w:rsidRPr="004E527A">
        <w:t xml:space="preserve"> Intruder Detection Systems (IDS), CCTV or Guard Service.</w:t>
      </w:r>
    </w:p>
    <w:tbl>
      <w:tblPr>
        <w:tblW w:w="149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6660"/>
        <w:gridCol w:w="6300"/>
      </w:tblGrid>
      <w:tr w:rsidR="00E200E5" w:rsidRPr="004D2F02" w14:paraId="5ED51C71" w14:textId="77777777" w:rsidTr="00E200E5">
        <w:trPr>
          <w:cantSplit/>
          <w:tblHeader/>
        </w:trPr>
        <w:tc>
          <w:tcPr>
            <w:tcW w:w="1980" w:type="dxa"/>
            <w:shd w:val="clear" w:color="auto" w:fill="F3F3F3"/>
          </w:tcPr>
          <w:p w14:paraId="32E04FE0" w14:textId="77777777" w:rsidR="00E200E5" w:rsidRPr="004E527A" w:rsidRDefault="00E200E5" w:rsidP="00E95828">
            <w:pPr>
              <w:spacing w:after="0"/>
              <w:ind w:left="0"/>
              <w:rPr>
                <w:b/>
                <w:color w:val="0000FF"/>
              </w:rPr>
            </w:pPr>
            <w:r w:rsidRPr="004E527A">
              <w:rPr>
                <w:b/>
                <w:color w:val="0000FF"/>
              </w:rPr>
              <w:t>Physical Security</w:t>
            </w:r>
          </w:p>
        </w:tc>
        <w:tc>
          <w:tcPr>
            <w:tcW w:w="6660" w:type="dxa"/>
            <w:shd w:val="clear" w:color="auto" w:fill="F3F3F3"/>
          </w:tcPr>
          <w:p w14:paraId="6265124C" w14:textId="77777777" w:rsidR="00E200E5" w:rsidRPr="004E527A" w:rsidRDefault="00E200E5" w:rsidP="00E95828">
            <w:pPr>
              <w:spacing w:after="0"/>
              <w:ind w:left="0"/>
              <w:rPr>
                <w:b/>
                <w:color w:val="0000FF"/>
              </w:rPr>
            </w:pPr>
            <w:r w:rsidRPr="004E527A">
              <w:rPr>
                <w:b/>
                <w:color w:val="0000FF"/>
              </w:rPr>
              <w:t>Requirements</w:t>
            </w:r>
          </w:p>
        </w:tc>
        <w:tc>
          <w:tcPr>
            <w:tcW w:w="6300" w:type="dxa"/>
            <w:shd w:val="clear" w:color="auto" w:fill="F3F3F3"/>
          </w:tcPr>
          <w:p w14:paraId="5A7BEA37" w14:textId="77777777" w:rsidR="00E200E5" w:rsidRPr="004E527A" w:rsidRDefault="00E200E5" w:rsidP="00E95828">
            <w:pPr>
              <w:spacing w:after="0"/>
              <w:ind w:left="0"/>
              <w:rPr>
                <w:b/>
                <w:color w:val="0000FF"/>
              </w:rPr>
            </w:pPr>
            <w:r w:rsidRPr="004E527A">
              <w:rPr>
                <w:b/>
                <w:color w:val="0000FF"/>
              </w:rPr>
              <w:t>Recommended</w:t>
            </w:r>
          </w:p>
        </w:tc>
      </w:tr>
      <w:tr w:rsidR="00E200E5" w:rsidRPr="004D2F02" w14:paraId="6C523A24" w14:textId="77777777" w:rsidTr="00E200E5">
        <w:trPr>
          <w:cantSplit/>
        </w:trPr>
        <w:tc>
          <w:tcPr>
            <w:tcW w:w="1980" w:type="dxa"/>
            <w:shd w:val="clear" w:color="auto" w:fill="auto"/>
          </w:tcPr>
          <w:p w14:paraId="30B0FA70" w14:textId="77777777" w:rsidR="00E200E5" w:rsidRPr="004E527A" w:rsidRDefault="00E200E5" w:rsidP="00E95828">
            <w:pPr>
              <w:spacing w:after="0"/>
              <w:ind w:left="0"/>
            </w:pPr>
            <w:r w:rsidRPr="004E527A">
              <w:t>Physical Access - secure areas</w:t>
            </w:r>
          </w:p>
        </w:tc>
        <w:tc>
          <w:tcPr>
            <w:tcW w:w="6660" w:type="dxa"/>
            <w:shd w:val="clear" w:color="auto" w:fill="auto"/>
          </w:tcPr>
          <w:p w14:paraId="108456EF" w14:textId="77777777" w:rsidR="00E200E5" w:rsidRPr="004E527A" w:rsidRDefault="00E200E5" w:rsidP="00E95828">
            <w:pPr>
              <w:spacing w:after="0"/>
              <w:ind w:left="0"/>
            </w:pPr>
            <w:r w:rsidRPr="004E527A">
              <w:t xml:space="preserve">Visitors </w:t>
            </w:r>
            <w:proofErr w:type="gramStart"/>
            <w:r w:rsidRPr="004E527A">
              <w:t>should be identifiable and escorted at all times</w:t>
            </w:r>
            <w:proofErr w:type="gramEnd"/>
          </w:p>
        </w:tc>
        <w:tc>
          <w:tcPr>
            <w:tcW w:w="6300" w:type="dxa"/>
            <w:shd w:val="clear" w:color="auto" w:fill="auto"/>
          </w:tcPr>
          <w:p w14:paraId="4007C3CD" w14:textId="77777777" w:rsidR="00E200E5" w:rsidRPr="004E527A" w:rsidRDefault="00E200E5" w:rsidP="00E95828">
            <w:pPr>
              <w:spacing w:after="0"/>
              <w:ind w:left="0"/>
            </w:pPr>
            <w:r w:rsidRPr="004E527A">
              <w:t xml:space="preserve">Visitor to be issued with identifying badges upon arrival. </w:t>
            </w:r>
          </w:p>
          <w:p w14:paraId="04EF5310" w14:textId="77777777" w:rsidR="00E200E5" w:rsidRPr="004E527A" w:rsidRDefault="00E200E5" w:rsidP="00E95828">
            <w:pPr>
              <w:spacing w:after="0"/>
              <w:ind w:left="0"/>
            </w:pPr>
            <w:r w:rsidRPr="004E527A">
              <w:t>A visitor log maintained and visitors sign-in and out.</w:t>
            </w:r>
          </w:p>
        </w:tc>
      </w:tr>
      <w:tr w:rsidR="00E200E5" w:rsidRPr="004D2F02" w14:paraId="60E364AF" w14:textId="77777777" w:rsidTr="00E200E5">
        <w:trPr>
          <w:cantSplit/>
        </w:trPr>
        <w:tc>
          <w:tcPr>
            <w:tcW w:w="1980" w:type="dxa"/>
            <w:shd w:val="clear" w:color="auto" w:fill="auto"/>
          </w:tcPr>
          <w:p w14:paraId="298D7329" w14:textId="77777777" w:rsidR="00E200E5" w:rsidRPr="004E527A" w:rsidRDefault="00E200E5" w:rsidP="00E95828">
            <w:pPr>
              <w:spacing w:after="0"/>
              <w:ind w:left="0"/>
            </w:pPr>
            <w:r w:rsidRPr="004E527A">
              <w:t>Building</w:t>
            </w:r>
          </w:p>
        </w:tc>
        <w:tc>
          <w:tcPr>
            <w:tcW w:w="6660" w:type="dxa"/>
            <w:shd w:val="clear" w:color="auto" w:fill="auto"/>
          </w:tcPr>
          <w:p w14:paraId="3287BDF1" w14:textId="77777777" w:rsidR="00E200E5" w:rsidRPr="004E527A" w:rsidRDefault="00E200E5" w:rsidP="00E95828">
            <w:pPr>
              <w:spacing w:after="0"/>
              <w:ind w:left="0"/>
            </w:pPr>
            <w:r w:rsidRPr="004E527A">
              <w:t>Should be constructed of robust building materials typically, brick or lightweight block walls.</w:t>
            </w:r>
          </w:p>
          <w:p w14:paraId="1C8E9C6C" w14:textId="77777777" w:rsidR="00E200E5" w:rsidRPr="004E527A" w:rsidRDefault="00E200E5" w:rsidP="00E95828">
            <w:pPr>
              <w:spacing w:after="0"/>
              <w:ind w:left="0"/>
            </w:pPr>
            <w:r w:rsidRPr="004E527A">
              <w:t>External doors should be of solid construction and locked during silent hours.</w:t>
            </w:r>
          </w:p>
          <w:p w14:paraId="261394DB" w14:textId="77777777" w:rsidR="00E200E5" w:rsidRPr="004E527A" w:rsidRDefault="00E200E5" w:rsidP="00E95828">
            <w:pPr>
              <w:spacing w:after="0"/>
              <w:ind w:left="0"/>
            </w:pPr>
            <w:r w:rsidRPr="004E527A">
              <w:t>Access to keys should be checked and any lock combinations changed at regular intervals not exceeding 12 months. A record of key/combination holders should be maintained.</w:t>
            </w:r>
          </w:p>
          <w:p w14:paraId="5842632F" w14:textId="77777777" w:rsidR="00E200E5" w:rsidRPr="004E527A" w:rsidRDefault="00E200E5" w:rsidP="00E95828">
            <w:pPr>
              <w:spacing w:after="0"/>
              <w:ind w:left="0"/>
            </w:pPr>
            <w:r w:rsidRPr="004E527A">
              <w:t xml:space="preserve">The number of keys to a lock should be kept to a minimum. Spare keys should not be held in the same container as ‘working </w:t>
            </w:r>
            <w:proofErr w:type="gramStart"/>
            <w:r w:rsidRPr="004E527A">
              <w:t>keys’</w:t>
            </w:r>
            <w:proofErr w:type="gramEnd"/>
            <w:r w:rsidRPr="004E527A">
              <w:t>.</w:t>
            </w:r>
          </w:p>
          <w:p w14:paraId="05E3E2CF" w14:textId="77777777" w:rsidR="00E200E5" w:rsidRPr="004E527A" w:rsidRDefault="00E200E5" w:rsidP="00E95828">
            <w:pPr>
              <w:spacing w:after="0"/>
              <w:ind w:left="0"/>
            </w:pPr>
            <w:r w:rsidRPr="004E527A">
              <w:t>The premises must be locked during ‘silent hours’ and keys secured.</w:t>
            </w:r>
          </w:p>
        </w:tc>
        <w:tc>
          <w:tcPr>
            <w:tcW w:w="6300" w:type="dxa"/>
            <w:shd w:val="clear" w:color="auto" w:fill="auto"/>
          </w:tcPr>
          <w:p w14:paraId="1280E5C9" w14:textId="77777777" w:rsidR="00E200E5" w:rsidRPr="004E527A" w:rsidRDefault="00E200E5" w:rsidP="00E95828">
            <w:pPr>
              <w:spacing w:after="0"/>
              <w:ind w:left="0"/>
            </w:pPr>
            <w:r w:rsidRPr="004E527A">
              <w:t>Lockable double glazed or similar unit. Emergency exit doors included on intruder detection system.</w:t>
            </w:r>
          </w:p>
          <w:p w14:paraId="75FC078A" w14:textId="77777777" w:rsidR="00E200E5" w:rsidRPr="004E527A" w:rsidRDefault="00E200E5" w:rsidP="00E95828">
            <w:pPr>
              <w:spacing w:after="0"/>
              <w:ind w:left="0"/>
            </w:pPr>
            <w:r w:rsidRPr="004E527A">
              <w:t>Security Keys should not be removed from the premises.</w:t>
            </w:r>
          </w:p>
          <w:p w14:paraId="60BA29D3" w14:textId="77777777" w:rsidR="00E200E5" w:rsidRPr="004E527A" w:rsidRDefault="00E200E5" w:rsidP="00E95828">
            <w:pPr>
              <w:spacing w:after="0"/>
              <w:ind w:left="0"/>
            </w:pPr>
            <w:r w:rsidRPr="004E527A">
              <w:t>Intruder alarm with keyholder response.</w:t>
            </w:r>
          </w:p>
        </w:tc>
      </w:tr>
      <w:tr w:rsidR="00E200E5" w:rsidRPr="00750446" w14:paraId="003B9888" w14:textId="77777777" w:rsidTr="00E200E5">
        <w:trPr>
          <w:cantSplit/>
        </w:trPr>
        <w:tc>
          <w:tcPr>
            <w:tcW w:w="1980" w:type="dxa"/>
            <w:shd w:val="clear" w:color="auto" w:fill="auto"/>
          </w:tcPr>
          <w:p w14:paraId="0E9A7009" w14:textId="77777777" w:rsidR="00E200E5" w:rsidRPr="004E527A" w:rsidRDefault="00E200E5" w:rsidP="00E95828">
            <w:pPr>
              <w:spacing w:after="0"/>
              <w:ind w:left="0"/>
            </w:pPr>
            <w:r w:rsidRPr="004E527A">
              <w:t>Environmental</w:t>
            </w:r>
          </w:p>
        </w:tc>
        <w:tc>
          <w:tcPr>
            <w:tcW w:w="6660" w:type="dxa"/>
            <w:shd w:val="clear" w:color="auto" w:fill="auto"/>
          </w:tcPr>
          <w:p w14:paraId="55C8B04E" w14:textId="77777777" w:rsidR="00E200E5" w:rsidRPr="004E527A" w:rsidRDefault="00E200E5" w:rsidP="00E95828">
            <w:pPr>
              <w:spacing w:after="0"/>
              <w:ind w:left="0"/>
            </w:pPr>
            <w:r w:rsidRPr="004E527A">
              <w:t xml:space="preserve">Fire risk assessment should be carried out. </w:t>
            </w:r>
          </w:p>
          <w:p w14:paraId="0F209288" w14:textId="77777777" w:rsidR="00E200E5" w:rsidRPr="004E527A" w:rsidRDefault="00E200E5" w:rsidP="00E95828">
            <w:pPr>
              <w:spacing w:after="0"/>
              <w:ind w:left="0"/>
            </w:pPr>
            <w:r w:rsidRPr="004E527A">
              <w:t>Uninterruptible power supply for security and health &amp; safety equipment.</w:t>
            </w:r>
          </w:p>
        </w:tc>
        <w:tc>
          <w:tcPr>
            <w:tcW w:w="6300" w:type="dxa"/>
            <w:shd w:val="clear" w:color="auto" w:fill="auto"/>
          </w:tcPr>
          <w:p w14:paraId="6FA217FC" w14:textId="77777777" w:rsidR="00E200E5" w:rsidRPr="004E527A" w:rsidRDefault="00E200E5" w:rsidP="00E95828">
            <w:pPr>
              <w:spacing w:after="0"/>
              <w:ind w:left="0"/>
            </w:pPr>
            <w:r w:rsidRPr="004E527A">
              <w:t>Smoke detection system e.g. VESDA.</w:t>
            </w:r>
          </w:p>
          <w:p w14:paraId="387F21AC" w14:textId="77777777" w:rsidR="00E200E5" w:rsidRPr="004E527A" w:rsidRDefault="00E200E5" w:rsidP="00E95828">
            <w:pPr>
              <w:spacing w:after="0"/>
              <w:ind w:left="0"/>
            </w:pPr>
          </w:p>
        </w:tc>
      </w:tr>
      <w:tr w:rsidR="00E200E5" w:rsidRPr="00750446" w14:paraId="6AFA1E64" w14:textId="77777777" w:rsidTr="00E200E5">
        <w:trPr>
          <w:cantSplit/>
        </w:trPr>
        <w:tc>
          <w:tcPr>
            <w:tcW w:w="1980" w:type="dxa"/>
            <w:shd w:val="clear" w:color="auto" w:fill="auto"/>
          </w:tcPr>
          <w:p w14:paraId="0957531B" w14:textId="77777777" w:rsidR="00E200E5" w:rsidRPr="004E527A" w:rsidRDefault="00E200E5" w:rsidP="00E95828">
            <w:pPr>
              <w:spacing w:after="0"/>
              <w:ind w:left="0"/>
            </w:pPr>
            <w:r w:rsidRPr="004E527A">
              <w:t>Transport and Storage</w:t>
            </w:r>
          </w:p>
        </w:tc>
        <w:tc>
          <w:tcPr>
            <w:tcW w:w="6660" w:type="dxa"/>
            <w:shd w:val="clear" w:color="auto" w:fill="auto"/>
          </w:tcPr>
          <w:p w14:paraId="761BE10A" w14:textId="77777777" w:rsidR="00E200E5" w:rsidRPr="004E527A" w:rsidRDefault="00E200E5" w:rsidP="00E95828">
            <w:pPr>
              <w:spacing w:after="0"/>
              <w:ind w:left="0"/>
            </w:pPr>
            <w:r w:rsidRPr="004E527A">
              <w:t>Adequate lockable storage for HMRC material.</w:t>
            </w:r>
          </w:p>
          <w:p w14:paraId="2695279F" w14:textId="77777777" w:rsidR="00E200E5" w:rsidRPr="004E527A" w:rsidRDefault="00E200E5" w:rsidP="00E95828">
            <w:pPr>
              <w:spacing w:after="0"/>
              <w:ind w:left="0"/>
            </w:pPr>
            <w:r w:rsidRPr="004E527A">
              <w:t>Material transported using previously agreed processes with HMRC.</w:t>
            </w:r>
          </w:p>
        </w:tc>
        <w:tc>
          <w:tcPr>
            <w:tcW w:w="6300" w:type="dxa"/>
            <w:shd w:val="clear" w:color="auto" w:fill="auto"/>
          </w:tcPr>
          <w:p w14:paraId="431DD827" w14:textId="77777777" w:rsidR="00E200E5" w:rsidRPr="004E527A" w:rsidRDefault="00E200E5" w:rsidP="00E95828">
            <w:pPr>
              <w:spacing w:after="0"/>
              <w:ind w:left="0"/>
            </w:pPr>
            <w:r w:rsidRPr="004E527A">
              <w:t>Point to point transfer of material in locked containers.</w:t>
            </w:r>
          </w:p>
        </w:tc>
      </w:tr>
    </w:tbl>
    <w:p w14:paraId="186CD472" w14:textId="77777777" w:rsidR="00E200E5" w:rsidRDefault="00E200E5" w:rsidP="00E95828">
      <w:pPr>
        <w:ind w:left="0"/>
        <w:rPr>
          <w:rFonts w:ascii="Verdana" w:hAnsi="Verdana"/>
          <w:b/>
        </w:rPr>
      </w:pPr>
    </w:p>
    <w:p w14:paraId="221EE578" w14:textId="77777777" w:rsidR="00E200E5" w:rsidRPr="004E527A" w:rsidRDefault="00E200E5" w:rsidP="00E95828">
      <w:pPr>
        <w:ind w:left="0"/>
        <w:rPr>
          <w:b/>
        </w:rPr>
      </w:pPr>
      <w:r w:rsidRPr="004E527A">
        <w:rPr>
          <w:b/>
        </w:rPr>
        <w:lastRenderedPageBreak/>
        <w:t>Appendix B – IT Security</w:t>
      </w:r>
    </w:p>
    <w:tbl>
      <w:tblPr>
        <w:tblW w:w="1488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0"/>
        <w:gridCol w:w="6660"/>
        <w:gridCol w:w="6300"/>
      </w:tblGrid>
      <w:tr w:rsidR="00E200E5" w:rsidRPr="00750446" w14:paraId="4C7D41DE" w14:textId="77777777" w:rsidTr="00E200E5">
        <w:trPr>
          <w:cantSplit/>
          <w:tblHeader/>
        </w:trPr>
        <w:tc>
          <w:tcPr>
            <w:tcW w:w="1920" w:type="dxa"/>
            <w:shd w:val="clear" w:color="auto" w:fill="F3F3F3"/>
          </w:tcPr>
          <w:p w14:paraId="1655EE15" w14:textId="77777777" w:rsidR="00E200E5" w:rsidRPr="004E527A" w:rsidRDefault="00E200E5" w:rsidP="00E95828">
            <w:pPr>
              <w:spacing w:after="0"/>
              <w:ind w:left="0"/>
              <w:rPr>
                <w:b/>
                <w:color w:val="0000FF"/>
              </w:rPr>
            </w:pPr>
            <w:r w:rsidRPr="004E527A">
              <w:rPr>
                <w:b/>
                <w:color w:val="0000FF"/>
              </w:rPr>
              <w:t xml:space="preserve">IT Security </w:t>
            </w:r>
          </w:p>
        </w:tc>
        <w:tc>
          <w:tcPr>
            <w:tcW w:w="6660" w:type="dxa"/>
            <w:shd w:val="clear" w:color="auto" w:fill="F3F3F3"/>
          </w:tcPr>
          <w:p w14:paraId="799B6C06" w14:textId="77777777" w:rsidR="00E200E5" w:rsidRPr="004E527A" w:rsidRDefault="00E200E5" w:rsidP="00E95828">
            <w:pPr>
              <w:spacing w:after="0"/>
              <w:ind w:left="0"/>
              <w:rPr>
                <w:b/>
                <w:color w:val="0000FF"/>
              </w:rPr>
            </w:pPr>
            <w:r w:rsidRPr="004E527A">
              <w:rPr>
                <w:b/>
                <w:color w:val="0000FF"/>
              </w:rPr>
              <w:t>Requirements</w:t>
            </w:r>
          </w:p>
        </w:tc>
        <w:tc>
          <w:tcPr>
            <w:tcW w:w="6300" w:type="dxa"/>
            <w:shd w:val="clear" w:color="auto" w:fill="F3F3F3"/>
          </w:tcPr>
          <w:p w14:paraId="5A8C1E8F" w14:textId="77777777" w:rsidR="00E200E5" w:rsidRPr="004E527A" w:rsidRDefault="00E200E5" w:rsidP="00E95828">
            <w:pPr>
              <w:spacing w:after="0"/>
              <w:ind w:left="0"/>
              <w:rPr>
                <w:b/>
                <w:color w:val="0000FF"/>
              </w:rPr>
            </w:pPr>
            <w:r w:rsidRPr="004E527A">
              <w:rPr>
                <w:b/>
                <w:color w:val="0000FF"/>
              </w:rPr>
              <w:t>Recommended</w:t>
            </w:r>
          </w:p>
        </w:tc>
      </w:tr>
      <w:tr w:rsidR="00E200E5" w:rsidRPr="00750446" w14:paraId="6E974D5F" w14:textId="77777777" w:rsidTr="00E200E5">
        <w:trPr>
          <w:cantSplit/>
        </w:trPr>
        <w:tc>
          <w:tcPr>
            <w:tcW w:w="1920" w:type="dxa"/>
            <w:shd w:val="clear" w:color="auto" w:fill="auto"/>
          </w:tcPr>
          <w:p w14:paraId="7C54CD64" w14:textId="77777777" w:rsidR="00E200E5" w:rsidRPr="004E527A" w:rsidRDefault="00E200E5" w:rsidP="00E95828">
            <w:pPr>
              <w:spacing w:after="0"/>
              <w:ind w:left="0"/>
            </w:pPr>
            <w:r w:rsidRPr="004E527A">
              <w:t>Cyber Essentials</w:t>
            </w:r>
          </w:p>
        </w:tc>
        <w:tc>
          <w:tcPr>
            <w:tcW w:w="6660" w:type="dxa"/>
            <w:shd w:val="clear" w:color="auto" w:fill="auto"/>
          </w:tcPr>
          <w:p w14:paraId="5C587D2C" w14:textId="77777777" w:rsidR="00E200E5" w:rsidRPr="004E527A" w:rsidRDefault="00E200E5" w:rsidP="00E95828">
            <w:pPr>
              <w:spacing w:after="0"/>
              <w:ind w:left="0"/>
            </w:pPr>
            <w:r w:rsidRPr="004E527A">
              <w:t>It is a requirement for HMG suppliers to have undertaken self-assessment and achieved the Government backed Cyber Essentials scheme.</w:t>
            </w:r>
          </w:p>
        </w:tc>
        <w:tc>
          <w:tcPr>
            <w:tcW w:w="6300" w:type="dxa"/>
            <w:shd w:val="clear" w:color="auto" w:fill="auto"/>
          </w:tcPr>
          <w:p w14:paraId="49C6E6F6" w14:textId="77777777" w:rsidR="00E200E5" w:rsidRPr="004E527A" w:rsidRDefault="00E200E5" w:rsidP="00E95828">
            <w:pPr>
              <w:spacing w:after="0"/>
              <w:ind w:left="0"/>
            </w:pPr>
            <w:r w:rsidRPr="004E527A">
              <w:t>Cyber Essentials Plus with independent assessment and certification.</w:t>
            </w:r>
          </w:p>
        </w:tc>
      </w:tr>
      <w:tr w:rsidR="00E200E5" w:rsidRPr="00750446" w14:paraId="408E3F3B" w14:textId="77777777" w:rsidTr="00E200E5">
        <w:trPr>
          <w:cantSplit/>
        </w:trPr>
        <w:tc>
          <w:tcPr>
            <w:tcW w:w="1920" w:type="dxa"/>
            <w:shd w:val="clear" w:color="auto" w:fill="auto"/>
          </w:tcPr>
          <w:p w14:paraId="3D8025D4" w14:textId="77777777" w:rsidR="00E200E5" w:rsidRPr="004E527A" w:rsidRDefault="00E200E5" w:rsidP="00E95828">
            <w:pPr>
              <w:spacing w:after="0"/>
              <w:ind w:left="0"/>
            </w:pPr>
            <w:r w:rsidRPr="004E527A">
              <w:t>Authorisation</w:t>
            </w:r>
          </w:p>
        </w:tc>
        <w:tc>
          <w:tcPr>
            <w:tcW w:w="6660" w:type="dxa"/>
            <w:shd w:val="clear" w:color="auto" w:fill="auto"/>
          </w:tcPr>
          <w:p w14:paraId="78381AA4" w14:textId="77777777" w:rsidR="00E200E5" w:rsidRPr="004E527A" w:rsidRDefault="00E200E5" w:rsidP="00E95828">
            <w:pPr>
              <w:spacing w:after="0"/>
              <w:ind w:left="0"/>
            </w:pPr>
            <w:r w:rsidRPr="004E527A">
              <w:t>Users and Administrators must be authorised to use the System/Service.</w:t>
            </w:r>
          </w:p>
        </w:tc>
        <w:tc>
          <w:tcPr>
            <w:tcW w:w="6300" w:type="dxa"/>
            <w:shd w:val="clear" w:color="auto" w:fill="auto"/>
          </w:tcPr>
          <w:p w14:paraId="1B63039C" w14:textId="77777777" w:rsidR="00E200E5" w:rsidRPr="004E527A" w:rsidRDefault="00E200E5" w:rsidP="00E95828">
            <w:pPr>
              <w:spacing w:after="0"/>
              <w:ind w:left="0"/>
            </w:pPr>
          </w:p>
        </w:tc>
      </w:tr>
      <w:tr w:rsidR="00E200E5" w:rsidRPr="00750446" w14:paraId="5E512D36" w14:textId="77777777" w:rsidTr="00E200E5">
        <w:trPr>
          <w:cantSplit/>
        </w:trPr>
        <w:tc>
          <w:tcPr>
            <w:tcW w:w="1920" w:type="dxa"/>
            <w:shd w:val="clear" w:color="auto" w:fill="auto"/>
          </w:tcPr>
          <w:p w14:paraId="2C1C7FD2" w14:textId="77777777" w:rsidR="00E200E5" w:rsidRPr="004E527A" w:rsidRDefault="00E200E5" w:rsidP="00E95828">
            <w:pPr>
              <w:spacing w:after="0"/>
              <w:ind w:left="0"/>
            </w:pPr>
            <w:r w:rsidRPr="004E527A">
              <w:t>Authentication</w:t>
            </w:r>
            <w:r w:rsidRPr="004E527A">
              <w:rPr>
                <w:rStyle w:val="FootnoteReference"/>
              </w:rPr>
              <w:footnoteReference w:id="2"/>
            </w:r>
          </w:p>
        </w:tc>
        <w:tc>
          <w:tcPr>
            <w:tcW w:w="6660" w:type="dxa"/>
            <w:shd w:val="clear" w:color="auto" w:fill="auto"/>
          </w:tcPr>
          <w:p w14:paraId="5C605668" w14:textId="77777777" w:rsidR="00E200E5" w:rsidRPr="004E527A" w:rsidRDefault="00E200E5" w:rsidP="00E95828">
            <w:pPr>
              <w:spacing w:after="0"/>
              <w:ind w:left="0"/>
            </w:pPr>
            <w:r w:rsidRPr="004E527A">
              <w:t>Individual passwords must be used to maintain accountability;</w:t>
            </w:r>
          </w:p>
          <w:p w14:paraId="76DFB9AE" w14:textId="77777777" w:rsidR="00E200E5" w:rsidRPr="004E527A" w:rsidRDefault="00E200E5" w:rsidP="00E95828">
            <w:pPr>
              <w:spacing w:after="0"/>
              <w:ind w:left="0"/>
            </w:pPr>
            <w:r w:rsidRPr="004E527A">
              <w:t xml:space="preserve">Robust passwords should be used, that are designed to resist </w:t>
            </w:r>
            <w:proofErr w:type="gramStart"/>
            <w:r w:rsidRPr="004E527A">
              <w:t>machine based</w:t>
            </w:r>
            <w:proofErr w:type="gramEnd"/>
            <w:r w:rsidRPr="004E527A">
              <w:t xml:space="preserve"> attacks as well as more basic guessing attacks.</w:t>
            </w:r>
          </w:p>
          <w:p w14:paraId="7FE3499C" w14:textId="77777777" w:rsidR="00E200E5" w:rsidRPr="004E527A" w:rsidRDefault="00E200E5" w:rsidP="00E95828">
            <w:pPr>
              <w:spacing w:after="0"/>
              <w:ind w:left="0"/>
            </w:pPr>
            <w:r w:rsidRPr="004E527A">
              <w:t>Passwords must be stored in an encrypted form using a one-way hashing algorithm.</w:t>
            </w:r>
          </w:p>
          <w:p w14:paraId="4D8BDA2F" w14:textId="77777777" w:rsidR="00E200E5" w:rsidRPr="004E527A" w:rsidRDefault="00E200E5" w:rsidP="00E95828">
            <w:pPr>
              <w:spacing w:after="0"/>
              <w:ind w:left="0"/>
            </w:pPr>
            <w:r w:rsidRPr="004E527A">
              <w:t xml:space="preserve">Passwords must be able to be changed by the end user, if there is suspicion of compromise. Password must be changed at least every 3 months. </w:t>
            </w:r>
          </w:p>
        </w:tc>
        <w:tc>
          <w:tcPr>
            <w:tcW w:w="6300" w:type="dxa"/>
            <w:shd w:val="clear" w:color="auto" w:fill="auto"/>
          </w:tcPr>
          <w:p w14:paraId="093E284D" w14:textId="77777777" w:rsidR="00E200E5" w:rsidRPr="004E527A" w:rsidRDefault="00E200E5" w:rsidP="00E95828">
            <w:pPr>
              <w:spacing w:after="0"/>
              <w:ind w:left="0"/>
            </w:pPr>
            <w:r w:rsidRPr="004E527A">
              <w:t>Machine generated passwords.</w:t>
            </w:r>
          </w:p>
          <w:p w14:paraId="309CC2AD" w14:textId="77777777" w:rsidR="00E200E5" w:rsidRPr="004E527A" w:rsidRDefault="00E200E5" w:rsidP="00E95828">
            <w:pPr>
              <w:spacing w:after="0"/>
              <w:ind w:left="0"/>
            </w:pPr>
            <w:r w:rsidRPr="004E527A">
              <w:t>Multi-factor authentication should be considered for exposed environments and remote access.</w:t>
            </w:r>
          </w:p>
          <w:p w14:paraId="08E5433D" w14:textId="77777777" w:rsidR="00E200E5" w:rsidRPr="004E527A" w:rsidRDefault="00E200E5" w:rsidP="00E95828">
            <w:pPr>
              <w:spacing w:after="0"/>
              <w:ind w:left="0"/>
            </w:pPr>
            <w:r w:rsidRPr="004E527A">
              <w:t xml:space="preserve">Passwords for privileged accounts/users (Administrators) etc. should be changed more frequently than every 3 months. </w:t>
            </w:r>
          </w:p>
        </w:tc>
      </w:tr>
      <w:tr w:rsidR="00E200E5" w:rsidRPr="00750446" w14:paraId="5F83B29D" w14:textId="77777777" w:rsidTr="00E200E5">
        <w:trPr>
          <w:cantSplit/>
        </w:trPr>
        <w:tc>
          <w:tcPr>
            <w:tcW w:w="1920" w:type="dxa"/>
            <w:shd w:val="clear" w:color="auto" w:fill="auto"/>
          </w:tcPr>
          <w:p w14:paraId="6B405757" w14:textId="77777777" w:rsidR="00E200E5" w:rsidRPr="004E527A" w:rsidRDefault="00E200E5" w:rsidP="00E95828">
            <w:pPr>
              <w:spacing w:after="0"/>
              <w:ind w:left="0"/>
            </w:pPr>
            <w:r w:rsidRPr="004E527A">
              <w:t>Access Control</w:t>
            </w:r>
          </w:p>
        </w:tc>
        <w:tc>
          <w:tcPr>
            <w:tcW w:w="6660" w:type="dxa"/>
            <w:shd w:val="clear" w:color="auto" w:fill="auto"/>
          </w:tcPr>
          <w:p w14:paraId="1E63A5EF" w14:textId="77777777" w:rsidR="00E200E5" w:rsidRPr="004E527A" w:rsidRDefault="00E200E5" w:rsidP="00E95828">
            <w:pPr>
              <w:spacing w:after="0"/>
              <w:ind w:left="0"/>
            </w:pPr>
            <w:r w:rsidRPr="004E527A">
              <w:t>Access rights to HMRC information assets must be revoked on termination of employment.</w:t>
            </w:r>
          </w:p>
          <w:p w14:paraId="6FE18914" w14:textId="77777777" w:rsidR="00E200E5" w:rsidRPr="004E527A" w:rsidRDefault="00E200E5" w:rsidP="00E95828">
            <w:pPr>
              <w:spacing w:after="0"/>
              <w:ind w:left="0"/>
            </w:pPr>
            <w:r w:rsidRPr="004E527A">
              <w:t>Audit logs for access management in place showing a minimum of 30 days of activity.</w:t>
            </w:r>
          </w:p>
        </w:tc>
        <w:tc>
          <w:tcPr>
            <w:tcW w:w="6300" w:type="dxa"/>
            <w:shd w:val="clear" w:color="auto" w:fill="auto"/>
          </w:tcPr>
          <w:p w14:paraId="3A54BA81" w14:textId="77777777" w:rsidR="00E200E5" w:rsidRPr="004E527A" w:rsidRDefault="00E200E5" w:rsidP="00E95828">
            <w:pPr>
              <w:spacing w:after="0"/>
              <w:ind w:left="0"/>
            </w:pPr>
          </w:p>
        </w:tc>
      </w:tr>
      <w:tr w:rsidR="00E200E5" w:rsidRPr="00750446" w14:paraId="0E3CC703" w14:textId="77777777" w:rsidTr="00E200E5">
        <w:trPr>
          <w:cantSplit/>
        </w:trPr>
        <w:tc>
          <w:tcPr>
            <w:tcW w:w="1920" w:type="dxa"/>
            <w:shd w:val="clear" w:color="auto" w:fill="auto"/>
          </w:tcPr>
          <w:p w14:paraId="5A682360" w14:textId="77777777" w:rsidR="00E200E5" w:rsidRPr="004E527A" w:rsidRDefault="00E200E5" w:rsidP="00E95828">
            <w:pPr>
              <w:spacing w:after="0"/>
              <w:ind w:left="0"/>
            </w:pPr>
            <w:r w:rsidRPr="004E527A">
              <w:lastRenderedPageBreak/>
              <w:t>Malware Protection</w:t>
            </w:r>
            <w:r w:rsidRPr="004E527A">
              <w:rPr>
                <w:rStyle w:val="FootnoteReference"/>
              </w:rPr>
              <w:footnoteReference w:id="3"/>
            </w:r>
          </w:p>
        </w:tc>
        <w:tc>
          <w:tcPr>
            <w:tcW w:w="6660" w:type="dxa"/>
            <w:shd w:val="clear" w:color="auto" w:fill="auto"/>
          </w:tcPr>
          <w:p w14:paraId="6821FAC1" w14:textId="77777777" w:rsidR="00E200E5" w:rsidRPr="004E527A" w:rsidRDefault="00E200E5" w:rsidP="00E95828">
            <w:pPr>
              <w:spacing w:after="0"/>
              <w:ind w:left="0"/>
            </w:pPr>
            <w:r w:rsidRPr="004E527A">
              <w:t>Controls such as anti-virus software must detect and prevent infection by known malicious code.</w:t>
            </w:r>
            <w:r w:rsidRPr="004E527A">
              <w:rPr>
                <w:rStyle w:val="FootnoteReference"/>
              </w:rPr>
              <w:footnoteReference w:id="4"/>
            </w:r>
          </w:p>
          <w:p w14:paraId="7A9DB8FE" w14:textId="77777777" w:rsidR="00E200E5" w:rsidRPr="004E527A" w:rsidRDefault="00E200E5" w:rsidP="00E95828">
            <w:pPr>
              <w:spacing w:after="0"/>
              <w:ind w:left="0"/>
            </w:pPr>
            <w:r w:rsidRPr="004E527A">
              <w:t>AV Administrators and users should be trained on use of AV software.</w:t>
            </w:r>
          </w:p>
          <w:p w14:paraId="0FCEE448" w14:textId="77777777" w:rsidR="00E200E5" w:rsidRPr="004E527A" w:rsidRDefault="00E200E5" w:rsidP="00E95828">
            <w:pPr>
              <w:spacing w:after="0"/>
              <w:ind w:left="0"/>
            </w:pPr>
            <w:r w:rsidRPr="004E527A">
              <w:t>Users should receive awareness training so that they are aware of risks posed by malicious code from the use of email and attachments, internet and removable media (CD, DVD, USB devices etc).</w:t>
            </w:r>
          </w:p>
          <w:p w14:paraId="0F186950" w14:textId="77777777" w:rsidR="00E200E5" w:rsidRPr="004E527A" w:rsidRDefault="00E200E5" w:rsidP="00E95828">
            <w:pPr>
              <w:spacing w:after="0"/>
              <w:ind w:left="0"/>
            </w:pPr>
            <w:r w:rsidRPr="004E527A">
              <w:t xml:space="preserve">Software should be </w:t>
            </w:r>
            <w:proofErr w:type="gramStart"/>
            <w:r w:rsidRPr="004E527A">
              <w:t>patched</w:t>
            </w:r>
            <w:proofErr w:type="gramEnd"/>
            <w:r w:rsidRPr="004E527A">
              <w:t xml:space="preserve"> and devices, systems, operating systems and applications should be ‘locked down’ to remove unnecessary services and functionality.</w:t>
            </w:r>
          </w:p>
          <w:p w14:paraId="368CDCA8" w14:textId="77777777" w:rsidR="00E200E5" w:rsidRPr="004E527A" w:rsidRDefault="00E200E5" w:rsidP="00E95828">
            <w:pPr>
              <w:spacing w:after="0"/>
              <w:ind w:left="0"/>
            </w:pPr>
            <w:r w:rsidRPr="004E527A">
              <w:t>File types should be limited.</w:t>
            </w:r>
          </w:p>
          <w:p w14:paraId="54F9F485" w14:textId="77777777" w:rsidR="00E200E5" w:rsidRPr="004E527A" w:rsidRDefault="00E200E5" w:rsidP="00E95828">
            <w:pPr>
              <w:spacing w:after="0"/>
              <w:ind w:left="0"/>
            </w:pPr>
            <w:r w:rsidRPr="004E527A">
              <w:t>System designs/architectural blue prints and network designs should be protected from unauthorised access, loss and destruction.</w:t>
            </w:r>
          </w:p>
          <w:p w14:paraId="142663D7" w14:textId="77777777" w:rsidR="00E200E5" w:rsidRPr="004E527A" w:rsidRDefault="00E200E5" w:rsidP="00E95828">
            <w:pPr>
              <w:spacing w:after="0"/>
              <w:ind w:left="0"/>
            </w:pPr>
            <w:r w:rsidRPr="004E527A">
              <w:t>All users, systems and services must be provided on a least privilege basis to reduce the potential for accidental introduction of malicious code.</w:t>
            </w:r>
          </w:p>
          <w:p w14:paraId="1FD0FA90" w14:textId="77777777" w:rsidR="00E200E5" w:rsidRPr="004E527A" w:rsidRDefault="00E200E5" w:rsidP="00E95828">
            <w:pPr>
              <w:spacing w:after="0"/>
              <w:ind w:left="0"/>
            </w:pPr>
            <w:r w:rsidRPr="004E527A">
              <w:t>Application code development should be tightly controlled and subject to strict quality control to reduce the potential for insertion of backdoors that could be exploited by an attacker.</w:t>
            </w:r>
          </w:p>
          <w:p w14:paraId="2F29166B" w14:textId="77777777" w:rsidR="00E200E5" w:rsidRPr="004E527A" w:rsidRDefault="00E200E5" w:rsidP="00E95828">
            <w:pPr>
              <w:spacing w:after="0"/>
              <w:ind w:left="0"/>
            </w:pPr>
            <w:r w:rsidRPr="004E527A">
              <w:t>For systems attaching to HMRC network, dual layered malware protection and detection capability.</w:t>
            </w:r>
          </w:p>
        </w:tc>
        <w:tc>
          <w:tcPr>
            <w:tcW w:w="6300" w:type="dxa"/>
            <w:shd w:val="clear" w:color="auto" w:fill="auto"/>
          </w:tcPr>
          <w:p w14:paraId="564DD1E0" w14:textId="77777777" w:rsidR="00E200E5" w:rsidRPr="004E527A" w:rsidRDefault="00E200E5" w:rsidP="00E95828">
            <w:pPr>
              <w:spacing w:after="0"/>
              <w:ind w:left="0"/>
            </w:pPr>
            <w:r w:rsidRPr="004E527A">
              <w:t>Consideration should be given to allowing privilege users (System Administrators) to only use a limited ‘non-privilege role’ to conduct vulnerable operations such as browsing or importing via removable media.</w:t>
            </w:r>
          </w:p>
          <w:p w14:paraId="02795166" w14:textId="77777777" w:rsidR="00E200E5" w:rsidRPr="004E527A" w:rsidRDefault="00E200E5" w:rsidP="00E95828">
            <w:pPr>
              <w:spacing w:after="0"/>
              <w:ind w:left="0"/>
            </w:pPr>
          </w:p>
          <w:p w14:paraId="0334736D" w14:textId="77777777" w:rsidR="00E200E5" w:rsidRPr="004E527A" w:rsidRDefault="00E200E5" w:rsidP="00E95828">
            <w:pPr>
              <w:spacing w:after="0"/>
              <w:ind w:left="0"/>
            </w:pPr>
            <w:r w:rsidRPr="004E527A">
              <w:t>Dual layered malware protection and detection capability.</w:t>
            </w:r>
          </w:p>
        </w:tc>
      </w:tr>
      <w:tr w:rsidR="00E200E5" w:rsidRPr="00750446" w14:paraId="4B264E47" w14:textId="77777777" w:rsidTr="00E200E5">
        <w:trPr>
          <w:cantSplit/>
        </w:trPr>
        <w:tc>
          <w:tcPr>
            <w:tcW w:w="1920" w:type="dxa"/>
            <w:shd w:val="clear" w:color="auto" w:fill="auto"/>
          </w:tcPr>
          <w:p w14:paraId="4CAB8138" w14:textId="77777777" w:rsidR="00E200E5" w:rsidRPr="004E527A" w:rsidRDefault="00E200E5" w:rsidP="00E95828">
            <w:pPr>
              <w:spacing w:after="0"/>
              <w:ind w:left="0"/>
            </w:pPr>
            <w:r w:rsidRPr="004E527A">
              <w:lastRenderedPageBreak/>
              <w:t>Network Security</w:t>
            </w:r>
          </w:p>
        </w:tc>
        <w:tc>
          <w:tcPr>
            <w:tcW w:w="6660" w:type="dxa"/>
            <w:shd w:val="clear" w:color="auto" w:fill="auto"/>
          </w:tcPr>
          <w:p w14:paraId="6A893054" w14:textId="77777777" w:rsidR="00E200E5" w:rsidRPr="004E527A" w:rsidRDefault="00E200E5" w:rsidP="00E95828">
            <w:pPr>
              <w:spacing w:after="0"/>
              <w:ind w:left="0"/>
            </w:pPr>
            <w:r w:rsidRPr="004E527A">
              <w:t>Boundary controls that have a content checking and blocking policy in place e.g. firewalls.</w:t>
            </w:r>
          </w:p>
        </w:tc>
        <w:tc>
          <w:tcPr>
            <w:tcW w:w="6300" w:type="dxa"/>
            <w:shd w:val="clear" w:color="auto" w:fill="auto"/>
          </w:tcPr>
          <w:p w14:paraId="2C0FFF3A" w14:textId="77777777" w:rsidR="00E200E5" w:rsidRPr="004E527A" w:rsidRDefault="00E200E5" w:rsidP="00E95828">
            <w:pPr>
              <w:spacing w:after="0"/>
              <w:ind w:left="0"/>
            </w:pPr>
            <w:r w:rsidRPr="004E527A">
              <w:t>Dual paired firewalls, different vendors.</w:t>
            </w:r>
          </w:p>
          <w:p w14:paraId="7CBF1F72" w14:textId="77777777" w:rsidR="00E200E5" w:rsidRPr="004E527A" w:rsidRDefault="00E200E5" w:rsidP="00E95828">
            <w:pPr>
              <w:spacing w:after="0"/>
              <w:ind w:left="0"/>
            </w:pPr>
            <w:r w:rsidRPr="004E527A">
              <w:t>Anomaly detection capability e.g. Network intruder detection system.</w:t>
            </w:r>
          </w:p>
        </w:tc>
      </w:tr>
      <w:tr w:rsidR="00E200E5" w:rsidRPr="00750446" w14:paraId="0BA270FA" w14:textId="77777777" w:rsidTr="00E200E5">
        <w:trPr>
          <w:cantSplit/>
        </w:trPr>
        <w:tc>
          <w:tcPr>
            <w:tcW w:w="1920" w:type="dxa"/>
            <w:shd w:val="clear" w:color="auto" w:fill="auto"/>
          </w:tcPr>
          <w:p w14:paraId="1795C8FF" w14:textId="77777777" w:rsidR="00E200E5" w:rsidRPr="004E527A" w:rsidRDefault="00E200E5" w:rsidP="00E95828">
            <w:pPr>
              <w:spacing w:after="0"/>
              <w:ind w:left="0"/>
            </w:pPr>
            <w:r w:rsidRPr="004E527A">
              <w:t>Disposal of media</w:t>
            </w:r>
          </w:p>
        </w:tc>
        <w:tc>
          <w:tcPr>
            <w:tcW w:w="6660" w:type="dxa"/>
            <w:shd w:val="clear" w:color="auto" w:fill="auto"/>
          </w:tcPr>
          <w:p w14:paraId="684C91E3" w14:textId="77777777" w:rsidR="00E200E5" w:rsidRPr="004E527A" w:rsidRDefault="00E200E5" w:rsidP="00E95828">
            <w:pPr>
              <w:spacing w:after="0"/>
              <w:ind w:left="0"/>
            </w:pPr>
            <w:r w:rsidRPr="004E527A">
              <w:t>HMRC information assets must be sanitised in line with the Security Policy Framework.</w:t>
            </w:r>
          </w:p>
        </w:tc>
        <w:tc>
          <w:tcPr>
            <w:tcW w:w="6300" w:type="dxa"/>
            <w:shd w:val="clear" w:color="auto" w:fill="auto"/>
          </w:tcPr>
          <w:p w14:paraId="5C859498" w14:textId="77777777" w:rsidR="00E200E5" w:rsidRPr="004E527A" w:rsidRDefault="00E200E5" w:rsidP="00E95828">
            <w:pPr>
              <w:spacing w:after="0"/>
              <w:ind w:left="0"/>
            </w:pPr>
          </w:p>
        </w:tc>
      </w:tr>
      <w:tr w:rsidR="00E200E5" w:rsidRPr="00750446" w14:paraId="25D79C9E" w14:textId="77777777" w:rsidTr="00E200E5">
        <w:trPr>
          <w:cantSplit/>
        </w:trPr>
        <w:tc>
          <w:tcPr>
            <w:tcW w:w="1920" w:type="dxa"/>
            <w:shd w:val="clear" w:color="auto" w:fill="auto"/>
          </w:tcPr>
          <w:p w14:paraId="71D4CD8E" w14:textId="77777777" w:rsidR="00E200E5" w:rsidRPr="004E527A" w:rsidRDefault="00E200E5" w:rsidP="00E95828">
            <w:pPr>
              <w:spacing w:after="0"/>
              <w:ind w:left="0"/>
            </w:pPr>
            <w:r w:rsidRPr="004E527A">
              <w:t>Technical Testing</w:t>
            </w:r>
          </w:p>
        </w:tc>
        <w:tc>
          <w:tcPr>
            <w:tcW w:w="6660" w:type="dxa"/>
            <w:shd w:val="clear" w:color="auto" w:fill="auto"/>
          </w:tcPr>
          <w:p w14:paraId="0BDEBD45" w14:textId="77777777" w:rsidR="00E200E5" w:rsidRPr="004E527A" w:rsidRDefault="00E200E5" w:rsidP="00E95828">
            <w:pPr>
              <w:spacing w:after="0"/>
              <w:ind w:left="0"/>
            </w:pPr>
            <w:r w:rsidRPr="004E527A">
              <w:t>IT health check aka penetration testing for front facing internet services delivered to HMRC.</w:t>
            </w:r>
          </w:p>
        </w:tc>
        <w:tc>
          <w:tcPr>
            <w:tcW w:w="6300" w:type="dxa"/>
            <w:shd w:val="clear" w:color="auto" w:fill="auto"/>
          </w:tcPr>
          <w:p w14:paraId="7B0FBD21" w14:textId="77777777" w:rsidR="00E200E5" w:rsidRPr="004E527A" w:rsidRDefault="00E200E5" w:rsidP="00E95828">
            <w:pPr>
              <w:spacing w:after="0"/>
              <w:ind w:left="0"/>
            </w:pPr>
            <w:r w:rsidRPr="004E527A">
              <w:t>Consideration for regular IT health check of application and infrastructure services delivered to HMRC.</w:t>
            </w:r>
          </w:p>
        </w:tc>
      </w:tr>
      <w:tr w:rsidR="00E200E5" w:rsidRPr="00750446" w14:paraId="15154355" w14:textId="77777777" w:rsidTr="00E200E5">
        <w:trPr>
          <w:cantSplit/>
        </w:trPr>
        <w:tc>
          <w:tcPr>
            <w:tcW w:w="1920" w:type="dxa"/>
            <w:shd w:val="clear" w:color="auto" w:fill="auto"/>
          </w:tcPr>
          <w:p w14:paraId="5BA0162A" w14:textId="77777777" w:rsidR="00E200E5" w:rsidRPr="004E527A" w:rsidRDefault="00E200E5" w:rsidP="00E95828">
            <w:pPr>
              <w:spacing w:after="0"/>
              <w:ind w:left="0"/>
              <w:rPr>
                <w:highlight w:val="yellow"/>
              </w:rPr>
            </w:pPr>
            <w:r w:rsidRPr="004E527A">
              <w:t>Use of Laptops and removable recordable media.</w:t>
            </w:r>
          </w:p>
        </w:tc>
        <w:tc>
          <w:tcPr>
            <w:tcW w:w="6660" w:type="dxa"/>
            <w:shd w:val="clear" w:color="auto" w:fill="auto"/>
          </w:tcPr>
          <w:p w14:paraId="277F2F03" w14:textId="77777777" w:rsidR="00E200E5" w:rsidRPr="004E527A" w:rsidRDefault="00E200E5" w:rsidP="00E95828">
            <w:pPr>
              <w:spacing w:after="0"/>
              <w:ind w:left="0"/>
            </w:pPr>
            <w:r w:rsidRPr="004E527A">
              <w:t xml:space="preserve">Laptops holding any information supplied or generated </w:t>
            </w:r>
            <w:proofErr w:type="gramStart"/>
            <w:r w:rsidRPr="004E527A">
              <w:t>as a consequence of</w:t>
            </w:r>
            <w:proofErr w:type="gramEnd"/>
            <w:r w:rsidRPr="004E527A">
              <w:t xml:space="preserve"> a Contract with HMRC must have, as a minimum, a FIPS 140-2 approved full disk encryption solution installed.</w:t>
            </w:r>
          </w:p>
          <w:p w14:paraId="553B5331" w14:textId="77777777" w:rsidR="00E200E5" w:rsidRPr="004E527A" w:rsidRDefault="00E200E5" w:rsidP="00E95828">
            <w:pPr>
              <w:spacing w:after="0"/>
              <w:ind w:left="0"/>
            </w:pPr>
            <w:r w:rsidRPr="004E527A">
              <w:t>Approval from HMRC must be obtained before information assets are placed on removable media</w:t>
            </w:r>
            <w:r w:rsidRPr="004E527A">
              <w:rPr>
                <w:rStyle w:val="FootnoteReference"/>
              </w:rPr>
              <w:footnoteReference w:id="5"/>
            </w:r>
            <w:r w:rsidRPr="004E527A">
              <w:t>. This approval must be documented sufficiently to establish an audit trail of responsibility. All removable media containing information assets must be encrypted. The level of encryption to be applied is determined by the highest HM Government Security Classification of an individual record on the removable media. Unencrypted media containing HMRC information assets must not be taken outside secure locations; the use of unencrypted media to store HMRC information assets must be approved by HMRC.</w:t>
            </w:r>
          </w:p>
        </w:tc>
        <w:tc>
          <w:tcPr>
            <w:tcW w:w="6300" w:type="dxa"/>
            <w:shd w:val="clear" w:color="auto" w:fill="auto"/>
          </w:tcPr>
          <w:p w14:paraId="5FF3551E" w14:textId="77777777" w:rsidR="00E200E5" w:rsidRPr="004E527A" w:rsidRDefault="00E200E5" w:rsidP="00E95828">
            <w:pPr>
              <w:spacing w:after="0"/>
              <w:ind w:left="0"/>
            </w:pPr>
          </w:p>
        </w:tc>
      </w:tr>
    </w:tbl>
    <w:p w14:paraId="6BC4C8C7" w14:textId="77777777" w:rsidR="00E200E5" w:rsidRDefault="00E200E5" w:rsidP="00E95828">
      <w:pPr>
        <w:ind w:left="0"/>
        <w:rPr>
          <w:rFonts w:ascii="Verdana" w:hAnsi="Verdana"/>
          <w:b/>
        </w:rPr>
      </w:pPr>
    </w:p>
    <w:p w14:paraId="6FFB4652" w14:textId="77777777" w:rsidR="00E200E5" w:rsidRDefault="00E200E5" w:rsidP="00E95828">
      <w:pPr>
        <w:ind w:left="0"/>
        <w:rPr>
          <w:b/>
        </w:rPr>
      </w:pPr>
    </w:p>
    <w:p w14:paraId="58735398" w14:textId="77777777" w:rsidR="00E200E5" w:rsidRDefault="00E200E5" w:rsidP="00E95828">
      <w:pPr>
        <w:ind w:left="0"/>
        <w:rPr>
          <w:b/>
        </w:rPr>
      </w:pPr>
    </w:p>
    <w:p w14:paraId="479C77E2" w14:textId="77777777" w:rsidR="00E200E5" w:rsidRDefault="00E200E5" w:rsidP="00E95828">
      <w:pPr>
        <w:ind w:left="0"/>
        <w:rPr>
          <w:b/>
        </w:rPr>
      </w:pPr>
    </w:p>
    <w:p w14:paraId="77575D45" w14:textId="5B5ADB50" w:rsidR="00E200E5" w:rsidRPr="004E527A" w:rsidRDefault="00E200E5" w:rsidP="00E95828">
      <w:pPr>
        <w:ind w:left="0"/>
        <w:rPr>
          <w:b/>
        </w:rPr>
      </w:pPr>
      <w:r w:rsidRPr="004E527A">
        <w:rPr>
          <w:b/>
        </w:rPr>
        <w:lastRenderedPageBreak/>
        <w:t>Appendix C – Personnel Security</w:t>
      </w:r>
    </w:p>
    <w:tbl>
      <w:tblPr>
        <w:tblW w:w="1488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0"/>
        <w:gridCol w:w="6660"/>
        <w:gridCol w:w="6300"/>
      </w:tblGrid>
      <w:tr w:rsidR="00E200E5" w:rsidRPr="00750446" w14:paraId="10F5E984" w14:textId="77777777" w:rsidTr="00E200E5">
        <w:trPr>
          <w:tblHeader/>
        </w:trPr>
        <w:tc>
          <w:tcPr>
            <w:tcW w:w="1920" w:type="dxa"/>
            <w:shd w:val="clear" w:color="auto" w:fill="F3F3F3"/>
          </w:tcPr>
          <w:p w14:paraId="6DA21E51" w14:textId="77777777" w:rsidR="00E200E5" w:rsidRPr="004E527A" w:rsidRDefault="00E200E5" w:rsidP="00E95828">
            <w:pPr>
              <w:spacing w:after="0"/>
              <w:ind w:left="0"/>
              <w:rPr>
                <w:b/>
                <w:color w:val="0000FF"/>
                <w:spacing w:val="-6"/>
              </w:rPr>
            </w:pPr>
            <w:r w:rsidRPr="004E527A">
              <w:rPr>
                <w:b/>
                <w:color w:val="0000FF"/>
                <w:spacing w:val="-6"/>
              </w:rPr>
              <w:t xml:space="preserve">Personnel Security </w:t>
            </w:r>
          </w:p>
        </w:tc>
        <w:tc>
          <w:tcPr>
            <w:tcW w:w="6660" w:type="dxa"/>
            <w:shd w:val="clear" w:color="auto" w:fill="F3F3F3"/>
          </w:tcPr>
          <w:p w14:paraId="7F720C2C" w14:textId="77777777" w:rsidR="00E200E5" w:rsidRPr="004E527A" w:rsidRDefault="00E200E5" w:rsidP="00E95828">
            <w:pPr>
              <w:spacing w:after="0"/>
              <w:ind w:left="0"/>
              <w:rPr>
                <w:b/>
                <w:color w:val="0000FF"/>
              </w:rPr>
            </w:pPr>
            <w:r w:rsidRPr="004E527A">
              <w:rPr>
                <w:b/>
                <w:color w:val="0000FF"/>
              </w:rPr>
              <w:t>Requirements</w:t>
            </w:r>
          </w:p>
        </w:tc>
        <w:tc>
          <w:tcPr>
            <w:tcW w:w="6300" w:type="dxa"/>
            <w:shd w:val="clear" w:color="auto" w:fill="F3F3F3"/>
          </w:tcPr>
          <w:p w14:paraId="5549F2D6" w14:textId="77777777" w:rsidR="00E200E5" w:rsidRPr="004E527A" w:rsidRDefault="00E200E5" w:rsidP="00E95828">
            <w:pPr>
              <w:spacing w:after="0"/>
              <w:ind w:left="0"/>
              <w:rPr>
                <w:b/>
                <w:color w:val="0000FF"/>
              </w:rPr>
            </w:pPr>
            <w:r w:rsidRPr="004E527A">
              <w:rPr>
                <w:b/>
                <w:color w:val="0000FF"/>
              </w:rPr>
              <w:t>Recommended</w:t>
            </w:r>
          </w:p>
        </w:tc>
      </w:tr>
      <w:tr w:rsidR="00E200E5" w:rsidRPr="00750446" w14:paraId="3A3668A5" w14:textId="77777777" w:rsidTr="00E200E5">
        <w:tc>
          <w:tcPr>
            <w:tcW w:w="1920" w:type="dxa"/>
            <w:shd w:val="clear" w:color="auto" w:fill="auto"/>
          </w:tcPr>
          <w:p w14:paraId="450C2466" w14:textId="77777777" w:rsidR="00E200E5" w:rsidRPr="004E527A" w:rsidRDefault="00E200E5" w:rsidP="00E95828">
            <w:pPr>
              <w:spacing w:after="0"/>
              <w:ind w:left="0"/>
              <w:rPr>
                <w:spacing w:val="-6"/>
              </w:rPr>
            </w:pPr>
            <w:r w:rsidRPr="004E527A">
              <w:rPr>
                <w:spacing w:val="-6"/>
              </w:rPr>
              <w:t>Pre-employment checks</w:t>
            </w:r>
          </w:p>
        </w:tc>
        <w:tc>
          <w:tcPr>
            <w:tcW w:w="6660" w:type="dxa"/>
            <w:shd w:val="clear" w:color="auto" w:fill="auto"/>
          </w:tcPr>
          <w:p w14:paraId="7DDD46C6" w14:textId="77777777" w:rsidR="00E200E5" w:rsidRPr="004E527A" w:rsidRDefault="00E200E5" w:rsidP="00E95828">
            <w:pPr>
              <w:spacing w:after="0"/>
              <w:ind w:left="0"/>
            </w:pPr>
            <w:r w:rsidRPr="004E527A">
              <w:t>Pre-employment checks should meet the Baseline Personnel Security Standard (BPSS) and must be completed for all staff with potential or actual access to HMRC assets.</w:t>
            </w:r>
          </w:p>
        </w:tc>
        <w:tc>
          <w:tcPr>
            <w:tcW w:w="6300" w:type="dxa"/>
            <w:shd w:val="clear" w:color="auto" w:fill="auto"/>
          </w:tcPr>
          <w:p w14:paraId="2CF12573" w14:textId="77777777" w:rsidR="00E200E5" w:rsidRPr="004E527A" w:rsidRDefault="00E200E5" w:rsidP="00E95828">
            <w:pPr>
              <w:spacing w:after="0"/>
              <w:ind w:left="0"/>
            </w:pPr>
            <w:r w:rsidRPr="004E527A">
              <w:t xml:space="preserve">See </w:t>
            </w:r>
            <w:r w:rsidRPr="004E527A">
              <w:rPr>
                <w:color w:val="000000"/>
              </w:rPr>
              <w:t>BPSS, available from ww.gov.uk, specifically the information relating to the Disclosure &amp; Barring Service for more information.</w:t>
            </w:r>
          </w:p>
        </w:tc>
      </w:tr>
      <w:tr w:rsidR="00E200E5" w:rsidRPr="00750446" w14:paraId="2E714418" w14:textId="77777777" w:rsidTr="00E200E5">
        <w:tc>
          <w:tcPr>
            <w:tcW w:w="1920" w:type="dxa"/>
            <w:shd w:val="clear" w:color="auto" w:fill="auto"/>
          </w:tcPr>
          <w:p w14:paraId="545960CD" w14:textId="77777777" w:rsidR="00E200E5" w:rsidRPr="004E527A" w:rsidRDefault="00E200E5" w:rsidP="00E95828">
            <w:pPr>
              <w:spacing w:after="0"/>
              <w:ind w:left="0"/>
              <w:rPr>
                <w:spacing w:val="-6"/>
              </w:rPr>
            </w:pPr>
            <w:r w:rsidRPr="004E527A">
              <w:rPr>
                <w:spacing w:val="-6"/>
              </w:rPr>
              <w:t>Confidentiality Agreements</w:t>
            </w:r>
          </w:p>
        </w:tc>
        <w:tc>
          <w:tcPr>
            <w:tcW w:w="6660" w:type="dxa"/>
            <w:shd w:val="clear" w:color="auto" w:fill="auto"/>
          </w:tcPr>
          <w:p w14:paraId="03E370AB" w14:textId="77777777" w:rsidR="00E200E5" w:rsidRPr="004E527A" w:rsidRDefault="00E200E5" w:rsidP="00E95828">
            <w:pPr>
              <w:spacing w:after="0"/>
              <w:ind w:left="0"/>
            </w:pPr>
            <w:r w:rsidRPr="004E527A">
              <w:t xml:space="preserve">Confidentiality Agreements (CA) must be completed by all staff with potential or actual access to HMRC information assets as requested. </w:t>
            </w:r>
          </w:p>
        </w:tc>
        <w:tc>
          <w:tcPr>
            <w:tcW w:w="6300" w:type="dxa"/>
            <w:shd w:val="clear" w:color="auto" w:fill="auto"/>
          </w:tcPr>
          <w:p w14:paraId="4765FB94" w14:textId="77777777" w:rsidR="00E200E5" w:rsidRPr="004E527A" w:rsidRDefault="00E200E5" w:rsidP="00E95828">
            <w:pPr>
              <w:spacing w:after="0"/>
              <w:ind w:left="0"/>
            </w:pPr>
            <w:r w:rsidRPr="004E527A">
              <w:t xml:space="preserve">HMRC’s Commercial Directorate can supply the template form. </w:t>
            </w:r>
          </w:p>
        </w:tc>
      </w:tr>
    </w:tbl>
    <w:p w14:paraId="4A4E12B4" w14:textId="77777777" w:rsidR="00E200E5" w:rsidRDefault="00E200E5" w:rsidP="00E95828">
      <w:pPr>
        <w:ind w:left="0"/>
        <w:rPr>
          <w:rFonts w:ascii="Verdana" w:hAnsi="Verdana"/>
          <w:b/>
        </w:rPr>
      </w:pPr>
    </w:p>
    <w:p w14:paraId="30304FE5" w14:textId="77777777" w:rsidR="00E200E5" w:rsidRPr="004E527A" w:rsidRDefault="00E200E5" w:rsidP="00E95828">
      <w:pPr>
        <w:ind w:left="0"/>
        <w:rPr>
          <w:b/>
        </w:rPr>
      </w:pPr>
      <w:r w:rsidRPr="004E527A">
        <w:rPr>
          <w:b/>
        </w:rPr>
        <w:t>Appendix D – Process Security</w:t>
      </w:r>
    </w:p>
    <w:tbl>
      <w:tblPr>
        <w:tblW w:w="1488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7540"/>
        <w:gridCol w:w="5420"/>
      </w:tblGrid>
      <w:tr w:rsidR="00E200E5" w:rsidRPr="00750446" w14:paraId="1E5D6930" w14:textId="77777777" w:rsidTr="00E200E5">
        <w:trPr>
          <w:cantSplit/>
          <w:tblHeader/>
        </w:trPr>
        <w:tc>
          <w:tcPr>
            <w:tcW w:w="1920" w:type="dxa"/>
            <w:shd w:val="clear" w:color="auto" w:fill="F3F3F3"/>
          </w:tcPr>
          <w:p w14:paraId="4875C920" w14:textId="77777777" w:rsidR="00E200E5" w:rsidRPr="004E527A" w:rsidRDefault="00E200E5" w:rsidP="00E95828">
            <w:pPr>
              <w:spacing w:after="0"/>
              <w:ind w:left="0"/>
              <w:rPr>
                <w:b/>
                <w:color w:val="0000FF"/>
                <w:spacing w:val="-8"/>
              </w:rPr>
            </w:pPr>
            <w:r w:rsidRPr="004E527A">
              <w:rPr>
                <w:b/>
                <w:color w:val="0000FF"/>
                <w:spacing w:val="-8"/>
              </w:rPr>
              <w:t xml:space="preserve">Process Security </w:t>
            </w:r>
          </w:p>
        </w:tc>
        <w:tc>
          <w:tcPr>
            <w:tcW w:w="7540" w:type="dxa"/>
            <w:shd w:val="clear" w:color="auto" w:fill="F3F3F3"/>
          </w:tcPr>
          <w:p w14:paraId="69B1AEA8" w14:textId="77777777" w:rsidR="00E200E5" w:rsidRPr="004E527A" w:rsidRDefault="00E200E5" w:rsidP="00E95828">
            <w:pPr>
              <w:spacing w:after="0"/>
              <w:ind w:left="0"/>
              <w:rPr>
                <w:b/>
                <w:color w:val="0000FF"/>
              </w:rPr>
            </w:pPr>
            <w:r w:rsidRPr="004E527A">
              <w:rPr>
                <w:b/>
                <w:color w:val="0000FF"/>
              </w:rPr>
              <w:t>Requirements</w:t>
            </w:r>
          </w:p>
        </w:tc>
        <w:tc>
          <w:tcPr>
            <w:tcW w:w="5420" w:type="dxa"/>
            <w:shd w:val="clear" w:color="auto" w:fill="F3F3F3"/>
          </w:tcPr>
          <w:p w14:paraId="608661A9" w14:textId="77777777" w:rsidR="00E200E5" w:rsidRPr="004E527A" w:rsidRDefault="00E200E5" w:rsidP="00E95828">
            <w:pPr>
              <w:spacing w:after="0"/>
              <w:ind w:left="0"/>
              <w:rPr>
                <w:b/>
                <w:color w:val="0000FF"/>
              </w:rPr>
            </w:pPr>
            <w:r w:rsidRPr="004E527A">
              <w:rPr>
                <w:b/>
                <w:color w:val="0000FF"/>
              </w:rPr>
              <w:t>Recommended</w:t>
            </w:r>
          </w:p>
        </w:tc>
      </w:tr>
      <w:tr w:rsidR="00E200E5" w:rsidRPr="00750446" w14:paraId="53B06003" w14:textId="77777777" w:rsidTr="00E200E5">
        <w:trPr>
          <w:cantSplit/>
        </w:trPr>
        <w:tc>
          <w:tcPr>
            <w:tcW w:w="1920" w:type="dxa"/>
            <w:shd w:val="clear" w:color="auto" w:fill="auto"/>
          </w:tcPr>
          <w:p w14:paraId="00991349" w14:textId="77777777" w:rsidR="00E200E5" w:rsidRPr="004E527A" w:rsidRDefault="00E200E5" w:rsidP="00E95828">
            <w:pPr>
              <w:spacing w:after="0"/>
              <w:ind w:left="0"/>
              <w:rPr>
                <w:spacing w:val="-8"/>
              </w:rPr>
            </w:pPr>
            <w:r w:rsidRPr="004E527A">
              <w:rPr>
                <w:spacing w:val="-8"/>
              </w:rPr>
              <w:t>Security Policies, Processes and Procedures</w:t>
            </w:r>
          </w:p>
        </w:tc>
        <w:tc>
          <w:tcPr>
            <w:tcW w:w="7540" w:type="dxa"/>
            <w:shd w:val="clear" w:color="auto" w:fill="auto"/>
          </w:tcPr>
          <w:p w14:paraId="0B857784" w14:textId="77777777" w:rsidR="00E200E5" w:rsidRPr="004E527A" w:rsidRDefault="00E200E5" w:rsidP="00E95828">
            <w:pPr>
              <w:spacing w:after="0"/>
              <w:ind w:left="0"/>
            </w:pPr>
            <w:r w:rsidRPr="004E527A">
              <w:t>Procedures should be in place to determine whether any compromise of HMRC assets e.g. loss or modification of information, software and hardware has occurred.</w:t>
            </w:r>
          </w:p>
          <w:p w14:paraId="1A46CBF0" w14:textId="77777777" w:rsidR="00E200E5" w:rsidRPr="004E527A" w:rsidRDefault="00E200E5" w:rsidP="00E95828">
            <w:pPr>
              <w:spacing w:after="0"/>
              <w:ind w:left="0"/>
            </w:pPr>
            <w:r w:rsidRPr="004E527A">
              <w:t>Procedures for the handling and storage of HMRC information assets should be established to protect from unauthorised disclosure and/or misuse.</w:t>
            </w:r>
          </w:p>
          <w:p w14:paraId="290A7205" w14:textId="77777777" w:rsidR="00E200E5" w:rsidRPr="004E527A" w:rsidRDefault="00E200E5" w:rsidP="00E95828">
            <w:pPr>
              <w:spacing w:after="0"/>
              <w:ind w:left="0"/>
            </w:pPr>
            <w:r w:rsidRPr="004E527A">
              <w:t xml:space="preserve">End of day procedures should ensure that HMRC assets are adequately protected from unauthorised access. </w:t>
            </w:r>
          </w:p>
          <w:p w14:paraId="10C4F203" w14:textId="77777777" w:rsidR="00E200E5" w:rsidRPr="004E527A" w:rsidRDefault="00E200E5" w:rsidP="00E95828">
            <w:pPr>
              <w:spacing w:after="0"/>
              <w:ind w:left="0"/>
            </w:pPr>
            <w:r w:rsidRPr="004E527A">
              <w:t>A clear desk policy should be enforced.</w:t>
            </w:r>
          </w:p>
          <w:p w14:paraId="6E852428" w14:textId="77777777" w:rsidR="00E200E5" w:rsidRPr="004E527A" w:rsidRDefault="00E200E5" w:rsidP="00E95828">
            <w:pPr>
              <w:spacing w:after="0"/>
              <w:ind w:left="0"/>
            </w:pPr>
            <w:r w:rsidRPr="004E527A">
              <w:t>Procedures must be in place to ensure HMRC’s assets are segregated from any other Client’s assets held by the contractor.</w:t>
            </w:r>
          </w:p>
          <w:p w14:paraId="04C90A88" w14:textId="77777777" w:rsidR="00E200E5" w:rsidRPr="004E527A" w:rsidRDefault="00E200E5" w:rsidP="00E95828">
            <w:pPr>
              <w:spacing w:after="0"/>
              <w:ind w:left="0"/>
            </w:pPr>
            <w:r w:rsidRPr="004E527A">
              <w:t>Procedures for the secure disposal of HMRC’s assets must be in place.</w:t>
            </w:r>
          </w:p>
          <w:p w14:paraId="2FA5C62B" w14:textId="77777777" w:rsidR="00E200E5" w:rsidRPr="004E527A" w:rsidRDefault="00E200E5" w:rsidP="00E95828">
            <w:pPr>
              <w:spacing w:after="0"/>
              <w:ind w:left="0"/>
            </w:pPr>
            <w:r w:rsidRPr="004E527A">
              <w:t xml:space="preserve">A challenge culture should be fostered, so that unknown staff or visitors are challenged. Where an access control system is used tailgating should be discouraged. </w:t>
            </w:r>
          </w:p>
        </w:tc>
        <w:tc>
          <w:tcPr>
            <w:tcW w:w="5420" w:type="dxa"/>
            <w:shd w:val="clear" w:color="auto" w:fill="auto"/>
          </w:tcPr>
          <w:p w14:paraId="05B03365" w14:textId="77777777" w:rsidR="00E200E5" w:rsidRPr="004E527A" w:rsidRDefault="00E200E5" w:rsidP="00E95828">
            <w:pPr>
              <w:spacing w:after="0"/>
              <w:ind w:left="0"/>
            </w:pPr>
            <w:r w:rsidRPr="004E527A">
              <w:t>Assets, especially information assets must be destroyed when no longer required so that they cannot be reconstituted or reused by an unauthorised third party. Shedding is recommended. Electronic files should be weeded and deleted when no longer required.</w:t>
            </w:r>
          </w:p>
        </w:tc>
      </w:tr>
      <w:tr w:rsidR="00E200E5" w:rsidRPr="00750446" w14:paraId="4794626B" w14:textId="77777777" w:rsidTr="00E200E5">
        <w:trPr>
          <w:cantSplit/>
        </w:trPr>
        <w:tc>
          <w:tcPr>
            <w:tcW w:w="1920" w:type="dxa"/>
            <w:shd w:val="clear" w:color="auto" w:fill="auto"/>
          </w:tcPr>
          <w:p w14:paraId="30604761" w14:textId="77777777" w:rsidR="00E200E5" w:rsidRPr="004E527A" w:rsidRDefault="00E200E5" w:rsidP="00E95828">
            <w:pPr>
              <w:spacing w:after="0"/>
              <w:ind w:left="0"/>
            </w:pPr>
            <w:r w:rsidRPr="004E527A">
              <w:lastRenderedPageBreak/>
              <w:t>Transfer of HMRC Data</w:t>
            </w:r>
          </w:p>
        </w:tc>
        <w:tc>
          <w:tcPr>
            <w:tcW w:w="7540" w:type="dxa"/>
            <w:shd w:val="clear" w:color="auto" w:fill="auto"/>
          </w:tcPr>
          <w:p w14:paraId="789F2A7A" w14:textId="77777777" w:rsidR="00E200E5" w:rsidRPr="004E527A" w:rsidRDefault="00E200E5" w:rsidP="00E95828">
            <w:pPr>
              <w:spacing w:after="0"/>
              <w:ind w:left="0"/>
            </w:pPr>
            <w:r w:rsidRPr="004E527A">
              <w:t>Any proposed transfer of HMRC data must be approved by HMRC in writing. If the Contractor is unsure whether approval has been given, the data transfer must not proceed.</w:t>
            </w:r>
          </w:p>
          <w:p w14:paraId="0D2D8D26" w14:textId="77777777" w:rsidR="00E200E5" w:rsidRPr="004E527A" w:rsidRDefault="00E200E5" w:rsidP="00E95828">
            <w:pPr>
              <w:spacing w:after="0"/>
              <w:ind w:left="0"/>
            </w:pPr>
            <w:r w:rsidRPr="004E527A">
              <w:t xml:space="preserve">Where data transfers are necessary in the performance of the Contract, they should be made by automated electronic secure transmission via the Government Secure Internet (GSI) with the appropriate level of security control. Individual data records (unless as part of a bulk transfer of an anonymised respondent survey data) will require specific transfer arrangements. Transfer of aggregated data such as results, presentations, draft and final reports may also need discussion and agreement, again in advance of any such transfer. </w:t>
            </w:r>
          </w:p>
        </w:tc>
        <w:tc>
          <w:tcPr>
            <w:tcW w:w="5420" w:type="dxa"/>
            <w:shd w:val="clear" w:color="auto" w:fill="auto"/>
          </w:tcPr>
          <w:p w14:paraId="278CA3FA" w14:textId="77777777" w:rsidR="00E200E5" w:rsidRPr="004E527A" w:rsidRDefault="00E200E5" w:rsidP="00E95828">
            <w:pPr>
              <w:spacing w:after="0"/>
              <w:ind w:left="0"/>
            </w:pPr>
            <w:r w:rsidRPr="004E527A">
              <w:rPr>
                <w:b/>
              </w:rPr>
              <w:t>Whenever possible, putting data on to removable media should be avoided.</w:t>
            </w:r>
            <w:r w:rsidRPr="004E527A">
              <w:t xml:space="preserve"> Where this is unavoidable, hard drives and personal digital assistants, CD-ROM/DVD/floppy/USB sticks are only to be used after discussion and agreement with the HMRC in advance of any such transfer. </w:t>
            </w:r>
          </w:p>
          <w:p w14:paraId="597B7800" w14:textId="77777777" w:rsidR="00E200E5" w:rsidRPr="004E527A" w:rsidRDefault="00E200E5" w:rsidP="00E95828">
            <w:pPr>
              <w:spacing w:after="0"/>
              <w:ind w:left="0"/>
            </w:pPr>
            <w:r w:rsidRPr="004E527A">
              <w:t>If the use of removable media is approved, data must be written to them in a secure, centralised environment and be encrypted to the HMRC’s standards.</w:t>
            </w:r>
          </w:p>
          <w:p w14:paraId="70B76B18" w14:textId="77777777" w:rsidR="00E200E5" w:rsidRPr="004E527A" w:rsidRDefault="00E200E5" w:rsidP="00E95828">
            <w:pPr>
              <w:spacing w:after="0"/>
              <w:ind w:left="0"/>
            </w:pPr>
            <w:r w:rsidRPr="004E527A">
              <w:t xml:space="preserve">If you anticipate transferring data on removable media during the delivery of this </w:t>
            </w:r>
            <w:proofErr w:type="gramStart"/>
            <w:r w:rsidRPr="004E527A">
              <w:t>project</w:t>
            </w:r>
            <w:proofErr w:type="gramEnd"/>
            <w:r w:rsidRPr="004E527A">
              <w:t xml:space="preserve"> please set out your proposed transfer procedures.</w:t>
            </w:r>
          </w:p>
        </w:tc>
      </w:tr>
      <w:tr w:rsidR="00E200E5" w:rsidRPr="00750446" w14:paraId="71F8B777" w14:textId="77777777" w:rsidTr="00E200E5">
        <w:trPr>
          <w:cantSplit/>
        </w:trPr>
        <w:tc>
          <w:tcPr>
            <w:tcW w:w="1920" w:type="dxa"/>
            <w:shd w:val="clear" w:color="auto" w:fill="auto"/>
          </w:tcPr>
          <w:p w14:paraId="22906F86" w14:textId="77777777" w:rsidR="00E200E5" w:rsidRPr="004E527A" w:rsidRDefault="00E200E5" w:rsidP="00E95828">
            <w:pPr>
              <w:spacing w:after="0"/>
              <w:ind w:left="0"/>
              <w:rPr>
                <w:spacing w:val="-8"/>
              </w:rPr>
            </w:pPr>
            <w:r w:rsidRPr="004E527A">
              <w:rPr>
                <w:spacing w:val="-8"/>
              </w:rPr>
              <w:t>Incident Management</w:t>
            </w:r>
          </w:p>
        </w:tc>
        <w:tc>
          <w:tcPr>
            <w:tcW w:w="7540" w:type="dxa"/>
            <w:shd w:val="clear" w:color="auto" w:fill="auto"/>
          </w:tcPr>
          <w:p w14:paraId="1A133A8E" w14:textId="77777777" w:rsidR="00E200E5" w:rsidRPr="004E527A" w:rsidRDefault="00E200E5" w:rsidP="00E95828">
            <w:pPr>
              <w:spacing w:after="0"/>
              <w:ind w:left="0"/>
            </w:pPr>
            <w:r w:rsidRPr="004E527A">
              <w:t>Arrangements should be in place for reporting security breaches to the asset owner.</w:t>
            </w:r>
          </w:p>
        </w:tc>
        <w:tc>
          <w:tcPr>
            <w:tcW w:w="5420" w:type="dxa"/>
            <w:shd w:val="clear" w:color="auto" w:fill="auto"/>
          </w:tcPr>
          <w:p w14:paraId="6EBA0903" w14:textId="77777777" w:rsidR="00E200E5" w:rsidRPr="004E527A" w:rsidRDefault="00E200E5" w:rsidP="00E95828">
            <w:pPr>
              <w:spacing w:after="0"/>
              <w:ind w:left="0"/>
            </w:pPr>
          </w:p>
        </w:tc>
      </w:tr>
    </w:tbl>
    <w:p w14:paraId="6DA34857" w14:textId="77777777" w:rsidR="00E200E5" w:rsidRDefault="00E200E5" w:rsidP="00E95828">
      <w:pPr>
        <w:ind w:left="0"/>
        <w:rPr>
          <w:rFonts w:ascii="Verdana" w:hAnsi="Verdana"/>
          <w:b/>
        </w:rPr>
      </w:pPr>
    </w:p>
    <w:p w14:paraId="2C1B120A" w14:textId="77777777" w:rsidR="00E200E5" w:rsidRPr="004E527A" w:rsidRDefault="00E200E5" w:rsidP="00E95828">
      <w:pPr>
        <w:ind w:left="0"/>
        <w:rPr>
          <w:b/>
        </w:rPr>
      </w:pPr>
      <w:r w:rsidRPr="004E527A">
        <w:rPr>
          <w:b/>
        </w:rPr>
        <w:t>Appendix E – Business Continuity</w:t>
      </w:r>
    </w:p>
    <w:tbl>
      <w:tblPr>
        <w:tblW w:w="1488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7540"/>
        <w:gridCol w:w="5420"/>
      </w:tblGrid>
      <w:tr w:rsidR="00E200E5" w:rsidRPr="00750446" w14:paraId="25D9DD72" w14:textId="77777777" w:rsidTr="00E200E5">
        <w:trPr>
          <w:tblHeader/>
        </w:trPr>
        <w:tc>
          <w:tcPr>
            <w:tcW w:w="1920" w:type="dxa"/>
            <w:shd w:val="clear" w:color="auto" w:fill="F3F3F3"/>
          </w:tcPr>
          <w:p w14:paraId="258FDAC8" w14:textId="77777777" w:rsidR="00E200E5" w:rsidRPr="004E527A" w:rsidRDefault="00E200E5" w:rsidP="00E95828">
            <w:pPr>
              <w:spacing w:after="0"/>
              <w:ind w:left="0"/>
              <w:rPr>
                <w:b/>
                <w:color w:val="0000FF"/>
                <w:spacing w:val="-8"/>
              </w:rPr>
            </w:pPr>
            <w:r w:rsidRPr="004E527A">
              <w:rPr>
                <w:b/>
                <w:color w:val="0000FF"/>
                <w:spacing w:val="-8"/>
              </w:rPr>
              <w:t>Business Continuity Requirements</w:t>
            </w:r>
          </w:p>
        </w:tc>
        <w:tc>
          <w:tcPr>
            <w:tcW w:w="7540" w:type="dxa"/>
            <w:shd w:val="clear" w:color="auto" w:fill="F3F3F3"/>
          </w:tcPr>
          <w:p w14:paraId="1AC8F9A2" w14:textId="77777777" w:rsidR="00E200E5" w:rsidRPr="004E527A" w:rsidRDefault="00E200E5" w:rsidP="00E95828">
            <w:pPr>
              <w:spacing w:after="0"/>
              <w:ind w:left="0"/>
              <w:rPr>
                <w:caps/>
                <w:color w:val="0000FF"/>
              </w:rPr>
            </w:pPr>
            <w:r w:rsidRPr="004E527A">
              <w:rPr>
                <w:b/>
                <w:color w:val="0000FF"/>
              </w:rPr>
              <w:t>Requirements</w:t>
            </w:r>
          </w:p>
        </w:tc>
        <w:tc>
          <w:tcPr>
            <w:tcW w:w="5420" w:type="dxa"/>
            <w:shd w:val="clear" w:color="auto" w:fill="F3F3F3"/>
          </w:tcPr>
          <w:p w14:paraId="2B1D8090" w14:textId="77777777" w:rsidR="00E200E5" w:rsidRPr="004E527A" w:rsidRDefault="00E200E5" w:rsidP="00E95828">
            <w:pPr>
              <w:spacing w:after="0"/>
              <w:ind w:left="0"/>
              <w:rPr>
                <w:b/>
                <w:color w:val="0000FF"/>
              </w:rPr>
            </w:pPr>
            <w:r w:rsidRPr="004E527A">
              <w:rPr>
                <w:b/>
                <w:color w:val="0000FF"/>
              </w:rPr>
              <w:t>Recommended</w:t>
            </w:r>
          </w:p>
        </w:tc>
      </w:tr>
      <w:tr w:rsidR="00E200E5" w:rsidRPr="00750446" w14:paraId="7055D240" w14:textId="77777777" w:rsidTr="00E200E5">
        <w:tc>
          <w:tcPr>
            <w:tcW w:w="1920" w:type="dxa"/>
            <w:shd w:val="clear" w:color="auto" w:fill="auto"/>
          </w:tcPr>
          <w:p w14:paraId="32111CAE" w14:textId="77777777" w:rsidR="00E200E5" w:rsidRPr="004E527A" w:rsidRDefault="00E200E5" w:rsidP="00E95828">
            <w:pPr>
              <w:spacing w:after="0"/>
              <w:ind w:left="0"/>
              <w:rPr>
                <w:spacing w:val="-8"/>
              </w:rPr>
            </w:pPr>
            <w:r w:rsidRPr="004E527A">
              <w:rPr>
                <w:spacing w:val="-8"/>
              </w:rPr>
              <w:t>Business Continuity Management</w:t>
            </w:r>
          </w:p>
        </w:tc>
        <w:tc>
          <w:tcPr>
            <w:tcW w:w="7540" w:type="dxa"/>
            <w:shd w:val="clear" w:color="auto" w:fill="auto"/>
          </w:tcPr>
          <w:p w14:paraId="558616E0" w14:textId="77777777" w:rsidR="00E200E5" w:rsidRPr="004E527A" w:rsidRDefault="00E200E5" w:rsidP="00E95828">
            <w:pPr>
              <w:spacing w:after="0"/>
              <w:ind w:left="0"/>
            </w:pPr>
            <w:r w:rsidRPr="004E527A">
              <w:t xml:space="preserve">Suppliers should provide HMRC with clear evidence of the effectiveness of its Business Continuity management arrangements and alignment with recognised industry standards, by assessing risks to their operations and producing and maintaining business continuity documentation </w:t>
            </w:r>
          </w:p>
        </w:tc>
        <w:tc>
          <w:tcPr>
            <w:tcW w:w="5420" w:type="dxa"/>
            <w:shd w:val="clear" w:color="auto" w:fill="auto"/>
          </w:tcPr>
          <w:p w14:paraId="14287D26" w14:textId="77777777" w:rsidR="00E200E5" w:rsidRPr="004E527A" w:rsidRDefault="00E200E5" w:rsidP="00E95828">
            <w:pPr>
              <w:spacing w:after="0"/>
              <w:ind w:left="0"/>
            </w:pPr>
          </w:p>
        </w:tc>
      </w:tr>
    </w:tbl>
    <w:p w14:paraId="276FCAFA" w14:textId="77777777" w:rsidR="00E200E5" w:rsidRDefault="00E200E5" w:rsidP="00E95828">
      <w:pPr>
        <w:ind w:left="0"/>
      </w:pPr>
    </w:p>
    <w:p w14:paraId="7A00585A" w14:textId="77777777" w:rsidR="00E200E5" w:rsidRPr="004B6008" w:rsidRDefault="00E200E5" w:rsidP="00E95828">
      <w:pPr>
        <w:overflowPunct/>
        <w:autoSpaceDE/>
        <w:autoSpaceDN/>
        <w:adjustRightInd/>
        <w:spacing w:after="0"/>
        <w:ind w:left="0"/>
        <w:jc w:val="left"/>
        <w:rPr>
          <w:lang w:eastAsia="en-GB"/>
        </w:rPr>
      </w:pPr>
    </w:p>
    <w:sectPr w:rsidR="00E200E5" w:rsidRPr="004B6008" w:rsidSect="00E95828">
      <w:endnotePr>
        <w:numFmt w:val="decimal"/>
      </w:endnotePr>
      <w:pgSz w:w="16839" w:h="11907" w:orient="landscape" w:code="9"/>
      <w:pgMar w:top="1417" w:right="1440" w:bottom="1440" w:left="156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83A79" w14:textId="77777777" w:rsidR="006560F8" w:rsidRDefault="006560F8">
      <w:r>
        <w:separator/>
      </w:r>
    </w:p>
    <w:p w14:paraId="47B7EE8D" w14:textId="77777777" w:rsidR="006560F8" w:rsidRDefault="006560F8"/>
    <w:p w14:paraId="764772B5" w14:textId="77777777" w:rsidR="006560F8" w:rsidRDefault="006560F8"/>
    <w:p w14:paraId="2E0881A4" w14:textId="77777777" w:rsidR="006560F8" w:rsidRDefault="006560F8"/>
    <w:p w14:paraId="17623C09" w14:textId="77777777" w:rsidR="006560F8" w:rsidRDefault="006560F8"/>
  </w:endnote>
  <w:endnote w:type="continuationSeparator" w:id="0">
    <w:p w14:paraId="2AF78EE1" w14:textId="77777777" w:rsidR="006560F8" w:rsidRDefault="006560F8">
      <w:r>
        <w:continuationSeparator/>
      </w:r>
    </w:p>
    <w:p w14:paraId="763120C1" w14:textId="77777777" w:rsidR="006560F8" w:rsidRDefault="006560F8"/>
    <w:p w14:paraId="55C29635" w14:textId="77777777" w:rsidR="006560F8" w:rsidRDefault="006560F8"/>
    <w:p w14:paraId="2509401A" w14:textId="77777777" w:rsidR="006560F8" w:rsidRDefault="006560F8"/>
    <w:p w14:paraId="6EECFEE8" w14:textId="77777777" w:rsidR="006560F8" w:rsidRDefault="006560F8"/>
  </w:endnote>
  <w:endnote w:type="continuationNotice" w:id="1">
    <w:p w14:paraId="2378D0D0" w14:textId="77777777" w:rsidR="006560F8" w:rsidRDefault="006560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TZhongsong">
    <w:altName w:val="SimSun"/>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mp;quo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6D0A1" w14:textId="77777777" w:rsidR="00E200E5" w:rsidRPr="00D53DEB" w:rsidRDefault="00E200E5"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339468AD" w:rsidR="00E200E5" w:rsidRPr="00D53DEB" w:rsidRDefault="00E200E5"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w:t>
    </w:r>
    <w:r>
      <w:rPr>
        <w:sz w:val="16"/>
        <w:szCs w:val="16"/>
      </w:rPr>
      <w:t xml:space="preserve"> Call Off</w:t>
    </w:r>
    <w:r w:rsidRPr="00D53DEB">
      <w:rPr>
        <w:sz w:val="16"/>
        <w:szCs w:val="16"/>
      </w:rPr>
      <w:t xml:space="preserve"> Order Form </w:t>
    </w:r>
  </w:p>
  <w:p w14:paraId="54FD3511" w14:textId="77777777" w:rsidR="00E200E5" w:rsidRDefault="00E200E5"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E200E5" w:rsidRDefault="00E200E5" w:rsidP="00054E54">
    <w:pPr>
      <w:pStyle w:val="Footer"/>
      <w:pBdr>
        <w:top w:val="single" w:sz="6" w:space="1" w:color="auto"/>
      </w:pBdr>
      <w:tabs>
        <w:tab w:val="right" w:pos="8647"/>
      </w:tabs>
      <w:ind w:left="0"/>
      <w:rPr>
        <w:sz w:val="16"/>
        <w:szCs w:val="16"/>
      </w:rPr>
    </w:pPr>
    <w:r>
      <w:rPr>
        <w:sz w:val="16"/>
        <w:szCs w:val="16"/>
      </w:rPr>
      <w:t>© Crown copyright 2018</w:t>
    </w:r>
  </w:p>
  <w:p w14:paraId="08DC505A" w14:textId="77777777" w:rsidR="00E200E5" w:rsidRPr="00054E54" w:rsidRDefault="00E200E5">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Pr>
        <w:noProof/>
        <w:sz w:val="16"/>
        <w:szCs w:val="16"/>
      </w:rPr>
      <w:t>3</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F1CE" w14:textId="77777777" w:rsidR="00E200E5" w:rsidRDefault="00E200E5"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14708ABE" w:rsidR="00E200E5" w:rsidRPr="004319D6" w:rsidRDefault="00E200E5" w:rsidP="00054E54">
    <w:pPr>
      <w:pStyle w:val="Footer"/>
      <w:pBdr>
        <w:top w:val="single" w:sz="6" w:space="1" w:color="auto"/>
      </w:pBdr>
      <w:tabs>
        <w:tab w:val="right" w:pos="8647"/>
      </w:tabs>
      <w:ind w:left="0"/>
      <w:rPr>
        <w:sz w:val="16"/>
        <w:szCs w:val="16"/>
      </w:rPr>
    </w:pPr>
    <w:r>
      <w:rPr>
        <w:sz w:val="16"/>
        <w:szCs w:val="16"/>
      </w:rPr>
      <w:t xml:space="preserve">Framework Schedule 4 – Template Call Off Order Form </w:t>
    </w:r>
  </w:p>
  <w:p w14:paraId="2B4346B7" w14:textId="77777777" w:rsidR="00E200E5" w:rsidRDefault="00E200E5"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E200E5" w:rsidRPr="009968DA" w:rsidRDefault="00E200E5"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E200E5" w:rsidRDefault="00E200E5" w:rsidP="00054E54">
    <w:pPr>
      <w:pStyle w:val="Footer"/>
      <w:pBdr>
        <w:top w:val="single" w:sz="6" w:space="1" w:color="auto"/>
      </w:pBdr>
      <w:tabs>
        <w:tab w:val="right" w:pos="8647"/>
      </w:tabs>
      <w:ind w:left="0"/>
      <w:rPr>
        <w:sz w:val="16"/>
        <w:szCs w:val="16"/>
      </w:rPr>
    </w:pPr>
  </w:p>
  <w:p w14:paraId="73B75459" w14:textId="77777777" w:rsidR="00E200E5" w:rsidRPr="00054E54" w:rsidRDefault="00E200E5"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Pr>
        <w:noProof/>
        <w:sz w:val="16"/>
        <w:szCs w:val="16"/>
      </w:rPr>
      <w:t>1</w:t>
    </w:r>
    <w:r w:rsidRPr="00054E54">
      <w:rPr>
        <w:noProof/>
        <w:sz w:val="16"/>
        <w:szCs w:val="16"/>
      </w:rPr>
      <w:fldChar w:fldCharType="end"/>
    </w:r>
  </w:p>
  <w:p w14:paraId="5B2BBFDC" w14:textId="77777777" w:rsidR="00E200E5" w:rsidRDefault="00E20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DD092" w14:textId="77777777" w:rsidR="006560F8" w:rsidRDefault="006560F8">
      <w:r>
        <w:separator/>
      </w:r>
    </w:p>
  </w:footnote>
  <w:footnote w:type="continuationSeparator" w:id="0">
    <w:p w14:paraId="08E6461D" w14:textId="77777777" w:rsidR="006560F8" w:rsidRDefault="006560F8">
      <w:r>
        <w:continuationSeparator/>
      </w:r>
    </w:p>
  </w:footnote>
  <w:footnote w:type="continuationNotice" w:id="1">
    <w:p w14:paraId="2E1D524F" w14:textId="77777777" w:rsidR="006560F8" w:rsidRDefault="006560F8">
      <w:pPr>
        <w:spacing w:after="0"/>
      </w:pPr>
    </w:p>
  </w:footnote>
  <w:footnote w:id="2">
    <w:p w14:paraId="06CA97B0" w14:textId="77777777" w:rsidR="00E200E5" w:rsidRPr="004E527A" w:rsidRDefault="00E200E5" w:rsidP="00E200E5">
      <w:pPr>
        <w:pStyle w:val="FootnoteText"/>
        <w:rPr>
          <w:b/>
          <w:sz w:val="16"/>
          <w:szCs w:val="16"/>
        </w:rPr>
      </w:pPr>
      <w:r w:rsidRPr="004E527A">
        <w:rPr>
          <w:rStyle w:val="FootnoteReference"/>
          <w:sz w:val="16"/>
          <w:szCs w:val="16"/>
        </w:rPr>
        <w:footnoteRef/>
      </w:r>
      <w:r w:rsidRPr="004E527A">
        <w:rPr>
          <w:sz w:val="16"/>
          <w:szCs w:val="16"/>
        </w:rPr>
        <w:t xml:space="preserve">  Authentication is the process by which people “prove” to the system that they are the person they claim to be.  There are three possible authentication factors: Passwords (something a person knows), tokens (something a person possesses), and biometrics (something a person inherently is or how they behave).</w:t>
      </w:r>
    </w:p>
  </w:footnote>
  <w:footnote w:id="3">
    <w:p w14:paraId="2529FDA0" w14:textId="77777777" w:rsidR="00E200E5" w:rsidRPr="004E527A" w:rsidRDefault="00E200E5" w:rsidP="00E200E5">
      <w:pPr>
        <w:pStyle w:val="FootnoteText"/>
        <w:rPr>
          <w:b/>
          <w:sz w:val="16"/>
          <w:szCs w:val="16"/>
        </w:rPr>
      </w:pPr>
      <w:r w:rsidRPr="004E527A">
        <w:rPr>
          <w:rStyle w:val="FootnoteReference"/>
          <w:sz w:val="16"/>
          <w:szCs w:val="16"/>
        </w:rPr>
        <w:footnoteRef/>
      </w:r>
      <w:r w:rsidRPr="004E527A">
        <w:rPr>
          <w:sz w:val="16"/>
          <w:szCs w:val="16"/>
        </w:rPr>
        <w:t xml:space="preserve"> CESG Good Practice Guide No 7 provides information on the threats and vulnerabilities and risks associated with malicious code and also provides guidance on appropriate risk management measures.</w:t>
      </w:r>
    </w:p>
  </w:footnote>
  <w:footnote w:id="4">
    <w:p w14:paraId="56F3AFED" w14:textId="77777777" w:rsidR="00E200E5" w:rsidRPr="004E527A" w:rsidRDefault="00E200E5" w:rsidP="00E200E5">
      <w:pPr>
        <w:pStyle w:val="FootnoteText"/>
        <w:rPr>
          <w:b/>
          <w:sz w:val="16"/>
          <w:szCs w:val="16"/>
        </w:rPr>
      </w:pPr>
      <w:r w:rsidRPr="004E527A">
        <w:rPr>
          <w:rStyle w:val="FootnoteReference"/>
          <w:sz w:val="16"/>
          <w:szCs w:val="16"/>
        </w:rPr>
        <w:footnoteRef/>
      </w:r>
      <w:r w:rsidRPr="004E527A">
        <w:rPr>
          <w:sz w:val="16"/>
          <w:szCs w:val="16"/>
        </w:rPr>
        <w:t xml:space="preserve"> Heuristic scanning capabilities can help detect against previously undocumented attacks but AV products are generally ineffective against day zero attacks and are therefore only effective against known malicious code attacks. It is important therefore that systems and applications are locked down, patched against known vulnerabilities that could allow execution of malicious code e.g. in browsers and email clients.</w:t>
      </w:r>
    </w:p>
  </w:footnote>
  <w:footnote w:id="5">
    <w:p w14:paraId="5DB0F7E7" w14:textId="77777777" w:rsidR="00E200E5" w:rsidRPr="004E527A" w:rsidRDefault="00E200E5" w:rsidP="00E200E5">
      <w:pPr>
        <w:pStyle w:val="FootnoteText"/>
        <w:rPr>
          <w:sz w:val="16"/>
          <w:szCs w:val="16"/>
        </w:rPr>
      </w:pPr>
      <w:r w:rsidRPr="004E527A">
        <w:rPr>
          <w:rStyle w:val="FootnoteReference"/>
          <w:sz w:val="16"/>
          <w:szCs w:val="16"/>
        </w:rPr>
        <w:footnoteRef/>
      </w:r>
      <w:r w:rsidRPr="004E527A">
        <w:rPr>
          <w:sz w:val="16"/>
          <w:szCs w:val="16"/>
        </w:rPr>
        <w:t xml:space="preserve"> The term drives includes all removable, recordable media e.g. memory sticks, compact flash, recordable optical media and external hard drives.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23FBA" w14:textId="483F7F1B" w:rsidR="00E200E5" w:rsidRDefault="00E200E5">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E200E5" w:rsidRDefault="00E200E5"/>
  <w:p w14:paraId="2A494745" w14:textId="77777777" w:rsidR="00E200E5" w:rsidRDefault="00E200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17C4E" w14:textId="46FC11A4" w:rsidR="00E200E5" w:rsidRDefault="00E200E5">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1B357B2"/>
    <w:multiLevelType w:val="hybridMultilevel"/>
    <w:tmpl w:val="96B66052"/>
    <w:lvl w:ilvl="0" w:tplc="68CCE25C">
      <w:numFmt w:val="bullet"/>
      <w:lvlText w:val="•"/>
      <w:lvlJc w:val="left"/>
      <w:pPr>
        <w:ind w:left="2153" w:hanging="735"/>
      </w:pPr>
      <w:rPr>
        <w:rFonts w:ascii="Arial" w:eastAsia="Times New Roman" w:hAnsi="Arial" w:cs="Aria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 w15:restartNumberingAfterBreak="0">
    <w:nsid w:val="09F81510"/>
    <w:multiLevelType w:val="hybridMultilevel"/>
    <w:tmpl w:val="190A0780"/>
    <w:lvl w:ilvl="0" w:tplc="553EAF86">
      <w:start w:val="1"/>
      <w:numFmt w:val="upperLetter"/>
      <w:lvlText w:val="%1."/>
      <w:lvlJc w:val="left"/>
      <w:pPr>
        <w:ind w:left="720" w:hanging="360"/>
      </w:pPr>
      <w:rPr>
        <w:rFonts w:hint="default"/>
        <w:b/>
      </w:rPr>
    </w:lvl>
    <w:lvl w:ilvl="1" w:tplc="F990C38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1477F08"/>
    <w:multiLevelType w:val="hybridMultilevel"/>
    <w:tmpl w:val="2EDC3D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2"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5" w15:restartNumberingAfterBreak="0">
    <w:nsid w:val="34FE1F62"/>
    <w:multiLevelType w:val="hybridMultilevel"/>
    <w:tmpl w:val="66C868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7"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6F455B"/>
    <w:multiLevelType w:val="hybridMultilevel"/>
    <w:tmpl w:val="11009FC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224E"/>
    <w:multiLevelType w:val="hybridMultilevel"/>
    <w:tmpl w:val="9B1AC87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79600F"/>
    <w:multiLevelType w:val="multilevel"/>
    <w:tmpl w:val="9C1E92DE"/>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7"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2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4"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9"/>
  </w:num>
  <w:num w:numId="3">
    <w:abstractNumId w:val="12"/>
  </w:num>
  <w:num w:numId="4">
    <w:abstractNumId w:val="35"/>
  </w:num>
  <w:num w:numId="5">
    <w:abstractNumId w:val="16"/>
  </w:num>
  <w:num w:numId="6">
    <w:abstractNumId w:val="31"/>
  </w:num>
  <w:num w:numId="7">
    <w:abstractNumId w:val="29"/>
  </w:num>
  <w:num w:numId="8">
    <w:abstractNumId w:val="22"/>
  </w:num>
  <w:num w:numId="9">
    <w:abstractNumId w:val="35"/>
  </w:num>
  <w:num w:numId="10">
    <w:abstractNumId w:val="21"/>
  </w:num>
  <w:num w:numId="11">
    <w:abstractNumId w:val="7"/>
  </w:num>
  <w:num w:numId="12">
    <w:abstractNumId w:val="8"/>
  </w:num>
  <w:num w:numId="13">
    <w:abstractNumId w:val="5"/>
  </w:num>
  <w:num w:numId="14">
    <w:abstractNumId w:val="2"/>
  </w:num>
  <w:num w:numId="15">
    <w:abstractNumId w:val="30"/>
  </w:num>
  <w:num w:numId="16">
    <w:abstractNumId w:val="0"/>
  </w:num>
  <w:num w:numId="17">
    <w:abstractNumId w:val="36"/>
  </w:num>
  <w:num w:numId="18">
    <w:abstractNumId w:val="17"/>
  </w:num>
  <w:num w:numId="19">
    <w:abstractNumId w:val="23"/>
  </w:num>
  <w:num w:numId="20">
    <w:abstractNumId w:val="34"/>
  </w:num>
  <w:num w:numId="21">
    <w:abstractNumId w:val="11"/>
  </w:num>
  <w:num w:numId="22">
    <w:abstractNumId w:val="25"/>
  </w:num>
  <w:num w:numId="23">
    <w:abstractNumId w:val="32"/>
  </w:num>
  <w:num w:numId="24">
    <w:abstractNumId w:val="4"/>
  </w:num>
  <w:num w:numId="25">
    <w:abstractNumId w:val="24"/>
  </w:num>
  <w:num w:numId="26">
    <w:abstractNumId w:val="28"/>
  </w:num>
  <w:num w:numId="27">
    <w:abstractNumId w:val="9"/>
  </w:num>
  <w:num w:numId="28">
    <w:abstractNumId w:val="18"/>
  </w:num>
  <w:num w:numId="29">
    <w:abstractNumId w:val="20"/>
  </w:num>
  <w:num w:numId="30">
    <w:abstractNumId w:val="1"/>
  </w:num>
  <w:num w:numId="31">
    <w:abstractNumId w:val="15"/>
  </w:num>
  <w:num w:numId="32">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5DC"/>
    <w:rsid w:val="000053CF"/>
    <w:rsid w:val="00017475"/>
    <w:rsid w:val="00054E54"/>
    <w:rsid w:val="000616EA"/>
    <w:rsid w:val="000638D8"/>
    <w:rsid w:val="00077584"/>
    <w:rsid w:val="000A27CA"/>
    <w:rsid w:val="000B2C52"/>
    <w:rsid w:val="000C15C2"/>
    <w:rsid w:val="000D0701"/>
    <w:rsid w:val="00100C58"/>
    <w:rsid w:val="00111007"/>
    <w:rsid w:val="00126A51"/>
    <w:rsid w:val="00126CFB"/>
    <w:rsid w:val="0018542B"/>
    <w:rsid w:val="001933FF"/>
    <w:rsid w:val="001D5E87"/>
    <w:rsid w:val="002047E1"/>
    <w:rsid w:val="00224F1D"/>
    <w:rsid w:val="0023206B"/>
    <w:rsid w:val="002440C8"/>
    <w:rsid w:val="0024410F"/>
    <w:rsid w:val="00272E8F"/>
    <w:rsid w:val="0028527A"/>
    <w:rsid w:val="00292CA8"/>
    <w:rsid w:val="002968FF"/>
    <w:rsid w:val="002B00EA"/>
    <w:rsid w:val="002C177B"/>
    <w:rsid w:val="002C72B4"/>
    <w:rsid w:val="002E1628"/>
    <w:rsid w:val="003041C9"/>
    <w:rsid w:val="00306EA9"/>
    <w:rsid w:val="003125B9"/>
    <w:rsid w:val="003228BA"/>
    <w:rsid w:val="00327EA5"/>
    <w:rsid w:val="00340AAB"/>
    <w:rsid w:val="00345F2B"/>
    <w:rsid w:val="00397FC8"/>
    <w:rsid w:val="003A2249"/>
    <w:rsid w:val="003B5288"/>
    <w:rsid w:val="003E3877"/>
    <w:rsid w:val="003F3581"/>
    <w:rsid w:val="00405425"/>
    <w:rsid w:val="004104B3"/>
    <w:rsid w:val="00410B4B"/>
    <w:rsid w:val="00457085"/>
    <w:rsid w:val="00464905"/>
    <w:rsid w:val="00471F7C"/>
    <w:rsid w:val="00492B7E"/>
    <w:rsid w:val="004944BE"/>
    <w:rsid w:val="004B6008"/>
    <w:rsid w:val="004C2D42"/>
    <w:rsid w:val="004D4A61"/>
    <w:rsid w:val="004D61EC"/>
    <w:rsid w:val="004E05DC"/>
    <w:rsid w:val="00501C41"/>
    <w:rsid w:val="00537215"/>
    <w:rsid w:val="0056106E"/>
    <w:rsid w:val="005A5DD7"/>
    <w:rsid w:val="005A778E"/>
    <w:rsid w:val="00605A42"/>
    <w:rsid w:val="0061276A"/>
    <w:rsid w:val="00613588"/>
    <w:rsid w:val="0061699B"/>
    <w:rsid w:val="006311F8"/>
    <w:rsid w:val="00650F74"/>
    <w:rsid w:val="0065497E"/>
    <w:rsid w:val="006560F8"/>
    <w:rsid w:val="00666634"/>
    <w:rsid w:val="00696D22"/>
    <w:rsid w:val="006A0AF3"/>
    <w:rsid w:val="006B32E2"/>
    <w:rsid w:val="006F3D4A"/>
    <w:rsid w:val="00700725"/>
    <w:rsid w:val="0074664B"/>
    <w:rsid w:val="00753E53"/>
    <w:rsid w:val="00755201"/>
    <w:rsid w:val="00771E0B"/>
    <w:rsid w:val="00786287"/>
    <w:rsid w:val="00794C4D"/>
    <w:rsid w:val="00795CB5"/>
    <w:rsid w:val="00796219"/>
    <w:rsid w:val="007A091B"/>
    <w:rsid w:val="007A44A1"/>
    <w:rsid w:val="007D26F7"/>
    <w:rsid w:val="007E152B"/>
    <w:rsid w:val="007E1DDC"/>
    <w:rsid w:val="008153FF"/>
    <w:rsid w:val="00850E5C"/>
    <w:rsid w:val="00861833"/>
    <w:rsid w:val="00865130"/>
    <w:rsid w:val="008727D1"/>
    <w:rsid w:val="008743C7"/>
    <w:rsid w:val="00887A8F"/>
    <w:rsid w:val="008931FF"/>
    <w:rsid w:val="008C3356"/>
    <w:rsid w:val="008D297F"/>
    <w:rsid w:val="008F1C52"/>
    <w:rsid w:val="009036BF"/>
    <w:rsid w:val="009244B7"/>
    <w:rsid w:val="00960E4A"/>
    <w:rsid w:val="00963FFF"/>
    <w:rsid w:val="009968DA"/>
    <w:rsid w:val="00997414"/>
    <w:rsid w:val="009F2E61"/>
    <w:rsid w:val="009F6E8F"/>
    <w:rsid w:val="00A0744F"/>
    <w:rsid w:val="00A1763C"/>
    <w:rsid w:val="00A17789"/>
    <w:rsid w:val="00A24DC3"/>
    <w:rsid w:val="00A344DE"/>
    <w:rsid w:val="00A64B35"/>
    <w:rsid w:val="00A7264F"/>
    <w:rsid w:val="00A830D8"/>
    <w:rsid w:val="00A955D8"/>
    <w:rsid w:val="00AA748D"/>
    <w:rsid w:val="00AA7DB0"/>
    <w:rsid w:val="00AD5365"/>
    <w:rsid w:val="00AE14D1"/>
    <w:rsid w:val="00B011C3"/>
    <w:rsid w:val="00B02A10"/>
    <w:rsid w:val="00B34C44"/>
    <w:rsid w:val="00B64CAD"/>
    <w:rsid w:val="00B7206A"/>
    <w:rsid w:val="00B91478"/>
    <w:rsid w:val="00B93EB3"/>
    <w:rsid w:val="00B97260"/>
    <w:rsid w:val="00BA6775"/>
    <w:rsid w:val="00BB4A0B"/>
    <w:rsid w:val="00BD712F"/>
    <w:rsid w:val="00C107C6"/>
    <w:rsid w:val="00C11A20"/>
    <w:rsid w:val="00C17DB9"/>
    <w:rsid w:val="00CA491C"/>
    <w:rsid w:val="00CE1510"/>
    <w:rsid w:val="00CF4F29"/>
    <w:rsid w:val="00D2370C"/>
    <w:rsid w:val="00D2378A"/>
    <w:rsid w:val="00D326AD"/>
    <w:rsid w:val="00D53DEB"/>
    <w:rsid w:val="00D61A90"/>
    <w:rsid w:val="00D66440"/>
    <w:rsid w:val="00DC3E40"/>
    <w:rsid w:val="00DE1860"/>
    <w:rsid w:val="00E03CCF"/>
    <w:rsid w:val="00E117BC"/>
    <w:rsid w:val="00E200E5"/>
    <w:rsid w:val="00E24398"/>
    <w:rsid w:val="00E32B8F"/>
    <w:rsid w:val="00E45F29"/>
    <w:rsid w:val="00E47EEE"/>
    <w:rsid w:val="00E54047"/>
    <w:rsid w:val="00E62C49"/>
    <w:rsid w:val="00E64171"/>
    <w:rsid w:val="00E83ADD"/>
    <w:rsid w:val="00E93D4C"/>
    <w:rsid w:val="00E95828"/>
    <w:rsid w:val="00EA30EB"/>
    <w:rsid w:val="00EB3463"/>
    <w:rsid w:val="00EF289B"/>
    <w:rsid w:val="00F1780F"/>
    <w:rsid w:val="00F46C54"/>
    <w:rsid w:val="00F67B72"/>
    <w:rsid w:val="00F763AE"/>
    <w:rsid w:val="00F770DB"/>
    <w:rsid w:val="00FB2B54"/>
    <w:rsid w:val="00FB52FF"/>
    <w:rsid w:val="00FD23DF"/>
    <w:rsid w:val="00FD4035"/>
    <w:rsid w:val="00FE1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iPriority w:val="99"/>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Body2">
    <w:name w:val="Body2"/>
    <w:basedOn w:val="Normal"/>
    <w:uiPriority w:val="99"/>
    <w:rsid w:val="004B6008"/>
    <w:pPr>
      <w:overflowPunct/>
      <w:autoSpaceDE/>
      <w:autoSpaceDN/>
      <w:adjustRightInd/>
      <w:spacing w:after="220"/>
      <w:ind w:left="709"/>
      <w:textAlignment w:val="auto"/>
    </w:pPr>
    <w:rPr>
      <w:rFonts w:ascii="Trebuchet MS" w:hAnsi="Trebuchet MS" w:cs="Times New Roman"/>
      <w:sz w:val="20"/>
      <w:szCs w:val="20"/>
    </w:rPr>
  </w:style>
  <w:style w:type="paragraph" w:customStyle="1" w:styleId="paragraph">
    <w:name w:val="paragraph"/>
    <w:basedOn w:val="Normal"/>
    <w:rsid w:val="004B6008"/>
    <w:pPr>
      <w:overflowPunct/>
      <w:autoSpaceDE/>
      <w:autoSpaceDN/>
      <w:adjustRightInd/>
      <w:spacing w:after="0"/>
      <w:ind w:left="0"/>
      <w:jc w:val="left"/>
      <w:textAlignment w:val="auto"/>
    </w:pPr>
    <w:rPr>
      <w:rFonts w:ascii="Times New Roman" w:hAnsi="Times New Roman" w:cs="Times New Roman"/>
      <w:sz w:val="24"/>
      <w:szCs w:val="24"/>
      <w:lang w:eastAsia="en-GB"/>
    </w:rPr>
  </w:style>
  <w:style w:type="character" w:customStyle="1" w:styleId="normaltextrun1">
    <w:name w:val="normaltextrun1"/>
    <w:basedOn w:val="DefaultParagraphFont"/>
    <w:rsid w:val="004B6008"/>
  </w:style>
  <w:style w:type="character" w:customStyle="1" w:styleId="FootnoteTextChar1">
    <w:name w:val="Footnote Text Char1"/>
    <w:locked/>
    <w:rsid w:val="00E200E5"/>
    <w:rPr>
      <w:rFonts w:ascii="Calibri" w:eastAsia="Times New Roman" w:hAnsi="Calibri" w:cs="Times New Roman"/>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163909292">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434249737">
      <w:bodyDiv w:val="1"/>
      <w:marLeft w:val="0"/>
      <w:marRight w:val="0"/>
      <w:marTop w:val="0"/>
      <w:marBottom w:val="0"/>
      <w:divBdr>
        <w:top w:val="none" w:sz="0" w:space="0" w:color="auto"/>
        <w:left w:val="none" w:sz="0" w:space="0" w:color="auto"/>
        <w:bottom w:val="none" w:sz="0" w:space="0" w:color="auto"/>
        <w:right w:val="none" w:sz="0" w:space="0" w:color="auto"/>
      </w:divBdr>
    </w:div>
    <w:div w:id="593831052">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309936895">
      <w:bodyDiv w:val="1"/>
      <w:marLeft w:val="0"/>
      <w:marRight w:val="0"/>
      <w:marTop w:val="0"/>
      <w:marBottom w:val="0"/>
      <w:divBdr>
        <w:top w:val="none" w:sz="0" w:space="0" w:color="auto"/>
        <w:left w:val="none" w:sz="0" w:space="0" w:color="auto"/>
        <w:bottom w:val="none" w:sz="0" w:space="0" w:color="auto"/>
        <w:right w:val="none" w:sz="0" w:space="0" w:color="auto"/>
      </w:divBdr>
    </w:div>
    <w:div w:id="1384408550">
      <w:bodyDiv w:val="1"/>
      <w:marLeft w:val="0"/>
      <w:marRight w:val="0"/>
      <w:marTop w:val="0"/>
      <w:marBottom w:val="0"/>
      <w:divBdr>
        <w:top w:val="none" w:sz="0" w:space="0" w:color="auto"/>
        <w:left w:val="none" w:sz="0" w:space="0" w:color="auto"/>
        <w:bottom w:val="none" w:sz="0" w:space="0" w:color="auto"/>
        <w:right w:val="none" w:sz="0" w:space="0" w:color="auto"/>
      </w:divBdr>
    </w:div>
    <w:div w:id="1436057369">
      <w:bodyDiv w:val="1"/>
      <w:marLeft w:val="0"/>
      <w:marRight w:val="0"/>
      <w:marTop w:val="0"/>
      <w:marBottom w:val="0"/>
      <w:divBdr>
        <w:top w:val="none" w:sz="0" w:space="0" w:color="auto"/>
        <w:left w:val="none" w:sz="0" w:space="0" w:color="auto"/>
        <w:bottom w:val="none" w:sz="0" w:space="0" w:color="auto"/>
        <w:right w:val="none" w:sz="0" w:space="0" w:color="auto"/>
      </w:divBdr>
    </w:div>
    <w:div w:id="157130439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698583614">
      <w:bodyDiv w:val="1"/>
      <w:marLeft w:val="0"/>
      <w:marRight w:val="0"/>
      <w:marTop w:val="0"/>
      <w:marBottom w:val="0"/>
      <w:divBdr>
        <w:top w:val="none" w:sz="0" w:space="0" w:color="auto"/>
        <w:left w:val="none" w:sz="0" w:space="0" w:color="auto"/>
        <w:bottom w:val="none" w:sz="0" w:space="0" w:color="auto"/>
        <w:right w:val="none" w:sz="0" w:space="0" w:color="auto"/>
      </w:divBdr>
    </w:div>
    <w:div w:id="1704669250">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073960994">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security-policy-framework/hmg-security-policy-framework" TargetMode="External"/><Relationship Id="rId18" Type="http://schemas.openxmlformats.org/officeDocument/2006/relationships/hyperlink" Target="https://ogsirooffshoring.zendesk.com/hc/en-us/article_attachments/202389402/Offshoring_Information_Assets_Classified_at_OFFICIAL_v1.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gov.uk" TargetMode="External"/><Relationship Id="rId2" Type="http://schemas.openxmlformats.org/officeDocument/2006/relationships/numbering" Target="numbering.xml"/><Relationship Id="rId16" Type="http://schemas.openxmlformats.org/officeDocument/2006/relationships/hyperlink" Target="https://ico.org.uk/about-the-ico/news-and-events/news-and-blogs/2018/02/new-model-announced-for-funding-the-data-protection-work-of-the-information-commissioner-s-off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co.org.uk/for-organisations/guide-to-the-general-data-protection-regulation-gdpr/"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government/groups/public-services-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04A00F-6EA4-4DE2-B358-945D7076A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7003</Words>
  <Characters>39922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46832</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2020-02-10T12:00:00Z</dcterms:created>
  <dcterms:modified xsi:type="dcterms:W3CDTF">2020-02-10T12:01:00Z</dcterms:modified>
</cp:coreProperties>
</file>