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0335D6" w:rsidRDefault="00E563EA" w:rsidP="006E09A7">
      <w:pPr>
        <w:pStyle w:val="BodyText"/>
        <w:spacing w:before="1"/>
        <w:jc w:val="center"/>
        <w:rPr>
          <w:rFonts w:eastAsia="Times New Roman" w:cs="Times New Roman"/>
          <w:b/>
          <w:sz w:val="40"/>
          <w:szCs w:val="40"/>
          <w:lang w:val="en-GB"/>
        </w:rPr>
      </w:pPr>
      <w:r w:rsidRPr="00E563EA">
        <w:rPr>
          <w:rFonts w:eastAsia="Times New Roman" w:cs="Times New Roman"/>
          <w:b/>
          <w:sz w:val="40"/>
          <w:szCs w:val="40"/>
          <w:lang w:val="en-GB"/>
        </w:rPr>
        <w:t xml:space="preserve">Medicines Optimisation </w:t>
      </w:r>
      <w:r>
        <w:rPr>
          <w:rFonts w:eastAsia="Times New Roman" w:cs="Times New Roman"/>
          <w:b/>
          <w:sz w:val="40"/>
          <w:szCs w:val="40"/>
          <w:lang w:val="en-GB"/>
        </w:rPr>
        <w:t>Academic Tender</w:t>
      </w:r>
      <w:r w:rsidR="00DE665D">
        <w:rPr>
          <w:rFonts w:eastAsia="Times New Roman" w:cs="Times New Roman"/>
          <w:b/>
          <w:sz w:val="40"/>
          <w:szCs w:val="40"/>
          <w:lang w:val="en-GB"/>
        </w:rPr>
        <w:t xml:space="preserve"> </w:t>
      </w:r>
      <w:r w:rsidR="006E09A7" w:rsidRPr="006E09A7">
        <w:rPr>
          <w:rFonts w:eastAsia="Times New Roman" w:cs="Times New Roman"/>
          <w:b/>
          <w:sz w:val="40"/>
          <w:szCs w:val="40"/>
          <w:lang w:val="en-GB"/>
        </w:rPr>
        <w:t>for AGEM</w:t>
      </w:r>
    </w:p>
    <w:p w:rsidR="006E09A7" w:rsidRDefault="006E09A7">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sidRPr="00B90E5C">
        <w:rPr>
          <w:b/>
          <w:sz w:val="28"/>
        </w:rPr>
        <w:t>ITT_</w:t>
      </w:r>
      <w:r w:rsidR="00B90E5C" w:rsidRPr="00B90E5C">
        <w:rPr>
          <w:b/>
          <w:sz w:val="28"/>
        </w:rPr>
        <w:t xml:space="preserve">1083 </w:t>
      </w:r>
      <w:r w:rsidR="008C2ACD" w:rsidRPr="00B90E5C">
        <w:rPr>
          <w:b/>
          <w:sz w:val="28"/>
        </w:rPr>
        <w:t xml:space="preserve">- </w:t>
      </w:r>
      <w:r w:rsidR="00E563EA" w:rsidRPr="00B90E5C">
        <w:rPr>
          <w:b/>
          <w:sz w:val="28"/>
        </w:rPr>
        <w:t>AGEMCSU/TRANS/18/569</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B90E5C">
        <w:rPr>
          <w:b/>
          <w:sz w:val="28"/>
        </w:rPr>
        <w:t>Monday 17</w:t>
      </w:r>
      <w:r w:rsidR="00B90E5C" w:rsidRPr="00B90E5C">
        <w:rPr>
          <w:b/>
          <w:sz w:val="28"/>
          <w:vertAlign w:val="superscript"/>
        </w:rPr>
        <w:t>th</w:t>
      </w:r>
      <w:r w:rsidR="00B90E5C">
        <w:rPr>
          <w:b/>
          <w:sz w:val="28"/>
        </w:rPr>
        <w:t xml:space="preserve"> September </w:t>
      </w:r>
      <w:r w:rsidR="00E563EA" w:rsidRPr="00B90E5C">
        <w:rPr>
          <w:b/>
          <w:sz w:val="28"/>
        </w:rPr>
        <w:t>2</w:t>
      </w:r>
      <w:r w:rsidR="0015049C" w:rsidRPr="00B90E5C">
        <w:rPr>
          <w:b/>
          <w:sz w:val="28"/>
        </w:rPr>
        <w:t>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0335D6" w:rsidRPr="00B90E5C">
        <w:rPr>
          <w:b/>
          <w:sz w:val="28"/>
        </w:rPr>
        <w:t xml:space="preserve">5pm on </w:t>
      </w:r>
      <w:r w:rsidR="00B90E5C" w:rsidRPr="00B90E5C">
        <w:rPr>
          <w:b/>
          <w:sz w:val="28"/>
        </w:rPr>
        <w:t>Monday 15</w:t>
      </w:r>
      <w:r w:rsidR="00B90E5C" w:rsidRPr="00B90E5C">
        <w:rPr>
          <w:b/>
          <w:sz w:val="28"/>
          <w:vertAlign w:val="superscript"/>
        </w:rPr>
        <w:t>th</w:t>
      </w:r>
      <w:r w:rsidR="00B90E5C" w:rsidRPr="00B90E5C">
        <w:rPr>
          <w:b/>
          <w:sz w:val="28"/>
        </w:rPr>
        <w:t xml:space="preserve"> October 2</w:t>
      </w:r>
      <w:r w:rsidR="0015049C" w:rsidRPr="00B90E5C">
        <w:rPr>
          <w:b/>
          <w:sz w:val="28"/>
        </w:rPr>
        <w:t>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B90E5C">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B90E5C">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B90E5C">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B90E5C">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B90E5C">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B90E5C">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B90E5C">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B90E5C">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B90E5C">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B90E5C">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B90E5C">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B90E5C">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B90E5C">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B90E5C" w:rsidRPr="00B90E5C">
        <w:t>Monday 15</w:t>
      </w:r>
      <w:r w:rsidR="00B90E5C" w:rsidRPr="00B90E5C">
        <w:rPr>
          <w:vertAlign w:val="superscript"/>
        </w:rPr>
        <w:t>th</w:t>
      </w:r>
      <w:r w:rsidR="00B90E5C" w:rsidRPr="00B90E5C">
        <w:t xml:space="preserve"> October </w:t>
      </w:r>
      <w:r w:rsidR="009F163B" w:rsidRPr="00B90E5C">
        <w:t>2</w:t>
      </w:r>
      <w:r w:rsidR="000335D6" w:rsidRPr="00B90E5C">
        <w:t>018</w:t>
      </w:r>
      <w:r w:rsidRPr="00E45B5A">
        <w:t xml:space="preserve">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B90E5C" w:rsidRPr="00B90E5C">
        <w:t>Tuesday 9</w:t>
      </w:r>
      <w:r w:rsidR="00B90E5C" w:rsidRPr="00B90E5C">
        <w:rPr>
          <w:vertAlign w:val="superscript"/>
        </w:rPr>
        <w:t>th</w:t>
      </w:r>
      <w:r w:rsidR="00B90E5C" w:rsidRPr="00B90E5C">
        <w:t xml:space="preserve"> October </w:t>
      </w:r>
      <w:r w:rsidRPr="00B90E5C">
        <w:t>2018</w:t>
      </w:r>
      <w:r w:rsidRPr="0005175D">
        <w:t>.</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where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DF062E">
        <w:trPr>
          <w:trHeight w:hRule="exact" w:val="319"/>
        </w:trPr>
        <w:tc>
          <w:tcPr>
            <w:tcW w:w="4536" w:type="dxa"/>
            <w:tcBorders>
              <w:bottom w:val="single" w:sz="24" w:space="0" w:color="C5D9F0"/>
            </w:tcBorders>
            <w:shd w:val="clear" w:color="auto" w:fill="8DB3E2" w:themeFill="text2" w:themeFillTint="66"/>
          </w:tcPr>
          <w:p w:rsidR="00AD6EBE" w:rsidRDefault="00593249">
            <w:pPr>
              <w:pStyle w:val="TableParagraph"/>
              <w:spacing w:line="248" w:lineRule="exact"/>
              <w:rPr>
                <w:b/>
              </w:rPr>
            </w:pPr>
            <w:r>
              <w:rPr>
                <w:b/>
              </w:rPr>
              <w:t>Stage</w:t>
            </w:r>
          </w:p>
        </w:tc>
        <w:tc>
          <w:tcPr>
            <w:tcW w:w="3827" w:type="dxa"/>
            <w:tcBorders>
              <w:bottom w:val="single" w:sz="24" w:space="0" w:color="C5D9F0"/>
            </w:tcBorders>
            <w:shd w:val="clear" w:color="auto" w:fill="8DB3E2" w:themeFill="text2" w:themeFillTint="66"/>
          </w:tcPr>
          <w:p w:rsidR="00AD6EBE" w:rsidRDefault="00593249">
            <w:pPr>
              <w:pStyle w:val="TableParagraph"/>
              <w:spacing w:line="248" w:lineRule="exact"/>
              <w:rPr>
                <w:b/>
              </w:rPr>
            </w:pPr>
            <w:r>
              <w:rPr>
                <w:b/>
              </w:rPr>
              <w:t>Date</w:t>
            </w:r>
          </w:p>
        </w:tc>
      </w:tr>
      <w:tr w:rsidR="00AD6EBE" w:rsidTr="00DF062E">
        <w:trPr>
          <w:trHeight w:hRule="exact" w:val="516"/>
        </w:trPr>
        <w:tc>
          <w:tcPr>
            <w:tcW w:w="4536" w:type="dxa"/>
            <w:tcBorders>
              <w:top w:val="single" w:sz="24" w:space="0" w:color="C5D9F0"/>
            </w:tcBorders>
          </w:tcPr>
          <w:p w:rsidR="00AD6EBE" w:rsidRDefault="00593249">
            <w:pPr>
              <w:pStyle w:val="TableParagraph"/>
              <w:spacing w:line="227" w:lineRule="exact"/>
            </w:pPr>
            <w:r>
              <w:t>ITT Live</w:t>
            </w:r>
          </w:p>
        </w:tc>
        <w:tc>
          <w:tcPr>
            <w:tcW w:w="3827" w:type="dxa"/>
            <w:tcBorders>
              <w:top w:val="single" w:sz="24" w:space="0" w:color="C5D9F0"/>
            </w:tcBorders>
          </w:tcPr>
          <w:p w:rsidR="00AD6EBE" w:rsidRPr="00B90E5C" w:rsidRDefault="00B90E5C" w:rsidP="00B90E5C">
            <w:pPr>
              <w:pStyle w:val="TableParagraph"/>
              <w:spacing w:line="227" w:lineRule="exact"/>
              <w:ind w:left="0" w:right="389"/>
            </w:pPr>
            <w:r w:rsidRPr="00B90E5C">
              <w:t>Monday 17</w:t>
            </w:r>
            <w:r w:rsidRPr="00B90E5C">
              <w:rPr>
                <w:vertAlign w:val="superscript"/>
              </w:rPr>
              <w:t>th</w:t>
            </w:r>
            <w:r w:rsidRPr="00B90E5C">
              <w:t xml:space="preserve"> </w:t>
            </w:r>
            <w:r w:rsidR="000D2AAB" w:rsidRPr="00B90E5C">
              <w:t>September</w:t>
            </w:r>
            <w:r w:rsidR="000335D6" w:rsidRPr="00B90E5C">
              <w:t xml:space="preserve"> </w:t>
            </w:r>
            <w:r w:rsidR="00562A3E" w:rsidRPr="00B90E5C">
              <w:t>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Pr="00B90E5C" w:rsidRDefault="00B90E5C" w:rsidP="00B90E5C">
            <w:pPr>
              <w:pStyle w:val="TableParagraph"/>
              <w:ind w:left="0" w:right="114"/>
            </w:pPr>
            <w:r w:rsidRPr="00B90E5C">
              <w:t>Tuesday 9</w:t>
            </w:r>
            <w:r w:rsidRPr="00B90E5C">
              <w:rPr>
                <w:vertAlign w:val="superscript"/>
              </w:rPr>
              <w:t>th</w:t>
            </w:r>
            <w:r w:rsidRPr="00B90E5C">
              <w:t xml:space="preserve"> October </w:t>
            </w:r>
            <w:r w:rsidR="00F81108" w:rsidRPr="00B90E5C">
              <w:t>2018</w:t>
            </w:r>
          </w:p>
        </w:tc>
      </w:tr>
      <w:tr w:rsidR="00AD6EBE" w:rsidTr="001914D9">
        <w:trPr>
          <w:trHeight w:hRule="exact" w:val="516"/>
        </w:trPr>
        <w:tc>
          <w:tcPr>
            <w:tcW w:w="4536" w:type="dxa"/>
          </w:tcPr>
          <w:p w:rsidR="00AD6EBE" w:rsidRPr="0005175D" w:rsidRDefault="00593249">
            <w:pPr>
              <w:pStyle w:val="TableParagraph"/>
              <w:spacing w:line="248" w:lineRule="exact"/>
              <w:rPr>
                <w:b/>
              </w:rPr>
            </w:pPr>
            <w:r w:rsidRPr="0005175D">
              <w:rPr>
                <w:b/>
              </w:rPr>
              <w:t>Deadline for receipt of bids</w:t>
            </w:r>
          </w:p>
        </w:tc>
        <w:tc>
          <w:tcPr>
            <w:tcW w:w="3827" w:type="dxa"/>
          </w:tcPr>
          <w:p w:rsidR="00AD6EBE" w:rsidRPr="00B90E5C" w:rsidRDefault="00B90E5C" w:rsidP="00B90E5C">
            <w:pPr>
              <w:pStyle w:val="TableParagraph"/>
              <w:ind w:left="0" w:right="114"/>
            </w:pPr>
            <w:r w:rsidRPr="00B90E5C">
              <w:t>Monday 15</w:t>
            </w:r>
            <w:r w:rsidRPr="00B90E5C">
              <w:rPr>
                <w:vertAlign w:val="superscript"/>
              </w:rPr>
              <w:t>th</w:t>
            </w:r>
            <w:r w:rsidRPr="00B90E5C">
              <w:t xml:space="preserve"> October</w:t>
            </w:r>
            <w:r w:rsidR="000D2AAB" w:rsidRPr="00B90E5C">
              <w:t xml:space="preserve"> </w:t>
            </w:r>
            <w:r w:rsidR="00562A3E" w:rsidRPr="00B90E5C">
              <w:t>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Pr="00B90E5C" w:rsidRDefault="009F163B" w:rsidP="000D2AAB">
            <w:pPr>
              <w:pStyle w:val="TableParagraph"/>
              <w:ind w:left="0"/>
            </w:pPr>
            <w:r w:rsidRPr="00B90E5C">
              <w:t>October</w:t>
            </w:r>
            <w:r w:rsidR="000D2AAB" w:rsidRPr="00B90E5C">
              <w:t xml:space="preserve"> </w:t>
            </w:r>
            <w:r w:rsidR="00C25011" w:rsidRPr="00B90E5C">
              <w:t>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Pr="00B90E5C" w:rsidRDefault="009F163B" w:rsidP="009F163B">
            <w:pPr>
              <w:pStyle w:val="TableParagraph"/>
              <w:ind w:left="0"/>
            </w:pPr>
            <w:r w:rsidRPr="00B90E5C">
              <w:t>October</w:t>
            </w:r>
            <w:r w:rsidR="000D2AAB" w:rsidRPr="00B90E5C">
              <w:t xml:space="preserve"> </w:t>
            </w:r>
            <w:r w:rsidR="00DC414F" w:rsidRPr="00B90E5C">
              <w:t>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Pr="00B90E5C" w:rsidRDefault="009F163B" w:rsidP="000D2AAB">
            <w:pPr>
              <w:pStyle w:val="TableParagraph"/>
              <w:ind w:left="0"/>
            </w:pPr>
            <w:r w:rsidRPr="00B90E5C">
              <w:t>Octo</w:t>
            </w:r>
            <w:r w:rsidR="000D2AAB" w:rsidRPr="00B90E5C">
              <w:t xml:space="preserve">ber </w:t>
            </w:r>
            <w:r w:rsidR="00DC414F" w:rsidRPr="00B90E5C">
              <w:t>2018</w:t>
            </w:r>
          </w:p>
        </w:tc>
      </w:tr>
      <w:tr w:rsidR="00AD6EBE" w:rsidTr="001914D9">
        <w:trPr>
          <w:trHeight w:hRule="exact" w:val="516"/>
        </w:trPr>
        <w:tc>
          <w:tcPr>
            <w:tcW w:w="4536" w:type="dxa"/>
          </w:tcPr>
          <w:p w:rsidR="00AD6EBE" w:rsidRDefault="00C25011" w:rsidP="00C25011">
            <w:pPr>
              <w:pStyle w:val="TableParagraph"/>
            </w:pPr>
            <w:r>
              <w:t>Service Commencement Date</w:t>
            </w:r>
            <w:bookmarkStart w:id="3" w:name="_GoBack"/>
            <w:bookmarkEnd w:id="3"/>
          </w:p>
        </w:tc>
        <w:tc>
          <w:tcPr>
            <w:tcW w:w="3827" w:type="dxa"/>
          </w:tcPr>
          <w:p w:rsidR="00AD6EBE" w:rsidRPr="00B90E5C" w:rsidRDefault="009F163B" w:rsidP="000D2AAB">
            <w:pPr>
              <w:pStyle w:val="TableParagraph"/>
              <w:ind w:left="0"/>
            </w:pPr>
            <w:r w:rsidRPr="00B90E5C">
              <w:t>Octob</w:t>
            </w:r>
            <w:r w:rsidR="000D2AAB" w:rsidRPr="00B90E5C">
              <w:t xml:space="preserve">er </w:t>
            </w:r>
            <w:r w:rsidR="001217F7" w:rsidRPr="00B90E5C">
              <w:t>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4" w:name="_TOC_250009"/>
      <w:r>
        <w:t>Preparing your</w:t>
      </w:r>
      <w:r>
        <w:rPr>
          <w:spacing w:val="-6"/>
        </w:rPr>
        <w:t xml:space="preserve"> </w:t>
      </w:r>
      <w:bookmarkEnd w:id="4"/>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r>
        <w:t>and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rsidTr="00DF062E">
        <w:trPr>
          <w:trHeight w:hRule="exact" w:val="425"/>
        </w:trPr>
        <w:tc>
          <w:tcPr>
            <w:tcW w:w="3404" w:type="dxa"/>
            <w:shd w:val="clear" w:color="auto" w:fill="8DB3E2" w:themeFill="text2" w:themeFillTint="66"/>
          </w:tcPr>
          <w:p w:rsidR="00AD6EBE" w:rsidRDefault="00593249">
            <w:pPr>
              <w:pStyle w:val="TableParagraph"/>
              <w:spacing w:line="248" w:lineRule="exact"/>
              <w:rPr>
                <w:b/>
              </w:rPr>
            </w:pPr>
            <w:r>
              <w:rPr>
                <w:b/>
              </w:rPr>
              <w:t>Document</w:t>
            </w:r>
          </w:p>
        </w:tc>
        <w:tc>
          <w:tcPr>
            <w:tcW w:w="3968" w:type="dxa"/>
            <w:shd w:val="clear" w:color="auto" w:fill="8DB3E2" w:themeFill="text2" w:themeFillTint="66"/>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5" w:name="_TOC_250008"/>
      <w:r>
        <w:t>Documentation and</w:t>
      </w:r>
      <w:r>
        <w:rPr>
          <w:spacing w:val="-7"/>
        </w:rPr>
        <w:t xml:space="preserve"> </w:t>
      </w:r>
      <w:bookmarkEnd w:id="5"/>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6" w:name="_TOC_250007"/>
      <w:bookmarkEnd w:id="6"/>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(VfM).</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rsidTr="00DF062E">
        <w:trPr>
          <w:trHeight w:hRule="exact" w:val="270"/>
        </w:trPr>
        <w:tc>
          <w:tcPr>
            <w:tcW w:w="1430" w:type="dxa"/>
            <w:tcBorders>
              <w:bottom w:val="single" w:sz="12" w:space="0" w:color="C5D9F0"/>
            </w:tcBorders>
            <w:shd w:val="clear" w:color="auto" w:fill="8DB3E2" w:themeFill="text2" w:themeFillTint="66"/>
          </w:tcPr>
          <w:p w:rsidR="00AD6EBE" w:rsidRDefault="00593249">
            <w:pPr>
              <w:pStyle w:val="TableParagraph"/>
              <w:spacing w:line="248" w:lineRule="exact"/>
              <w:ind w:left="0" w:right="203"/>
              <w:jc w:val="right"/>
              <w:rPr>
                <w:b/>
              </w:rPr>
            </w:pPr>
            <w:r>
              <w:rPr>
                <w:b/>
              </w:rPr>
              <w:t>Evaluation</w:t>
            </w:r>
          </w:p>
        </w:tc>
        <w:tc>
          <w:tcPr>
            <w:tcW w:w="2540" w:type="dxa"/>
            <w:tcBorders>
              <w:bottom w:val="single" w:sz="12" w:space="0" w:color="C5D9F0"/>
            </w:tcBorders>
            <w:shd w:val="clear" w:color="auto" w:fill="8DB3E2" w:themeFill="text2" w:themeFillTint="66"/>
          </w:tcPr>
          <w:p w:rsidR="00AD6EBE" w:rsidRDefault="00593249">
            <w:pPr>
              <w:pStyle w:val="TableParagraph"/>
              <w:spacing w:line="248" w:lineRule="exact"/>
              <w:rPr>
                <w:b/>
              </w:rPr>
            </w:pPr>
            <w:r>
              <w:rPr>
                <w:b/>
              </w:rPr>
              <w:t>Process</w:t>
            </w:r>
          </w:p>
        </w:tc>
        <w:tc>
          <w:tcPr>
            <w:tcW w:w="4962" w:type="dxa"/>
            <w:tcBorders>
              <w:bottom w:val="single" w:sz="12" w:space="0" w:color="C5D9F0"/>
            </w:tcBorders>
            <w:shd w:val="clear" w:color="auto" w:fill="8DB3E2" w:themeFill="text2" w:themeFillTint="66"/>
          </w:tcPr>
          <w:p w:rsidR="00AD6EBE" w:rsidRDefault="00593249">
            <w:pPr>
              <w:pStyle w:val="TableParagraph"/>
              <w:spacing w:line="248" w:lineRule="exact"/>
              <w:ind w:left="105"/>
              <w:rPr>
                <w:b/>
              </w:rPr>
            </w:pPr>
            <w:r>
              <w:rPr>
                <w:b/>
              </w:rPr>
              <w:t>Detail</w:t>
            </w:r>
          </w:p>
        </w:tc>
      </w:tr>
      <w:tr w:rsidR="00AD6EBE" w:rsidTr="00DF062E">
        <w:trPr>
          <w:trHeight w:hRule="exact" w:val="846"/>
        </w:trPr>
        <w:tc>
          <w:tcPr>
            <w:tcW w:w="1430" w:type="dxa"/>
            <w:tcBorders>
              <w:top w:val="single" w:sz="12"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12"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12"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rsidTr="00DF062E">
        <w:trPr>
          <w:trHeight w:hRule="exact" w:val="286"/>
        </w:trPr>
        <w:tc>
          <w:tcPr>
            <w:tcW w:w="1430" w:type="dxa"/>
            <w:shd w:val="clear" w:color="auto" w:fill="8DB3E2" w:themeFill="text2" w:themeFillTint="66"/>
          </w:tcPr>
          <w:p w:rsidR="00AD6EBE" w:rsidRDefault="00593249">
            <w:pPr>
              <w:pStyle w:val="TableParagraph"/>
              <w:spacing w:line="248" w:lineRule="exact"/>
              <w:ind w:left="0" w:right="203"/>
              <w:jc w:val="right"/>
              <w:rPr>
                <w:b/>
              </w:rPr>
            </w:pPr>
            <w:r>
              <w:rPr>
                <w:b/>
              </w:rPr>
              <w:t>Evaluation</w:t>
            </w:r>
          </w:p>
        </w:tc>
        <w:tc>
          <w:tcPr>
            <w:tcW w:w="2540" w:type="dxa"/>
            <w:shd w:val="clear" w:color="auto" w:fill="8DB3E2" w:themeFill="text2" w:themeFillTint="66"/>
          </w:tcPr>
          <w:p w:rsidR="00AD6EBE" w:rsidRDefault="00593249">
            <w:pPr>
              <w:pStyle w:val="TableParagraph"/>
              <w:spacing w:line="248" w:lineRule="exact"/>
              <w:rPr>
                <w:b/>
              </w:rPr>
            </w:pPr>
            <w:r>
              <w:rPr>
                <w:b/>
              </w:rPr>
              <w:t>Process</w:t>
            </w:r>
          </w:p>
        </w:tc>
        <w:tc>
          <w:tcPr>
            <w:tcW w:w="4962" w:type="dxa"/>
            <w:shd w:val="clear" w:color="auto" w:fill="8DB3E2" w:themeFill="text2" w:themeFillTint="66"/>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7" w:name="_TOC_250006"/>
      <w:r>
        <w:t>Right to Cancel or Vary the</w:t>
      </w:r>
      <w:r>
        <w:rPr>
          <w:spacing w:val="-6"/>
        </w:rPr>
        <w:t xml:space="preserve"> </w:t>
      </w:r>
      <w:bookmarkEnd w:id="7"/>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8" w:name="_TOC_250005"/>
      <w:r>
        <w:t>Scoring</w:t>
      </w:r>
      <w:r>
        <w:rPr>
          <w:spacing w:val="-1"/>
        </w:rPr>
        <w:t xml:space="preserve"> </w:t>
      </w:r>
      <w:bookmarkEnd w:id="8"/>
      <w:r>
        <w:t>Guide</w:t>
      </w:r>
    </w:p>
    <w:p w:rsidR="00AD6EBE" w:rsidRDefault="00AD6EBE">
      <w:pPr>
        <w:pStyle w:val="BodyText"/>
        <w:spacing w:before="11"/>
        <w:rPr>
          <w:b/>
          <w:sz w:val="20"/>
        </w:rPr>
      </w:pPr>
    </w:p>
    <w:p w:rsidR="00AD6EBE" w:rsidRPr="00B5602A" w:rsidRDefault="00593249">
      <w:pPr>
        <w:pStyle w:val="ListParagraph"/>
        <w:numPr>
          <w:ilvl w:val="1"/>
          <w:numId w:val="9"/>
        </w:numPr>
        <w:tabs>
          <w:tab w:val="left" w:pos="1981"/>
        </w:tabs>
        <w:spacing w:line="276" w:lineRule="auto"/>
        <w:ind w:right="1233"/>
        <w:jc w:val="both"/>
      </w:pPr>
      <w:r w:rsidRPr="00B5602A">
        <w:t xml:space="preserve">Questions will be evaluated on </w:t>
      </w:r>
      <w:r w:rsidR="00717F52" w:rsidRPr="00B5602A">
        <w:t xml:space="preserve">a scored basis with each question </w:t>
      </w:r>
      <w:r w:rsidRPr="00B5602A">
        <w:t xml:space="preserve">weighted </w:t>
      </w:r>
      <w:r w:rsidR="00717F52" w:rsidRPr="00B5602A">
        <w:t xml:space="preserve">as set out within Table 4, </w:t>
      </w:r>
      <w:r w:rsidRPr="00B5602A">
        <w:t xml:space="preserve">and scored using the scored questions evaluation mechanism set out in Table 3 below – except Finance which will be scored on an inverse percentage basis out of </w:t>
      </w:r>
      <w:r w:rsidR="0005175D">
        <w:rPr>
          <w:b/>
        </w:rPr>
        <w:t>2</w:t>
      </w:r>
      <w:r w:rsidRPr="00B5602A">
        <w:rPr>
          <w:b/>
        </w:rPr>
        <w:t xml:space="preserve">0.00% </w:t>
      </w:r>
      <w:r w:rsidRPr="00B5602A">
        <w:t>(See section 10</w:t>
      </w:r>
      <w:r w:rsidRPr="00B5602A">
        <w:rPr>
          <w:spacing w:val="-6"/>
        </w:rPr>
        <w:t xml:space="preserve"> </w:t>
      </w:r>
      <w:r w:rsidRPr="00B5602A">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rsidTr="00DF062E">
        <w:trPr>
          <w:trHeight w:hRule="exact" w:val="510"/>
        </w:trPr>
        <w:tc>
          <w:tcPr>
            <w:tcW w:w="1702" w:type="dxa"/>
            <w:shd w:val="clear" w:color="auto" w:fill="8DB3E2" w:themeFill="text2" w:themeFillTint="66"/>
          </w:tcPr>
          <w:p w:rsidR="00AD6EBE" w:rsidRDefault="00593249">
            <w:pPr>
              <w:pStyle w:val="TableParagraph"/>
              <w:spacing w:line="249" w:lineRule="exact"/>
              <w:ind w:left="98"/>
              <w:rPr>
                <w:b/>
              </w:rPr>
            </w:pPr>
            <w:r>
              <w:rPr>
                <w:b/>
              </w:rPr>
              <w:t>Assessment</w:t>
            </w:r>
          </w:p>
        </w:tc>
        <w:tc>
          <w:tcPr>
            <w:tcW w:w="850" w:type="dxa"/>
            <w:shd w:val="clear" w:color="auto" w:fill="8DB3E2" w:themeFill="text2" w:themeFillTint="66"/>
          </w:tcPr>
          <w:p w:rsidR="00AD6EBE" w:rsidRDefault="00593249">
            <w:pPr>
              <w:pStyle w:val="TableParagraph"/>
              <w:spacing w:line="249" w:lineRule="exact"/>
              <w:ind w:left="98"/>
              <w:rPr>
                <w:b/>
              </w:rPr>
            </w:pPr>
            <w:r>
              <w:rPr>
                <w:b/>
              </w:rPr>
              <w:t>Score</w:t>
            </w:r>
          </w:p>
        </w:tc>
        <w:tc>
          <w:tcPr>
            <w:tcW w:w="6652" w:type="dxa"/>
            <w:shd w:val="clear" w:color="auto" w:fill="8DB3E2" w:themeFill="text2" w:themeFillTint="66"/>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r>
              <w:rPr>
                <w:b/>
              </w:rPr>
              <w:t xml:space="preserve">benefits. </w:t>
            </w:r>
            <w:r>
              <w:t>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Demonstration by the Bidder of the relevant ability, understanding, experience, skills, resource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Some minor reservations of the Bidder’s relevant ability, understanding, experience, skills, resource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Considerable reservations of the Bidder’s relevant ability, understanding, experience, skills, resource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2C5A3C" w:rsidRDefault="002C5A3C"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DF062E">
        <w:trPr>
          <w:trHeight w:hRule="exact" w:val="516"/>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Default="002C5A3C" w:rsidP="00D70994">
            <w:pPr>
              <w:spacing w:line="248" w:lineRule="exact"/>
              <w:ind w:left="103"/>
              <w:rPr>
                <w:rFonts w:eastAsiaTheme="minorHAnsi"/>
                <w:b/>
                <w:bCs/>
              </w:rPr>
            </w:pPr>
            <w:r>
              <w:rPr>
                <w:b/>
                <w:bCs/>
              </w:rPr>
              <w:t>Question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hideMark/>
          </w:tcPr>
          <w:p w:rsidR="002C5A3C" w:rsidRDefault="002C5A3C" w:rsidP="00D70994">
            <w:pPr>
              <w:ind w:left="103" w:right="932"/>
              <w:rPr>
                <w:rFonts w:eastAsiaTheme="minorHAnsi"/>
                <w:b/>
                <w:bCs/>
              </w:rPr>
            </w:pPr>
            <w:r>
              <w:rPr>
                <w:b/>
                <w:bCs/>
              </w:rPr>
              <w:t>Scoring Mechanism</w:t>
            </w:r>
          </w:p>
        </w:tc>
        <w:tc>
          <w:tcPr>
            <w:tcW w:w="1280" w:type="dxa"/>
            <w:tcBorders>
              <w:top w:val="single" w:sz="8" w:space="0" w:color="000000"/>
              <w:left w:val="nil"/>
              <w:bottom w:val="single" w:sz="8" w:space="0" w:color="000000"/>
              <w:right w:val="single" w:sz="8" w:space="0" w:color="000000"/>
            </w:tcBorders>
            <w:shd w:val="clear" w:color="auto" w:fill="8DB3E2" w:themeFill="text2" w:themeFillTint="66"/>
            <w:hideMark/>
          </w:tcPr>
          <w:p w:rsidR="002C5A3C" w:rsidRDefault="002C5A3C" w:rsidP="00D70994">
            <w:pPr>
              <w:spacing w:line="248" w:lineRule="exact"/>
              <w:ind w:left="103"/>
              <w:rPr>
                <w:rFonts w:eastAsiaTheme="minorHAnsi"/>
                <w:b/>
                <w:bCs/>
              </w:rPr>
            </w:pPr>
            <w:r>
              <w:rPr>
                <w:b/>
                <w:bCs/>
              </w:rPr>
              <w:t>Weighting</w:t>
            </w:r>
          </w:p>
        </w:tc>
      </w:tr>
      <w:tr w:rsidR="002C5A3C" w:rsidRPr="0049363D"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49363D" w:rsidRDefault="002C5A3C" w:rsidP="00D70994">
            <w:pPr>
              <w:spacing w:line="251" w:lineRule="exact"/>
              <w:ind w:left="103"/>
              <w:rPr>
                <w:rFonts w:eastAsiaTheme="minorHAnsi"/>
                <w:b/>
              </w:rPr>
            </w:pPr>
            <w:r w:rsidRPr="0049363D">
              <w:rPr>
                <w:b/>
              </w:rPr>
              <w:t>Section A – Organisational Information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49363D"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49363D" w:rsidRDefault="002C5A3C" w:rsidP="00D70994">
            <w:pPr>
              <w:rPr>
                <w:rFonts w:eastAsiaTheme="minorHAnsi"/>
                <w:b/>
              </w:rPr>
            </w:pPr>
          </w:p>
        </w:tc>
      </w:tr>
      <w:tr w:rsidR="002C5A3C" w:rsidTr="00D70994">
        <w:trPr>
          <w:trHeight w:hRule="exact" w:val="262"/>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A1) Name and Address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264"/>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A2) Contact details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4817"/>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A3) Procurement Declarations</w:t>
            </w:r>
          </w:p>
          <w:p w:rsidR="002C5A3C" w:rsidRDefault="002C5A3C" w:rsidP="00D70994">
            <w:pPr>
              <w:ind w:left="103" w:right="3505"/>
              <w:rPr>
                <w:i/>
                <w:iCs/>
              </w:rPr>
            </w:pPr>
            <w:r>
              <w:rPr>
                <w:i/>
                <w:iCs/>
                <w:color w:val="FF0000"/>
              </w:rPr>
              <w:t>Evaluation Criteria: Pass =</w:t>
            </w:r>
          </w:p>
          <w:p w:rsidR="002C5A3C" w:rsidRDefault="002C5A3C" w:rsidP="002C5A3C">
            <w:pPr>
              <w:widowControl/>
              <w:numPr>
                <w:ilvl w:val="0"/>
                <w:numId w:val="24"/>
              </w:numPr>
              <w:spacing w:line="252" w:lineRule="exact"/>
              <w:ind w:firstLine="0"/>
              <w:rPr>
                <w:i/>
                <w:iCs/>
              </w:rPr>
            </w:pPr>
            <w:r>
              <w:rPr>
                <w:i/>
                <w:iCs/>
                <w:color w:val="FF0000"/>
              </w:rPr>
              <w:t>Attaching a completed, signed document</w:t>
            </w:r>
            <w:r>
              <w:rPr>
                <w:i/>
                <w:iCs/>
                <w:color w:val="FF0000"/>
                <w:spacing w:val="-12"/>
              </w:rPr>
              <w:t xml:space="preserve"> </w:t>
            </w:r>
            <w:r>
              <w:rPr>
                <w:i/>
                <w:iCs/>
                <w:color w:val="FF0000"/>
              </w:rPr>
              <w:t>2;</w:t>
            </w:r>
          </w:p>
          <w:p w:rsidR="002C5A3C" w:rsidRDefault="002C5A3C" w:rsidP="002C5A3C">
            <w:pPr>
              <w:widowControl/>
              <w:numPr>
                <w:ilvl w:val="0"/>
                <w:numId w:val="24"/>
              </w:numPr>
              <w:spacing w:before="1"/>
              <w:ind w:right="135" w:firstLine="0"/>
              <w:rPr>
                <w:i/>
                <w:iCs/>
              </w:rPr>
            </w:pPr>
            <w:r>
              <w:rPr>
                <w:i/>
                <w:iCs/>
                <w:color w:val="FF0000"/>
              </w:rPr>
              <w:t>Answering No to all Grounds for mandatory exclusion (section 2) and all Grounds for discretionary exclusion (section 3 and 4) or answering Yes to certain Grounds for mandatory exclusion and all Grounds for discretionary exclusion but providing sound reasons and other evidence in Appendix 1 that demonstrates why the sound reasons do not compromise its ability to deliver the contract,</w:t>
            </w:r>
            <w:r>
              <w:rPr>
                <w:i/>
                <w:iCs/>
                <w:color w:val="FF0000"/>
                <w:spacing w:val="-16"/>
              </w:rPr>
              <w:t xml:space="preserve"> </w:t>
            </w:r>
            <w:r>
              <w:rPr>
                <w:i/>
                <w:iCs/>
                <w:color w:val="FF0000"/>
              </w:rPr>
              <w:t>and</w:t>
            </w:r>
          </w:p>
          <w:p w:rsidR="002C5A3C" w:rsidRDefault="002C5A3C" w:rsidP="002C5A3C">
            <w:pPr>
              <w:widowControl/>
              <w:numPr>
                <w:ilvl w:val="0"/>
                <w:numId w:val="24"/>
              </w:numPr>
              <w:ind w:right="794" w:firstLine="0"/>
              <w:rPr>
                <w:i/>
                <w:iCs/>
              </w:rPr>
            </w:pPr>
            <w:r>
              <w:rPr>
                <w:i/>
                <w:iCs/>
                <w:color w:val="FF0000"/>
              </w:rPr>
              <w:t>Completing and signing section 6 conflicts</w:t>
            </w:r>
            <w:r>
              <w:rPr>
                <w:i/>
                <w:iCs/>
                <w:color w:val="FF0000"/>
                <w:spacing w:val="-12"/>
              </w:rPr>
              <w:t xml:space="preserve"> </w:t>
            </w:r>
            <w:r>
              <w:rPr>
                <w:i/>
                <w:iCs/>
                <w:color w:val="FF0000"/>
              </w:rPr>
              <w:t>of interest</w:t>
            </w:r>
            <w:r>
              <w:rPr>
                <w:i/>
                <w:iCs/>
                <w:color w:val="FF0000"/>
                <w:spacing w:val="-6"/>
              </w:rPr>
              <w:t xml:space="preserve"> </w:t>
            </w:r>
            <w:r>
              <w:rPr>
                <w:i/>
                <w:iCs/>
                <w:color w:val="FF0000"/>
              </w:rPr>
              <w:t>declaration.</w:t>
            </w:r>
          </w:p>
          <w:p w:rsidR="002C5A3C" w:rsidRDefault="002C5A3C" w:rsidP="00D70994">
            <w:pPr>
              <w:spacing w:before="2" w:line="252" w:lineRule="exact"/>
              <w:ind w:left="103"/>
              <w:rPr>
                <w:i/>
                <w:iCs/>
              </w:rPr>
            </w:pPr>
            <w:r>
              <w:rPr>
                <w:i/>
                <w:iCs/>
                <w:color w:val="FF0000"/>
              </w:rPr>
              <w:t>Fail =</w:t>
            </w:r>
          </w:p>
          <w:p w:rsidR="002C5A3C" w:rsidRDefault="002C5A3C" w:rsidP="002C5A3C">
            <w:pPr>
              <w:widowControl/>
              <w:numPr>
                <w:ilvl w:val="0"/>
                <w:numId w:val="25"/>
              </w:numPr>
              <w:spacing w:line="252" w:lineRule="exact"/>
              <w:ind w:firstLine="0"/>
              <w:rPr>
                <w:i/>
                <w:iCs/>
              </w:rPr>
            </w:pPr>
            <w:r>
              <w:rPr>
                <w:i/>
                <w:iCs/>
                <w:color w:val="FF0000"/>
              </w:rPr>
              <w:t>Failing to attach a completed signed document</w:t>
            </w:r>
            <w:r>
              <w:rPr>
                <w:i/>
                <w:iCs/>
                <w:color w:val="FF0000"/>
                <w:spacing w:val="-15"/>
              </w:rPr>
              <w:t xml:space="preserve"> </w:t>
            </w:r>
            <w:r>
              <w:rPr>
                <w:i/>
                <w:iCs/>
                <w:color w:val="FF0000"/>
              </w:rPr>
              <w:t>2</w:t>
            </w:r>
          </w:p>
          <w:p w:rsidR="002C5A3C" w:rsidRDefault="002C5A3C" w:rsidP="002C5A3C">
            <w:pPr>
              <w:widowControl/>
              <w:numPr>
                <w:ilvl w:val="0"/>
                <w:numId w:val="25"/>
              </w:numPr>
              <w:spacing w:before="1"/>
              <w:ind w:right="246" w:firstLine="0"/>
              <w:rPr>
                <w:rFonts w:eastAsiaTheme="minorHAnsi"/>
                <w:i/>
                <w:iCs/>
              </w:rPr>
            </w:pPr>
            <w:r>
              <w:rPr>
                <w:i/>
                <w:iCs/>
                <w:color w:val="FF0000"/>
              </w:rPr>
              <w:t>Answering Yes to certain Grounds for mandatory exclusion and all Grounds for discretionary exclusion and failing to provide sound reasons and</w:t>
            </w:r>
            <w:r>
              <w:rPr>
                <w:i/>
                <w:iCs/>
                <w:color w:val="FF0000"/>
                <w:spacing w:val="-10"/>
              </w:rPr>
              <w:t xml:space="preserve"> </w:t>
            </w:r>
            <w:r>
              <w:rPr>
                <w:i/>
                <w:iCs/>
                <w:color w:val="FF0000"/>
              </w:rPr>
              <w:t>other</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6265A0" w:rsidRDefault="006265A0"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DF062E">
        <w:trPr>
          <w:trHeight w:hRule="exact" w:val="2035"/>
        </w:trPr>
        <w:tc>
          <w:tcPr>
            <w:tcW w:w="5497" w:type="dxa"/>
            <w:tcBorders>
              <w:top w:val="single" w:sz="8" w:space="0" w:color="000000"/>
              <w:left w:val="single" w:sz="8" w:space="0" w:color="000000"/>
              <w:bottom w:val="single" w:sz="8" w:space="0" w:color="000000"/>
              <w:right w:val="single" w:sz="8" w:space="0" w:color="000000"/>
            </w:tcBorders>
            <w:hideMark/>
          </w:tcPr>
          <w:p w:rsidR="002C5A3C" w:rsidRDefault="002C5A3C" w:rsidP="00D70994">
            <w:pPr>
              <w:ind w:left="103" w:right="101"/>
              <w:rPr>
                <w:rFonts w:eastAsiaTheme="minorHAnsi"/>
                <w:i/>
                <w:iCs/>
              </w:rPr>
            </w:pPr>
            <w:r>
              <w:rPr>
                <w:i/>
                <w:iCs/>
                <w:color w:val="FF0000"/>
              </w:rPr>
              <w:t>appropriate evidence in Appendix 1 that demonstrates why the sound reasons do not compromise its ability to deliver the contract, and</w:t>
            </w:r>
          </w:p>
          <w:p w:rsidR="002C5A3C" w:rsidRDefault="002C5A3C" w:rsidP="00D70994">
            <w:pPr>
              <w:spacing w:before="3"/>
              <w:ind w:left="103" w:right="179"/>
              <w:rPr>
                <w:rFonts w:eastAsiaTheme="minorHAnsi"/>
                <w:i/>
                <w:iCs/>
              </w:rPr>
            </w:pPr>
            <w:r>
              <w:rPr>
                <w:i/>
                <w:iCs/>
                <w:color w:val="FF0000"/>
              </w:rPr>
              <w:t>3. Failing to complete a signed section 6 conflicts of interest declaration or completing and signing section 6 conflicts of interest declaration where the identified conflict was deemed unacceptable by the Commissioner.</w:t>
            </w:r>
          </w:p>
        </w:tc>
        <w:tc>
          <w:tcPr>
            <w:tcW w:w="2263"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r>
      <w:tr w:rsidR="002C5A3C" w:rsidRPr="002C5A3C" w:rsidTr="00DF062E">
        <w:trPr>
          <w:trHeight w:hRule="exact" w:val="262"/>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B - Insurance and Indemnity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r>
      <w:tr w:rsidR="002C5A3C" w:rsidTr="00D70994">
        <w:trPr>
          <w:trHeight w:hRule="exact" w:val="770"/>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B1) Public Liability Insurance</w:t>
            </w:r>
          </w:p>
          <w:p w:rsidR="002C5A3C" w:rsidRDefault="002C5A3C" w:rsidP="00D70994">
            <w:pPr>
              <w:spacing w:before="1"/>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B2) Employers Liability Insurance</w:t>
            </w:r>
          </w:p>
          <w:p w:rsidR="002C5A3C" w:rsidRDefault="002C5A3C" w:rsidP="00D70994">
            <w:pPr>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B3) Professional Indemnity Insurance</w:t>
            </w:r>
          </w:p>
          <w:p w:rsidR="002C5A3C" w:rsidRDefault="002C5A3C" w:rsidP="00D70994">
            <w:pPr>
              <w:spacing w:before="1"/>
              <w:ind w:left="103" w:right="123"/>
              <w:rPr>
                <w:rFonts w:eastAsiaTheme="minorHAnsi"/>
              </w:rPr>
            </w:pPr>
            <w:r>
              <w:rPr>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RPr="002C5A3C" w:rsidTr="00DF062E">
        <w:trPr>
          <w:trHeight w:hRule="exact" w:val="263"/>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2" w:lineRule="exact"/>
              <w:ind w:left="103"/>
              <w:rPr>
                <w:rFonts w:eastAsiaTheme="minorHAnsi"/>
                <w:b/>
              </w:rPr>
            </w:pPr>
            <w:r w:rsidRPr="002C5A3C">
              <w:rPr>
                <w:b/>
              </w:rPr>
              <w:t>Section C - Health and Safety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r>
      <w:tr w:rsidR="002C5A3C" w:rsidTr="00DF062E">
        <w:trPr>
          <w:trHeight w:hRule="exact" w:val="2131"/>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C1) Health &amp; Safety Incidents</w:t>
            </w:r>
          </w:p>
          <w:p w:rsidR="002C5A3C" w:rsidRDefault="002C5A3C" w:rsidP="00D70994">
            <w:pPr>
              <w:spacing w:before="1"/>
              <w:ind w:left="103" w:right="741"/>
              <w:rPr>
                <w:i/>
                <w:iCs/>
              </w:rPr>
            </w:pPr>
            <w:r>
              <w:rPr>
                <w:i/>
                <w:iCs/>
                <w:color w:val="FF0000"/>
              </w:rPr>
              <w:t>Pass = no Health &amp; Safety incidents or having incidents but taking appropriate action following lessons learnt to the satisfaction of the CCG</w:t>
            </w:r>
          </w:p>
          <w:p w:rsidR="002C5A3C" w:rsidRDefault="002C5A3C" w:rsidP="00D70994">
            <w:pPr>
              <w:spacing w:before="1"/>
              <w:ind w:left="103" w:right="252"/>
              <w:rPr>
                <w:rFonts w:eastAsiaTheme="minorHAnsi"/>
                <w:i/>
                <w:iCs/>
              </w:rPr>
            </w:pPr>
            <w:r>
              <w:rPr>
                <w:i/>
                <w:iCs/>
                <w:color w:val="FF0000"/>
              </w:rPr>
              <w:t>Fail = Health &amp; Safety incidents with either no action being taken or inappropriate or insufficient action being taken which does not satisfy the CCG that you are a safe organisation</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D - Data Protection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r>
      <w:tr w:rsidR="002C5A3C" w:rsidTr="00DF062E">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D1) Data Protection</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E - Equality &amp; Diversity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r>
      <w:tr w:rsidR="002C5A3C" w:rsidTr="00D70994">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E1) Equality Act 2010</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49363D" w:rsidRDefault="0049363D"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p w:rsidR="000D2AAB" w:rsidRDefault="000D2AAB"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RPr="00B5602A" w:rsidTr="00E563EA">
        <w:tc>
          <w:tcPr>
            <w:tcW w:w="7371"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562A3E" w:rsidRPr="00B5602A" w:rsidRDefault="00562A3E" w:rsidP="006265A0">
            <w:pPr>
              <w:spacing w:after="60" w:line="276" w:lineRule="auto"/>
            </w:pPr>
            <w:r w:rsidRPr="00B5602A">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562A3E" w:rsidRPr="00B5602A" w:rsidRDefault="00562A3E" w:rsidP="00531E24">
            <w:pPr>
              <w:spacing w:after="60" w:line="276" w:lineRule="auto"/>
              <w:jc w:val="center"/>
            </w:pPr>
            <w:r w:rsidRPr="00B5602A">
              <w:rPr>
                <w:b/>
                <w:bCs/>
              </w:rPr>
              <w:t>Weighting</w:t>
            </w:r>
          </w:p>
        </w:tc>
      </w:tr>
      <w:tr w:rsidR="00E563EA" w:rsidRPr="00B5602A" w:rsidTr="00E563EA">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63EA" w:rsidRPr="000D2AAB" w:rsidRDefault="00E563EA" w:rsidP="00E563EA">
            <w:pPr>
              <w:spacing w:after="60" w:line="276" w:lineRule="auto"/>
              <w:rPr>
                <w:b/>
              </w:rPr>
            </w:pPr>
            <w:r w:rsidRPr="000D2AAB">
              <w:rPr>
                <w:b/>
              </w:rPr>
              <w:t>Proposed Approach</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63EA" w:rsidRDefault="00E563EA" w:rsidP="0005175D">
            <w:pPr>
              <w:spacing w:after="60" w:line="276" w:lineRule="auto"/>
              <w:jc w:val="center"/>
            </w:pPr>
          </w:p>
        </w:tc>
      </w:tr>
      <w:tr w:rsidR="00562A3E" w:rsidRPr="00B5602A" w:rsidTr="00E563EA">
        <w:tc>
          <w:tcPr>
            <w:tcW w:w="7371"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562A3E" w:rsidRPr="00B5602A" w:rsidRDefault="000D2AAB" w:rsidP="000D2AAB">
            <w:pPr>
              <w:pStyle w:val="ListParagraph"/>
              <w:numPr>
                <w:ilvl w:val="0"/>
                <w:numId w:val="26"/>
              </w:numPr>
              <w:spacing w:after="60" w:line="276" w:lineRule="auto"/>
            </w:pPr>
            <w:r w:rsidRPr="000D2AAB">
              <w:t>A clear well-articulated detailed description of the methods, sample size, data collection (including piloting) and analysis to meet the evaluation aims and objectives</w:t>
            </w:r>
          </w:p>
        </w:tc>
        <w:tc>
          <w:tcPr>
            <w:tcW w:w="1418" w:type="dxa"/>
            <w:tcBorders>
              <w:top w:val="single" w:sz="8" w:space="0" w:color="auto"/>
              <w:left w:val="nil"/>
              <w:bottom w:val="nil"/>
              <w:right w:val="single" w:sz="8" w:space="0" w:color="auto"/>
            </w:tcBorders>
            <w:tcMar>
              <w:top w:w="0" w:type="dxa"/>
              <w:left w:w="108" w:type="dxa"/>
              <w:bottom w:w="0" w:type="dxa"/>
              <w:right w:w="108" w:type="dxa"/>
            </w:tcMar>
            <w:hideMark/>
          </w:tcPr>
          <w:p w:rsidR="00562A3E" w:rsidRPr="00B5602A" w:rsidRDefault="000D2AAB" w:rsidP="0005175D">
            <w:pPr>
              <w:spacing w:after="60" w:line="276" w:lineRule="auto"/>
              <w:jc w:val="center"/>
            </w:pPr>
            <w:r>
              <w:t>7.5</w:t>
            </w:r>
            <w:r w:rsidR="00562A3E" w:rsidRPr="00B5602A">
              <w:t>%</w:t>
            </w:r>
          </w:p>
        </w:tc>
      </w:tr>
      <w:tr w:rsidR="002C343B" w:rsidRPr="00B5602A"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0D2AAB" w:rsidP="000D2AAB">
            <w:pPr>
              <w:pStyle w:val="ListParagraph"/>
              <w:numPr>
                <w:ilvl w:val="0"/>
                <w:numId w:val="26"/>
              </w:numPr>
              <w:spacing w:after="60" w:line="276" w:lineRule="auto"/>
            </w:pPr>
            <w:r w:rsidRPr="000D2AAB">
              <w:t>Details of how data will be handled, transferred, stored and disposed of to ensure data is safe and secure and processes comply with GDPR and Information Governance standards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3B" w:rsidRPr="00B5602A" w:rsidRDefault="000D2AAB" w:rsidP="000D2AAB">
            <w:pPr>
              <w:spacing w:after="60" w:line="276" w:lineRule="auto"/>
              <w:jc w:val="center"/>
            </w:pPr>
            <w:r>
              <w:t>7.5</w:t>
            </w:r>
            <w:r w:rsidR="002C343B" w:rsidRPr="00B5602A">
              <w:t>%</w:t>
            </w:r>
          </w:p>
        </w:tc>
      </w:tr>
      <w:tr w:rsidR="002C343B"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0D2AAB" w:rsidRDefault="000D2AAB" w:rsidP="000D2AAB">
            <w:pPr>
              <w:spacing w:after="60" w:line="276" w:lineRule="auto"/>
              <w:rPr>
                <w:b/>
              </w:rPr>
            </w:pPr>
            <w:r w:rsidRPr="000D2AAB">
              <w:rPr>
                <w:b/>
              </w:rPr>
              <w:t>Capacity and Capability of Evaluators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B5602A" w:rsidRDefault="002C343B" w:rsidP="00B5602A">
            <w:pPr>
              <w:spacing w:after="60" w:line="276" w:lineRule="auto"/>
              <w:jc w:val="center"/>
            </w:pPr>
          </w:p>
        </w:tc>
      </w:tr>
      <w:tr w:rsidR="002C343B"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0D2AAB" w:rsidP="000D2AAB">
            <w:pPr>
              <w:pStyle w:val="ListParagraph"/>
              <w:numPr>
                <w:ilvl w:val="0"/>
                <w:numId w:val="26"/>
              </w:numPr>
              <w:spacing w:after="60" w:line="276" w:lineRule="auto"/>
            </w:pPr>
            <w:r w:rsidRPr="000D2AAB">
              <w:t>Details of evaluation team members and the person with overall responsibility for the evaluation (Short CVs of team members to include qualifications, training and skills)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B5602A" w:rsidRDefault="000D2AAB" w:rsidP="000D2AAB">
            <w:pPr>
              <w:spacing w:after="60" w:line="276" w:lineRule="auto"/>
              <w:jc w:val="center"/>
            </w:pPr>
            <w:r>
              <w:t>5</w:t>
            </w:r>
            <w:r w:rsidR="002C343B" w:rsidRPr="00B5602A">
              <w:t>%</w:t>
            </w: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B5602A" w:rsidRDefault="000D2AAB" w:rsidP="000D2AAB">
            <w:pPr>
              <w:pStyle w:val="ListParagraph"/>
              <w:numPr>
                <w:ilvl w:val="0"/>
                <w:numId w:val="26"/>
              </w:numPr>
              <w:spacing w:after="60" w:line="276" w:lineRule="auto"/>
            </w:pPr>
            <w:r w:rsidRPr="000D2AAB">
              <w:t>Experience of successfully undertaking similar projects  i.e. evaluations of healthcare service transformation initiatives, mixed methods and impact evaluations including cohort and case study methodology (examples to be provided)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0D2AAB" w:rsidP="0005175D">
            <w:pPr>
              <w:spacing w:after="60" w:line="276" w:lineRule="auto"/>
              <w:jc w:val="center"/>
            </w:pPr>
            <w:r>
              <w:t>20%</w:t>
            </w: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0D2AAB" w:rsidRDefault="000D2AAB" w:rsidP="000D2AAB">
            <w:pPr>
              <w:spacing w:after="60" w:line="276" w:lineRule="auto"/>
              <w:rPr>
                <w:b/>
              </w:rPr>
            </w:pPr>
            <w:r w:rsidRPr="000D2AAB">
              <w:rPr>
                <w:b/>
              </w:rPr>
              <w:t>Reasonable Timetabled Schedule of Work</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E563EA" w:rsidP="0005175D">
            <w:pPr>
              <w:spacing w:after="60" w:line="276" w:lineRule="auto"/>
              <w:jc w:val="center"/>
            </w:pP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B5602A" w:rsidRDefault="000D2AAB" w:rsidP="000D2AAB">
            <w:pPr>
              <w:pStyle w:val="ListParagraph"/>
              <w:numPr>
                <w:ilvl w:val="0"/>
                <w:numId w:val="26"/>
              </w:numPr>
              <w:spacing w:after="60" w:line="276" w:lineRule="auto"/>
            </w:pPr>
            <w:r w:rsidRPr="000D2AAB">
              <w:t>Detail a reasonable timetabled schedule of work with a Gantt Chart showing allocated responsibility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0D2AAB" w:rsidP="0005175D">
            <w:pPr>
              <w:spacing w:after="60" w:line="276" w:lineRule="auto"/>
              <w:jc w:val="center"/>
            </w:pPr>
            <w:r>
              <w:t>15%</w:t>
            </w: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B5602A" w:rsidRDefault="000D2AAB" w:rsidP="000D2AAB">
            <w:pPr>
              <w:pStyle w:val="ListParagraph"/>
              <w:numPr>
                <w:ilvl w:val="0"/>
                <w:numId w:val="26"/>
              </w:numPr>
              <w:spacing w:after="60" w:line="276" w:lineRule="auto"/>
            </w:pPr>
            <w:r w:rsidRPr="000D2AAB">
              <w:t>Risk register and risk management contingencies e.g.  staffing, evaluation delivery, inability to recruit etc.</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0D2AAB" w:rsidP="0005175D">
            <w:pPr>
              <w:spacing w:after="60" w:line="276" w:lineRule="auto"/>
              <w:jc w:val="center"/>
            </w:pPr>
            <w:r>
              <w:t>5%</w:t>
            </w: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0D2AAB" w:rsidRDefault="000D2AAB" w:rsidP="000D2AAB">
            <w:pPr>
              <w:spacing w:after="60" w:line="276" w:lineRule="auto"/>
              <w:rPr>
                <w:b/>
              </w:rPr>
            </w:pPr>
            <w:r w:rsidRPr="000D2AAB">
              <w:rPr>
                <w:b/>
              </w:rPr>
              <w:t>Whole Life Evaluation Costs – Value for Money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E563EA" w:rsidP="0005175D">
            <w:pPr>
              <w:spacing w:after="60" w:line="276" w:lineRule="auto"/>
              <w:jc w:val="center"/>
            </w:pPr>
          </w:p>
        </w:tc>
      </w:tr>
      <w:tr w:rsidR="00E563EA"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563EA" w:rsidRPr="00B5602A" w:rsidRDefault="000D2AAB" w:rsidP="000D2AAB">
            <w:pPr>
              <w:pStyle w:val="ListParagraph"/>
              <w:numPr>
                <w:ilvl w:val="0"/>
                <w:numId w:val="26"/>
              </w:numPr>
              <w:spacing w:after="60" w:line="276" w:lineRule="auto"/>
            </w:pPr>
            <w:r w:rsidRPr="000D2AAB">
              <w:t>Total funds required to complete the work (inclusive of VAT) including full breakdown of costs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563EA" w:rsidRDefault="000D2AAB" w:rsidP="0005175D">
            <w:pPr>
              <w:spacing w:after="60" w:line="276" w:lineRule="auto"/>
              <w:jc w:val="center"/>
            </w:pPr>
            <w:r>
              <w:t>40%</w:t>
            </w:r>
          </w:p>
        </w:tc>
      </w:tr>
      <w:tr w:rsidR="002C343B" w:rsidRPr="00B5602A" w:rsidTr="000D2AAB">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2C343B" w:rsidP="000D2AAB">
            <w:pPr>
              <w:spacing w:after="60" w:line="276"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B5602A" w:rsidRDefault="002C343B" w:rsidP="0005175D">
            <w:pPr>
              <w:spacing w:after="60" w:line="276" w:lineRule="auto"/>
              <w:jc w:val="center"/>
            </w:pPr>
          </w:p>
        </w:tc>
      </w:tr>
      <w:tr w:rsidR="002C343B" w:rsidTr="00DF062E">
        <w:trPr>
          <w:trHeight w:val="546"/>
        </w:trPr>
        <w:tc>
          <w:tcPr>
            <w:tcW w:w="7371" w:type="dxa"/>
            <w:tcBorders>
              <w:top w:val="single" w:sz="8" w:space="0" w:color="auto"/>
              <w:left w:val="single" w:sz="8" w:space="0" w:color="auto"/>
              <w:bottom w:val="nil"/>
              <w:right w:val="single" w:sz="8" w:space="0" w:color="auto"/>
            </w:tcBorders>
            <w:shd w:val="clear" w:color="auto" w:fill="8DB3E2" w:themeFill="text2" w:themeFillTint="66"/>
            <w:tcMar>
              <w:top w:w="0" w:type="dxa"/>
              <w:left w:w="108" w:type="dxa"/>
              <w:bottom w:w="0" w:type="dxa"/>
              <w:right w:w="108" w:type="dxa"/>
            </w:tcMar>
            <w:vAlign w:val="center"/>
            <w:hideMark/>
          </w:tcPr>
          <w:p w:rsidR="002C343B" w:rsidRPr="00B5602A" w:rsidRDefault="002C343B" w:rsidP="00531E24">
            <w:pPr>
              <w:spacing w:after="60" w:line="276" w:lineRule="auto"/>
            </w:pPr>
            <w:r w:rsidRPr="00B5602A">
              <w:rPr>
                <w:b/>
                <w:bCs/>
              </w:rPr>
              <w:t>Total marks available</w:t>
            </w:r>
          </w:p>
        </w:tc>
        <w:tc>
          <w:tcPr>
            <w:tcW w:w="1418" w:type="dxa"/>
            <w:tcBorders>
              <w:top w:val="single" w:sz="8" w:space="0" w:color="auto"/>
              <w:left w:val="nil"/>
              <w:bottom w:val="nil"/>
              <w:right w:val="single" w:sz="8" w:space="0" w:color="auto"/>
            </w:tcBorders>
            <w:shd w:val="clear" w:color="auto" w:fill="8DB3E2" w:themeFill="text2" w:themeFillTint="66"/>
            <w:tcMar>
              <w:top w:w="0" w:type="dxa"/>
              <w:left w:w="108" w:type="dxa"/>
              <w:bottom w:w="0" w:type="dxa"/>
              <w:right w:w="108" w:type="dxa"/>
            </w:tcMar>
            <w:vAlign w:val="center"/>
            <w:hideMark/>
          </w:tcPr>
          <w:p w:rsidR="002C343B" w:rsidRPr="00717F52" w:rsidRDefault="002C343B" w:rsidP="00531E24">
            <w:pPr>
              <w:spacing w:after="60" w:line="276" w:lineRule="auto"/>
              <w:jc w:val="center"/>
            </w:pPr>
            <w:r w:rsidRPr="00B5602A">
              <w:rPr>
                <w:b/>
                <w:bCs/>
              </w:rPr>
              <w:t>100%</w:t>
            </w:r>
          </w:p>
        </w:tc>
      </w:tr>
      <w:tr w:rsidR="002C343B"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8C2ACD">
            <w:pPr>
              <w:spacing w:after="60" w:line="276" w:lineRule="auto"/>
            </w:pPr>
          </w:p>
        </w:tc>
      </w:tr>
    </w:tbl>
    <w:p w:rsidR="002C343B" w:rsidRDefault="002C343B">
      <w:pPr>
        <w:pStyle w:val="BodyText"/>
        <w:rPr>
          <w:rFonts w:ascii="Times New Roman"/>
          <w:sz w:val="20"/>
        </w:rPr>
      </w:pPr>
    </w:p>
    <w:p w:rsidR="006265A0" w:rsidRDefault="006265A0">
      <w:pPr>
        <w:pStyle w:val="BodyText"/>
        <w:rPr>
          <w:rFonts w:ascii="Times New Roman"/>
          <w:sz w:val="20"/>
        </w:rPr>
      </w:pPr>
    </w:p>
    <w:p w:rsidR="00B44B50" w:rsidRPr="00B5602A" w:rsidRDefault="00B44B50" w:rsidP="00B44B50">
      <w:pPr>
        <w:pStyle w:val="BodyText"/>
        <w:spacing w:line="276" w:lineRule="auto"/>
        <w:ind w:left="1260" w:right="1298"/>
      </w:pPr>
      <w:r w:rsidRPr="00B5602A">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sidRPr="00B5602A">
        <w:rPr>
          <w:b/>
          <w:u w:val="thick"/>
        </w:rPr>
        <w:t>Total Quality score</w:t>
      </w:r>
      <w:r w:rsidRPr="00B5602A">
        <w:t xml:space="preserve">. Please note that any supplier who does not achieve a Total Quality Score of at least 60% of the total available i.e. a total score of at least 48%, will be excluded from further consideration and will not have their financial submission evaluated.  </w:t>
      </w:r>
    </w:p>
    <w:p w:rsidR="00F5340A" w:rsidRPr="00B5602A" w:rsidRDefault="00F5340A" w:rsidP="00B44B50">
      <w:pPr>
        <w:pStyle w:val="BodyText"/>
        <w:spacing w:line="276" w:lineRule="auto"/>
        <w:ind w:left="1260" w:right="1298"/>
      </w:pPr>
    </w:p>
    <w:p w:rsidR="00B44B50" w:rsidRPr="00B5602A" w:rsidRDefault="00B44B50" w:rsidP="00F5340A">
      <w:pPr>
        <w:pStyle w:val="Heading1"/>
        <w:numPr>
          <w:ilvl w:val="1"/>
          <w:numId w:val="5"/>
        </w:numPr>
        <w:tabs>
          <w:tab w:val="left" w:pos="1981"/>
        </w:tabs>
        <w:jc w:val="both"/>
      </w:pPr>
      <w:bookmarkStart w:id="9" w:name="_TOC_250004"/>
      <w:r w:rsidRPr="00B5602A">
        <w:t>Financial</w:t>
      </w:r>
      <w:r w:rsidRPr="00B5602A">
        <w:rPr>
          <w:spacing w:val="-4"/>
        </w:rPr>
        <w:t xml:space="preserve"> </w:t>
      </w:r>
      <w:bookmarkEnd w:id="9"/>
      <w:r w:rsidRPr="00B5602A">
        <w:t>Assessment:</w:t>
      </w:r>
    </w:p>
    <w:p w:rsidR="00F5340A" w:rsidRPr="00B5602A" w:rsidRDefault="00F5340A" w:rsidP="00F5340A">
      <w:pPr>
        <w:pStyle w:val="Heading1"/>
        <w:tabs>
          <w:tab w:val="left" w:pos="1981"/>
        </w:tabs>
        <w:ind w:firstLine="0"/>
        <w:jc w:val="both"/>
      </w:pPr>
    </w:p>
    <w:p w:rsidR="009376CC" w:rsidRPr="00B5602A" w:rsidRDefault="00B44B50" w:rsidP="00F5340A">
      <w:pPr>
        <w:pStyle w:val="BodyText"/>
        <w:ind w:left="1276" w:right="1235"/>
        <w:jc w:val="both"/>
      </w:pPr>
      <w:r w:rsidRPr="00B5602A">
        <w:t>The Service Cost / Price element of</w:t>
      </w:r>
      <w:r w:rsidR="00F5340A" w:rsidRPr="00B5602A">
        <w:t xml:space="preserve"> this tender will be scored on the basis of </w:t>
      </w:r>
      <w:r w:rsidRPr="00B5602A">
        <w:t xml:space="preserve">the </w:t>
      </w:r>
      <w:r w:rsidR="00F5340A" w:rsidRPr="00B5602A">
        <w:t xml:space="preserve">lowest aggregated day rate being awarded the full </w:t>
      </w:r>
      <w:r w:rsidR="000D2AAB">
        <w:t>4</w:t>
      </w:r>
      <w:r w:rsidR="00F5340A" w:rsidRPr="00B5602A">
        <w:t xml:space="preserve">0%.  </w:t>
      </w:r>
      <w:r w:rsidRPr="00B5602A">
        <w:t xml:space="preserve">Scores for the prices submitted by other bidders will be awarded a score as an inverse percentage and will receive a score below </w:t>
      </w:r>
      <w:r w:rsidRPr="00B5602A">
        <w:lastRenderedPageBreak/>
        <w:t>100%. The price weighting (</w:t>
      </w:r>
      <w:r w:rsidR="000D2AAB">
        <w:t>4</w:t>
      </w:r>
      <w:r w:rsidRPr="00B5602A">
        <w:t xml:space="preserve">0%) will then be applied to give the </w:t>
      </w:r>
      <w:r w:rsidRPr="00B5602A">
        <w:rPr>
          <w:b/>
          <w:u w:val="thick"/>
        </w:rPr>
        <w:t>Total Price Score.</w:t>
      </w:r>
    </w:p>
    <w:p w:rsidR="00F5340A" w:rsidRPr="00B5602A" w:rsidRDefault="00F5340A" w:rsidP="00F5340A">
      <w:pPr>
        <w:pStyle w:val="BodyText"/>
        <w:ind w:left="1260" w:right="1233"/>
        <w:jc w:val="both"/>
        <w:rPr>
          <w:b/>
          <w:u w:val="thick"/>
        </w:rPr>
      </w:pPr>
    </w:p>
    <w:p w:rsidR="009376CC" w:rsidRPr="00B5602A" w:rsidRDefault="009376CC" w:rsidP="009376CC">
      <w:pPr>
        <w:pStyle w:val="BodyText"/>
        <w:ind w:left="1260"/>
      </w:pPr>
      <w:r w:rsidRPr="00B5602A">
        <w:t>Tender prices will be scored on a comparative basis, with the lowest compliant Tender (excluding any Tenders that NHS Arden &amp; GEM CSU rejects as being abnormally low or non-compliant) receiving 100% of the available marks (</w:t>
      </w:r>
      <w:r w:rsidR="000D2AAB">
        <w:t>4</w:t>
      </w:r>
      <w:r w:rsidRPr="00B5602A">
        <w:t xml:space="preserve">0% following weighting).  All other Tenders will be compared against that lowest Tender using the formula: </w:t>
      </w:r>
    </w:p>
    <w:p w:rsidR="009376CC" w:rsidRPr="00B5602A" w:rsidRDefault="009376CC" w:rsidP="009376CC">
      <w:pPr>
        <w:pStyle w:val="BodyText"/>
        <w:ind w:left="540" w:firstLine="720"/>
      </w:pPr>
    </w:p>
    <w:p w:rsidR="009376CC" w:rsidRPr="00B5602A" w:rsidRDefault="009376CC" w:rsidP="009376CC">
      <w:pPr>
        <w:pStyle w:val="BodyText"/>
        <w:ind w:left="540" w:firstLine="720"/>
      </w:pPr>
      <w:r w:rsidRPr="00B5602A">
        <w:t xml:space="preserve">(A / B) x </w:t>
      </w:r>
      <w:r w:rsidR="000D2AAB">
        <w:t>4</w:t>
      </w:r>
      <w:r w:rsidRPr="00B5602A">
        <w:t>0</w:t>
      </w:r>
    </w:p>
    <w:p w:rsidR="009376CC" w:rsidRPr="00B5602A" w:rsidRDefault="009376CC" w:rsidP="009376CC">
      <w:pPr>
        <w:pStyle w:val="BodyText"/>
        <w:ind w:left="540" w:firstLine="720"/>
      </w:pPr>
    </w:p>
    <w:p w:rsidR="009376CC" w:rsidRPr="00B5602A" w:rsidRDefault="009376CC" w:rsidP="009376CC">
      <w:pPr>
        <w:pStyle w:val="BodyText"/>
        <w:ind w:left="540" w:firstLine="720"/>
      </w:pPr>
      <w:r w:rsidRPr="00B5602A">
        <w:t>A = price of lowest compliant Tender       B = price of the Tender being evaluated.</w:t>
      </w:r>
    </w:p>
    <w:p w:rsidR="009376CC" w:rsidRPr="00B5602A" w:rsidRDefault="009376CC" w:rsidP="009376CC">
      <w:pPr>
        <w:pStyle w:val="BodyText"/>
      </w:pPr>
    </w:p>
    <w:p w:rsidR="009376CC" w:rsidRPr="00B5602A" w:rsidRDefault="009376CC" w:rsidP="009376CC">
      <w:pPr>
        <w:pStyle w:val="BodyText"/>
        <w:ind w:left="540" w:firstLine="720"/>
      </w:pPr>
      <w:r w:rsidRPr="00B5602A">
        <w:t>Bidders are asked to quote their most competitive blended hourly rate for the purposes of the evaluation</w:t>
      </w:r>
    </w:p>
    <w:p w:rsidR="009376CC" w:rsidRPr="00B5602A" w:rsidRDefault="009376CC" w:rsidP="009376CC">
      <w:pPr>
        <w:pStyle w:val="BodyText"/>
      </w:pPr>
    </w:p>
    <w:p w:rsidR="009376CC" w:rsidRPr="00B5602A" w:rsidRDefault="009376CC" w:rsidP="009376CC">
      <w:pPr>
        <w:pStyle w:val="BodyText"/>
        <w:ind w:left="540" w:firstLine="720"/>
      </w:pPr>
      <w:r w:rsidRPr="00B5602A">
        <w:t>Example</w:t>
      </w:r>
    </w:p>
    <w:p w:rsidR="009376CC" w:rsidRPr="00B5602A" w:rsidRDefault="009376CC" w:rsidP="009376CC">
      <w:pPr>
        <w:pStyle w:val="BodyText"/>
        <w:ind w:left="540" w:firstLine="720"/>
      </w:pPr>
      <w:r w:rsidRPr="00B5602A">
        <w:t xml:space="preserve">Supplier A – </w:t>
      </w:r>
      <w:r w:rsidR="002C343B" w:rsidRPr="00B5602A">
        <w:t>Price</w:t>
      </w:r>
      <w:r w:rsidRPr="00B5602A">
        <w:t xml:space="preserve"> £400.00</w:t>
      </w:r>
    </w:p>
    <w:p w:rsidR="009376CC" w:rsidRPr="00B5602A" w:rsidRDefault="009376CC" w:rsidP="009376CC">
      <w:pPr>
        <w:pStyle w:val="BodyText"/>
        <w:ind w:left="540" w:firstLine="720"/>
      </w:pPr>
      <w:r w:rsidRPr="00B5602A">
        <w:t xml:space="preserve">Supplier B – </w:t>
      </w:r>
      <w:r w:rsidR="002C343B" w:rsidRPr="00B5602A">
        <w:t>Price</w:t>
      </w:r>
      <w:r w:rsidRPr="00B5602A">
        <w:t xml:space="preserve"> £450.00</w:t>
      </w:r>
    </w:p>
    <w:p w:rsidR="009376CC" w:rsidRPr="00B5602A" w:rsidRDefault="009376CC" w:rsidP="009376CC">
      <w:pPr>
        <w:pStyle w:val="BodyText"/>
        <w:ind w:left="540" w:firstLine="720"/>
      </w:pPr>
      <w:r w:rsidRPr="00B5602A">
        <w:t xml:space="preserve">Supplier C – </w:t>
      </w:r>
      <w:r w:rsidR="002C343B" w:rsidRPr="00B5602A">
        <w:t>Price</w:t>
      </w:r>
      <w:r w:rsidRPr="00B5602A">
        <w:t xml:space="preserve"> £500.00</w:t>
      </w:r>
    </w:p>
    <w:p w:rsidR="009376CC" w:rsidRPr="00B5602A" w:rsidRDefault="009376CC" w:rsidP="009376CC">
      <w:pPr>
        <w:pStyle w:val="BodyText"/>
      </w:pPr>
    </w:p>
    <w:p w:rsidR="009376CC" w:rsidRPr="00B5602A" w:rsidRDefault="009376CC" w:rsidP="009376CC">
      <w:pPr>
        <w:pStyle w:val="BodyText"/>
        <w:ind w:left="540" w:firstLine="720"/>
      </w:pPr>
      <w:r w:rsidRPr="00B5602A">
        <w:t xml:space="preserve">Supplier A will be awarded the full </w:t>
      </w:r>
      <w:r w:rsidR="000D2AAB">
        <w:t>4</w:t>
      </w:r>
      <w:r w:rsidRPr="00B5602A">
        <w:t>0%</w:t>
      </w:r>
    </w:p>
    <w:p w:rsidR="009376CC" w:rsidRPr="00B5602A" w:rsidRDefault="009376CC" w:rsidP="009376CC">
      <w:pPr>
        <w:pStyle w:val="BodyText"/>
        <w:ind w:left="540" w:firstLine="720"/>
      </w:pPr>
      <w:r w:rsidRPr="00B5602A">
        <w:t xml:space="preserve">Supplier B will be awarded </w:t>
      </w:r>
      <w:r w:rsidR="002C343B" w:rsidRPr="00B5602A">
        <w:t>35.56</w:t>
      </w:r>
      <w:r w:rsidRPr="00B5602A">
        <w:t>% (</w:t>
      </w:r>
      <w:r w:rsidR="00F5340A" w:rsidRPr="00B5602A">
        <w:t>400</w:t>
      </w:r>
      <w:r w:rsidRPr="00B5602A">
        <w:t>/450*</w:t>
      </w:r>
      <w:r w:rsidR="000D2AAB">
        <w:t>4</w:t>
      </w:r>
      <w:r w:rsidRPr="00B5602A">
        <w:t>0)</w:t>
      </w:r>
    </w:p>
    <w:p w:rsidR="009376CC" w:rsidRPr="00B5602A" w:rsidRDefault="009376CC" w:rsidP="009376CC">
      <w:pPr>
        <w:pStyle w:val="BodyText"/>
        <w:ind w:left="540" w:firstLine="720"/>
      </w:pPr>
      <w:r w:rsidRPr="00B5602A">
        <w:t xml:space="preserve">Supplier C will be awarded </w:t>
      </w:r>
      <w:r w:rsidR="002C343B" w:rsidRPr="00B5602A">
        <w:t>32.00</w:t>
      </w:r>
      <w:r w:rsidRPr="00B5602A">
        <w:t>% (400/500*</w:t>
      </w:r>
      <w:r w:rsidR="000D2AAB">
        <w:t>4</w:t>
      </w:r>
      <w:r w:rsidRPr="00B5602A">
        <w:t>0)</w:t>
      </w:r>
    </w:p>
    <w:p w:rsidR="009376CC" w:rsidRPr="00B5602A" w:rsidRDefault="009376CC" w:rsidP="009376CC">
      <w:pPr>
        <w:pStyle w:val="BodyText"/>
      </w:pPr>
    </w:p>
    <w:p w:rsidR="00B44B50" w:rsidRPr="00B5602A" w:rsidRDefault="009376CC" w:rsidP="009376CC">
      <w:pPr>
        <w:pStyle w:val="BodyText"/>
        <w:spacing w:before="6"/>
        <w:ind w:left="1260"/>
        <w:rPr>
          <w:b/>
          <w:sz w:val="20"/>
        </w:rPr>
      </w:pPr>
      <w:r w:rsidRPr="00B5602A">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Pr="00B5602A" w:rsidRDefault="00F5340A" w:rsidP="00B44B50"/>
    <w:p w:rsidR="00F5340A" w:rsidRDefault="00F5340A" w:rsidP="00F5340A">
      <w:pPr>
        <w:pStyle w:val="BodyText"/>
        <w:ind w:left="1259" w:right="1230"/>
        <w:jc w:val="both"/>
      </w:pPr>
      <w:r w:rsidRPr="00B5602A">
        <w:t>Please note that the level of support and advice over the contract period will not exceed the sum of £</w:t>
      </w:r>
      <w:r w:rsidR="000D2AAB">
        <w:t>45</w:t>
      </w:r>
      <w:r w:rsidRPr="00B5602A">
        <w:t>,000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rsidP="000D2AAB">
      <w:pPr>
        <w:pStyle w:val="ListParagraph"/>
        <w:numPr>
          <w:ilvl w:val="1"/>
          <w:numId w:val="4"/>
        </w:numPr>
        <w:tabs>
          <w:tab w:val="left" w:pos="1981"/>
        </w:tabs>
        <w:spacing w:before="197" w:line="276" w:lineRule="auto"/>
        <w:ind w:right="1236"/>
        <w:jc w:val="both"/>
      </w:pPr>
      <w:r>
        <w:t xml:space="preserve">Contract </w:t>
      </w:r>
      <w:r w:rsidRPr="00B5602A">
        <w:t>T</w:t>
      </w:r>
      <w:r w:rsidR="00593249" w:rsidRPr="00B5602A">
        <w:t>erm</w:t>
      </w:r>
      <w:r w:rsidRPr="00B5602A">
        <w:t xml:space="preserve"> </w:t>
      </w:r>
      <w:r w:rsidR="00DA450C" w:rsidRPr="00B5602A">
        <w:t>–</w:t>
      </w:r>
      <w:r w:rsidR="00593249" w:rsidRPr="00B5602A">
        <w:t xml:space="preserve"> </w:t>
      </w:r>
      <w:r w:rsidR="000D2AAB" w:rsidRPr="000D2AAB">
        <w:t>The service detailed within this specification is to commence following contract award and to be completed by 31st March 2019</w:t>
      </w:r>
      <w:r w:rsidR="00DA450C" w:rsidRPr="00B5602A">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The Bravo eTendering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90E5C">
                            <w:rPr>
                              <w:b/>
                              <w:noProof/>
                              <w:sz w:val="18"/>
                            </w:rPr>
                            <w:t>5</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90E5C">
                      <w:rPr>
                        <w:b/>
                        <w:noProof/>
                        <w:sz w:val="18"/>
                      </w:rPr>
                      <w:t>5</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90E5C">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90E5C">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69E0A7C"/>
    <w:multiLevelType w:val="hybridMultilevel"/>
    <w:tmpl w:val="3DB25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7">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1">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3">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0"/>
  </w:num>
  <w:num w:numId="4">
    <w:abstractNumId w:val="19"/>
  </w:num>
  <w:num w:numId="5">
    <w:abstractNumId w:val="22"/>
  </w:num>
  <w:num w:numId="6">
    <w:abstractNumId w:val="11"/>
  </w:num>
  <w:num w:numId="7">
    <w:abstractNumId w:val="6"/>
  </w:num>
  <w:num w:numId="8">
    <w:abstractNumId w:val="5"/>
  </w:num>
  <w:num w:numId="9">
    <w:abstractNumId w:val="0"/>
  </w:num>
  <w:num w:numId="10">
    <w:abstractNumId w:val="2"/>
  </w:num>
  <w:num w:numId="11">
    <w:abstractNumId w:val="16"/>
  </w:num>
  <w:num w:numId="12">
    <w:abstractNumId w:val="18"/>
  </w:num>
  <w:num w:numId="13">
    <w:abstractNumId w:val="8"/>
  </w:num>
  <w:num w:numId="14">
    <w:abstractNumId w:val="13"/>
  </w:num>
  <w:num w:numId="15">
    <w:abstractNumId w:val="1"/>
  </w:num>
  <w:num w:numId="16">
    <w:abstractNumId w:val="14"/>
  </w:num>
  <w:num w:numId="17">
    <w:abstractNumId w:val="17"/>
  </w:num>
  <w:num w:numId="18">
    <w:abstractNumId w:val="3"/>
  </w:num>
  <w:num w:numId="19">
    <w:abstractNumId w:val="4"/>
  </w:num>
  <w:num w:numId="20">
    <w:abstractNumId w:val="9"/>
  </w:num>
  <w:num w:numId="21">
    <w:abstractNumId w:val="23"/>
  </w:num>
  <w:num w:numId="22">
    <w:abstractNumId w:val="21"/>
  </w:num>
  <w:num w:numId="23">
    <w:abstractNumId w:val="7"/>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335D6"/>
    <w:rsid w:val="0005175D"/>
    <w:rsid w:val="000D2AAB"/>
    <w:rsid w:val="000E7DB3"/>
    <w:rsid w:val="001217F7"/>
    <w:rsid w:val="0015049C"/>
    <w:rsid w:val="00157938"/>
    <w:rsid w:val="001914D9"/>
    <w:rsid w:val="001D2B20"/>
    <w:rsid w:val="00282743"/>
    <w:rsid w:val="002C343B"/>
    <w:rsid w:val="002C5A3C"/>
    <w:rsid w:val="002F2F06"/>
    <w:rsid w:val="002F7876"/>
    <w:rsid w:val="003373DE"/>
    <w:rsid w:val="0045032B"/>
    <w:rsid w:val="00452D2C"/>
    <w:rsid w:val="00453089"/>
    <w:rsid w:val="0047159B"/>
    <w:rsid w:val="004927D3"/>
    <w:rsid w:val="00492F51"/>
    <w:rsid w:val="0049363D"/>
    <w:rsid w:val="004A1F85"/>
    <w:rsid w:val="004A3CE2"/>
    <w:rsid w:val="004C1E51"/>
    <w:rsid w:val="00524088"/>
    <w:rsid w:val="00562A3E"/>
    <w:rsid w:val="0059056E"/>
    <w:rsid w:val="00593249"/>
    <w:rsid w:val="00614EB7"/>
    <w:rsid w:val="006229F6"/>
    <w:rsid w:val="006265A0"/>
    <w:rsid w:val="006704D6"/>
    <w:rsid w:val="00681CE7"/>
    <w:rsid w:val="006835B4"/>
    <w:rsid w:val="006A718C"/>
    <w:rsid w:val="006E09A7"/>
    <w:rsid w:val="00717F52"/>
    <w:rsid w:val="007232D3"/>
    <w:rsid w:val="007711E9"/>
    <w:rsid w:val="007B08D9"/>
    <w:rsid w:val="007C1B1D"/>
    <w:rsid w:val="007E6DCF"/>
    <w:rsid w:val="007F1866"/>
    <w:rsid w:val="00802FE1"/>
    <w:rsid w:val="008C2ACD"/>
    <w:rsid w:val="008F1199"/>
    <w:rsid w:val="009376CC"/>
    <w:rsid w:val="00966C12"/>
    <w:rsid w:val="00992F34"/>
    <w:rsid w:val="009F163B"/>
    <w:rsid w:val="00A935F5"/>
    <w:rsid w:val="00AC2A8F"/>
    <w:rsid w:val="00AD6EBE"/>
    <w:rsid w:val="00B44B50"/>
    <w:rsid w:val="00B5602A"/>
    <w:rsid w:val="00B57F34"/>
    <w:rsid w:val="00B90E5C"/>
    <w:rsid w:val="00BC1785"/>
    <w:rsid w:val="00BD4B87"/>
    <w:rsid w:val="00BD5685"/>
    <w:rsid w:val="00BD6AB9"/>
    <w:rsid w:val="00C22F83"/>
    <w:rsid w:val="00C25011"/>
    <w:rsid w:val="00C3334F"/>
    <w:rsid w:val="00C35D4E"/>
    <w:rsid w:val="00C74317"/>
    <w:rsid w:val="00CA68EA"/>
    <w:rsid w:val="00D80FA1"/>
    <w:rsid w:val="00DA450C"/>
    <w:rsid w:val="00DC414F"/>
    <w:rsid w:val="00DE2BA7"/>
    <w:rsid w:val="00DE665D"/>
    <w:rsid w:val="00DF062E"/>
    <w:rsid w:val="00E45B5A"/>
    <w:rsid w:val="00E563EA"/>
    <w:rsid w:val="00EF513B"/>
    <w:rsid w:val="00F5340A"/>
    <w:rsid w:val="00F81108"/>
    <w:rsid w:val="00FA11C6"/>
    <w:rsid w:val="00FA5981"/>
    <w:rsid w:val="00FA6E0F"/>
    <w:rsid w:val="00FD501A"/>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Mark Didcock</cp:lastModifiedBy>
  <cp:revision>20</cp:revision>
  <cp:lastPrinted>2018-04-06T09:47:00Z</cp:lastPrinted>
  <dcterms:created xsi:type="dcterms:W3CDTF">2018-05-04T12:08:00Z</dcterms:created>
  <dcterms:modified xsi:type="dcterms:W3CDTF">2018-09-17T10:47:00Z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