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6F30E" w14:textId="77777777" w:rsidR="003146D4" w:rsidRDefault="00362F65">
      <w:pPr>
        <w:pStyle w:val="Heading1"/>
      </w:pPr>
      <w:r>
        <w:t>Call-Off Schedule 13 (Implementation Plan and Testing)</w:t>
      </w:r>
    </w:p>
    <w:p w14:paraId="16B6F30F" w14:textId="77777777" w:rsidR="003146D4" w:rsidRDefault="00362F65">
      <w:pPr>
        <w:pStyle w:val="Heading2"/>
        <w:ind w:left="720"/>
      </w:pPr>
      <w:r>
        <w:t>Part A – Implementation Plan</w:t>
      </w:r>
    </w:p>
    <w:p w14:paraId="16B6F310" w14:textId="77777777" w:rsidR="003146D4" w:rsidRDefault="00362F65">
      <w:pPr>
        <w:pStyle w:val="Heading3"/>
        <w:numPr>
          <w:ilvl w:val="0"/>
          <w:numId w:val="7"/>
        </w:numPr>
      </w:pPr>
      <w:r>
        <w:t>Agreeing the Implementation Plan</w:t>
      </w:r>
    </w:p>
    <w:p w14:paraId="16B6F311" w14:textId="77777777" w:rsidR="003146D4" w:rsidRDefault="00362F65">
      <w:pPr>
        <w:numPr>
          <w:ilvl w:val="1"/>
          <w:numId w:val="7"/>
        </w:numPr>
        <w:pBdr>
          <w:top w:val="nil"/>
          <w:left w:val="nil"/>
          <w:bottom w:val="nil"/>
          <w:right w:val="nil"/>
          <w:between w:val="nil"/>
        </w:pBdr>
      </w:pPr>
      <w:r>
        <w:rPr>
          <w:color w:val="000000"/>
        </w:rPr>
        <w:t>The Supplier’s tendered draft Implementation Plan is at Annex 1 to this Part A of Call-Off Schedule 13. The Supplier will provide an updated, fully developed draft for Approval within 21 days (subject to agreement by both parties) of the Call-Off Contract Start Date.</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1"/>
        <w:gridCol w:w="3945"/>
        <w:gridCol w:w="2400"/>
      </w:tblGrid>
      <w:tr w:rsidR="003146D4" w14:paraId="16B6F315" w14:textId="77777777">
        <w:tc>
          <w:tcPr>
            <w:tcW w:w="2671" w:type="dxa"/>
            <w:shd w:val="clear" w:color="auto" w:fill="B4C6E7"/>
            <w:vAlign w:val="center"/>
          </w:tcPr>
          <w:p w14:paraId="16B6F312" w14:textId="77777777" w:rsidR="003146D4" w:rsidRDefault="00362F65">
            <w:pPr>
              <w:pStyle w:val="Heading3"/>
              <w:spacing w:after="120"/>
              <w:jc w:val="center"/>
              <w:outlineLvl w:val="2"/>
              <w:rPr>
                <w:rFonts w:ascii="Arial" w:eastAsia="Arial" w:hAnsi="Arial" w:cs="Arial"/>
                <w:b w:val="0"/>
              </w:rPr>
            </w:pPr>
            <w:r>
              <w:rPr>
                <w:rFonts w:ascii="Arial" w:eastAsia="Arial" w:hAnsi="Arial" w:cs="Arial"/>
              </w:rPr>
              <w:t>Milestone/Deliverable</w:t>
            </w:r>
          </w:p>
        </w:tc>
        <w:tc>
          <w:tcPr>
            <w:tcW w:w="3945" w:type="dxa"/>
            <w:shd w:val="clear" w:color="auto" w:fill="B4C6E7"/>
            <w:vAlign w:val="center"/>
          </w:tcPr>
          <w:p w14:paraId="16B6F313" w14:textId="77777777" w:rsidR="003146D4" w:rsidRDefault="00362F65">
            <w:pPr>
              <w:pStyle w:val="Heading3"/>
              <w:spacing w:after="120"/>
              <w:jc w:val="center"/>
              <w:outlineLvl w:val="2"/>
              <w:rPr>
                <w:rFonts w:ascii="Arial" w:eastAsia="Arial" w:hAnsi="Arial" w:cs="Arial"/>
                <w:b w:val="0"/>
              </w:rPr>
            </w:pPr>
            <w:r>
              <w:rPr>
                <w:rFonts w:ascii="Arial" w:eastAsia="Arial" w:hAnsi="Arial" w:cs="Arial"/>
              </w:rPr>
              <w:t>Description</w:t>
            </w:r>
          </w:p>
        </w:tc>
        <w:tc>
          <w:tcPr>
            <w:tcW w:w="2400" w:type="dxa"/>
            <w:shd w:val="clear" w:color="auto" w:fill="B4C6E7"/>
            <w:vAlign w:val="center"/>
          </w:tcPr>
          <w:p w14:paraId="16B6F314" w14:textId="77777777" w:rsidR="003146D4" w:rsidRDefault="00362F65">
            <w:pPr>
              <w:pStyle w:val="Heading3"/>
              <w:spacing w:after="120"/>
              <w:jc w:val="center"/>
              <w:outlineLvl w:val="2"/>
              <w:rPr>
                <w:rFonts w:ascii="Arial" w:eastAsia="Arial" w:hAnsi="Arial" w:cs="Arial"/>
                <w:b w:val="0"/>
              </w:rPr>
            </w:pPr>
            <w:r>
              <w:rPr>
                <w:rFonts w:ascii="Arial" w:eastAsia="Arial" w:hAnsi="Arial" w:cs="Arial"/>
              </w:rPr>
              <w:t>Timeframe or Delivery Date</w:t>
            </w:r>
          </w:p>
        </w:tc>
      </w:tr>
    </w:tbl>
    <w:tbl>
      <w:tblPr>
        <w:tblStyle w:val="TableGrid"/>
        <w:tblW w:w="5000" w:type="pct"/>
        <w:tblLook w:val="04A0" w:firstRow="1" w:lastRow="0" w:firstColumn="1" w:lastColumn="0" w:noHBand="0" w:noVBand="1"/>
      </w:tblPr>
      <w:tblGrid>
        <w:gridCol w:w="2671"/>
        <w:gridCol w:w="3945"/>
        <w:gridCol w:w="2400"/>
      </w:tblGrid>
      <w:tr w:rsidR="00894E3A" w:rsidRPr="0014737A" w14:paraId="251FCA9E" w14:textId="77777777" w:rsidTr="00351AD2">
        <w:tc>
          <w:tcPr>
            <w:tcW w:w="1481" w:type="pct"/>
            <w:vAlign w:val="center"/>
          </w:tcPr>
          <w:p w14:paraId="62431696" w14:textId="77777777" w:rsidR="00894E3A" w:rsidRPr="00821721" w:rsidRDefault="00894E3A" w:rsidP="00351AD2">
            <w:pPr>
              <w:pStyle w:val="Heading3"/>
              <w:spacing w:after="120"/>
              <w:jc w:val="center"/>
              <w:outlineLvl w:val="2"/>
              <w:rPr>
                <w:rFonts w:ascii="Arial" w:eastAsia="Arial" w:hAnsi="Arial" w:cs="Arial"/>
                <w:b w:val="0"/>
                <w:sz w:val="22"/>
                <w:szCs w:val="22"/>
              </w:rPr>
            </w:pPr>
            <w:r w:rsidRPr="00821721">
              <w:rPr>
                <w:rFonts w:ascii="Arial" w:eastAsia="Arial" w:hAnsi="Arial" w:cs="Arial"/>
                <w:b w:val="0"/>
                <w:sz w:val="22"/>
                <w:szCs w:val="22"/>
              </w:rPr>
              <w:t>1</w:t>
            </w:r>
          </w:p>
        </w:tc>
        <w:tc>
          <w:tcPr>
            <w:tcW w:w="2188" w:type="pct"/>
            <w:vAlign w:val="center"/>
          </w:tcPr>
          <w:p w14:paraId="42C65687" w14:textId="77777777" w:rsidR="00894E3A" w:rsidRPr="00821721" w:rsidRDefault="00894E3A" w:rsidP="00351AD2">
            <w:pPr>
              <w:pStyle w:val="Heading3"/>
              <w:spacing w:after="120"/>
              <w:jc w:val="left"/>
              <w:outlineLvl w:val="2"/>
              <w:rPr>
                <w:rFonts w:ascii="Arial" w:eastAsia="Arial" w:hAnsi="Arial" w:cs="Arial"/>
                <w:b w:val="0"/>
                <w:sz w:val="22"/>
                <w:szCs w:val="22"/>
              </w:rPr>
            </w:pPr>
            <w:r w:rsidRPr="00821721">
              <w:rPr>
                <w:rFonts w:ascii="Arial" w:eastAsia="Arial" w:hAnsi="Arial" w:cs="Arial"/>
                <w:b w:val="0"/>
                <w:sz w:val="22"/>
                <w:szCs w:val="22"/>
              </w:rPr>
              <w:t>Service Implementation Plan including workshop meeting with the Authority</w:t>
            </w:r>
          </w:p>
          <w:p w14:paraId="4DF2514F" w14:textId="77777777" w:rsidR="00894E3A" w:rsidRPr="00821721" w:rsidRDefault="00894E3A" w:rsidP="00351AD2">
            <w:pPr>
              <w:pStyle w:val="Heading3"/>
              <w:spacing w:after="120"/>
              <w:jc w:val="left"/>
              <w:outlineLvl w:val="2"/>
              <w:rPr>
                <w:rFonts w:ascii="Arial" w:eastAsia="Arial" w:hAnsi="Arial" w:cs="Arial"/>
                <w:b w:val="0"/>
                <w:sz w:val="22"/>
                <w:szCs w:val="22"/>
              </w:rPr>
            </w:pPr>
          </w:p>
        </w:tc>
        <w:tc>
          <w:tcPr>
            <w:tcW w:w="1331" w:type="pct"/>
            <w:vAlign w:val="center"/>
          </w:tcPr>
          <w:p w14:paraId="64261C7D" w14:textId="77777777" w:rsidR="00894E3A" w:rsidRPr="00821721" w:rsidRDefault="00894E3A" w:rsidP="00351AD2">
            <w:pPr>
              <w:pStyle w:val="Heading3"/>
              <w:spacing w:after="120"/>
              <w:outlineLvl w:val="2"/>
              <w:rPr>
                <w:rFonts w:ascii="Arial" w:eastAsia="Arial" w:hAnsi="Arial" w:cs="Arial"/>
                <w:b w:val="0"/>
                <w:sz w:val="22"/>
                <w:szCs w:val="22"/>
              </w:rPr>
            </w:pPr>
            <w:r w:rsidRPr="00821721">
              <w:rPr>
                <w:rFonts w:ascii="Arial" w:eastAsia="Arial" w:hAnsi="Arial" w:cs="Arial"/>
                <w:b w:val="0"/>
                <w:sz w:val="22"/>
                <w:szCs w:val="22"/>
              </w:rPr>
              <w:t>Within 3 weeks of Contract Award or no later than 24/03/2023</w:t>
            </w:r>
          </w:p>
        </w:tc>
      </w:tr>
      <w:tr w:rsidR="00894E3A" w:rsidRPr="00B76BB3" w14:paraId="3A8AFD13" w14:textId="77777777" w:rsidTr="00351AD2">
        <w:tc>
          <w:tcPr>
            <w:tcW w:w="1481" w:type="pct"/>
            <w:vAlign w:val="center"/>
          </w:tcPr>
          <w:p w14:paraId="4FACD5C1" w14:textId="77777777" w:rsidR="00894E3A" w:rsidRPr="00821721" w:rsidRDefault="00894E3A" w:rsidP="00351AD2">
            <w:pPr>
              <w:pStyle w:val="Heading3"/>
              <w:spacing w:after="120"/>
              <w:jc w:val="center"/>
              <w:outlineLvl w:val="2"/>
              <w:rPr>
                <w:rFonts w:ascii="Arial" w:eastAsia="Arial" w:hAnsi="Arial" w:cs="Arial"/>
                <w:b w:val="0"/>
                <w:sz w:val="22"/>
                <w:szCs w:val="22"/>
              </w:rPr>
            </w:pPr>
            <w:r w:rsidRPr="00821721">
              <w:rPr>
                <w:rFonts w:ascii="Arial" w:eastAsia="Arial" w:hAnsi="Arial" w:cs="Arial"/>
                <w:b w:val="0"/>
                <w:sz w:val="22"/>
                <w:szCs w:val="22"/>
              </w:rPr>
              <w:t>2</w:t>
            </w:r>
          </w:p>
        </w:tc>
        <w:tc>
          <w:tcPr>
            <w:tcW w:w="2188" w:type="pct"/>
            <w:vAlign w:val="center"/>
          </w:tcPr>
          <w:p w14:paraId="34913C75" w14:textId="77777777" w:rsidR="00894E3A" w:rsidRPr="00821721" w:rsidRDefault="00894E3A" w:rsidP="00351AD2">
            <w:pPr>
              <w:pStyle w:val="Heading3"/>
              <w:spacing w:after="120"/>
              <w:jc w:val="left"/>
              <w:outlineLvl w:val="2"/>
              <w:rPr>
                <w:rFonts w:ascii="Arial" w:eastAsia="Arial" w:hAnsi="Arial" w:cs="Arial"/>
                <w:b w:val="0"/>
                <w:sz w:val="22"/>
                <w:szCs w:val="22"/>
              </w:rPr>
            </w:pPr>
            <w:r w:rsidRPr="00821721">
              <w:rPr>
                <w:rFonts w:ascii="Arial" w:eastAsia="Arial" w:hAnsi="Arial" w:cs="Arial"/>
                <w:b w:val="0"/>
                <w:sz w:val="22"/>
                <w:szCs w:val="22"/>
              </w:rPr>
              <w:t>Agreed and signed off implementation plan</w:t>
            </w:r>
          </w:p>
        </w:tc>
        <w:tc>
          <w:tcPr>
            <w:tcW w:w="1331" w:type="pct"/>
            <w:vAlign w:val="center"/>
          </w:tcPr>
          <w:p w14:paraId="42C92B32" w14:textId="77777777" w:rsidR="00894E3A" w:rsidRPr="00821721" w:rsidRDefault="00894E3A" w:rsidP="00351AD2">
            <w:pPr>
              <w:pStyle w:val="Heading3"/>
              <w:spacing w:after="120"/>
              <w:outlineLvl w:val="2"/>
              <w:rPr>
                <w:rFonts w:ascii="Arial" w:eastAsia="Arial" w:hAnsi="Arial" w:cs="Arial"/>
                <w:b w:val="0"/>
                <w:sz w:val="22"/>
                <w:szCs w:val="22"/>
              </w:rPr>
            </w:pPr>
            <w:r w:rsidRPr="00821721">
              <w:rPr>
                <w:rFonts w:ascii="Arial" w:eastAsia="Arial" w:hAnsi="Arial" w:cs="Arial"/>
                <w:b w:val="0"/>
                <w:sz w:val="22"/>
                <w:szCs w:val="22"/>
              </w:rPr>
              <w:t>Early April 2023</w:t>
            </w:r>
          </w:p>
        </w:tc>
      </w:tr>
    </w:tbl>
    <w:p w14:paraId="74404FD2" w14:textId="77777777" w:rsidR="00894E3A" w:rsidRDefault="00894E3A">
      <w:pPr>
        <w:pBdr>
          <w:top w:val="nil"/>
          <w:left w:val="nil"/>
          <w:bottom w:val="nil"/>
          <w:right w:val="nil"/>
          <w:between w:val="nil"/>
        </w:pBdr>
        <w:ind w:left="720"/>
        <w:rPr>
          <w:color w:val="000000"/>
        </w:rPr>
      </w:pPr>
    </w:p>
    <w:p w14:paraId="16B6F321" w14:textId="77777777" w:rsidR="003146D4" w:rsidRDefault="00362F65">
      <w:pPr>
        <w:numPr>
          <w:ilvl w:val="1"/>
          <w:numId w:val="7"/>
        </w:numPr>
        <w:pBdr>
          <w:top w:val="nil"/>
          <w:left w:val="nil"/>
          <w:bottom w:val="nil"/>
          <w:right w:val="nil"/>
          <w:between w:val="nil"/>
        </w:pBdr>
      </w:pPr>
      <w:r>
        <w:rPr>
          <w:color w:val="000000"/>
        </w:rPr>
        <w:t>The updated draft must contain enough detail for effective management of Contract implementation.</w:t>
      </w:r>
    </w:p>
    <w:p w14:paraId="16B6F322" w14:textId="77777777" w:rsidR="003146D4" w:rsidRDefault="00362F65">
      <w:pPr>
        <w:numPr>
          <w:ilvl w:val="1"/>
          <w:numId w:val="7"/>
        </w:numPr>
        <w:pBdr>
          <w:top w:val="nil"/>
          <w:left w:val="nil"/>
          <w:bottom w:val="nil"/>
          <w:right w:val="nil"/>
          <w:between w:val="nil"/>
        </w:pBdr>
      </w:pPr>
      <w:r>
        <w:rPr>
          <w:color w:val="000000"/>
        </w:rPr>
        <w:t>The Buyer shall not unreasonably withhold Approval of the updated draft provided that the Supplier shall incorporate the Buyer’s reasonable requirements in it.</w:t>
      </w:r>
    </w:p>
    <w:p w14:paraId="16B6F323" w14:textId="77777777" w:rsidR="003146D4" w:rsidRDefault="00362F65">
      <w:pPr>
        <w:pStyle w:val="Heading3"/>
        <w:numPr>
          <w:ilvl w:val="0"/>
          <w:numId w:val="7"/>
        </w:numPr>
      </w:pPr>
      <w:r>
        <w:t>Following the Implementation Plan</w:t>
      </w:r>
    </w:p>
    <w:p w14:paraId="16B6F324" w14:textId="77777777" w:rsidR="003146D4" w:rsidRDefault="00362F65">
      <w:pPr>
        <w:numPr>
          <w:ilvl w:val="1"/>
          <w:numId w:val="7"/>
        </w:numPr>
        <w:pBdr>
          <w:top w:val="nil"/>
          <w:left w:val="nil"/>
          <w:bottom w:val="nil"/>
          <w:right w:val="nil"/>
          <w:between w:val="nil"/>
        </w:pBdr>
      </w:pPr>
      <w:r>
        <w:rPr>
          <w:color w:val="000000"/>
        </w:rPr>
        <w:t>The Supplier shall perform its obligations in respect of Delivery and, where relevant, Testing of the Deliverables in accordance with the Approved Implementation Plan.</w:t>
      </w:r>
    </w:p>
    <w:p w14:paraId="16B6F325" w14:textId="77777777" w:rsidR="003146D4" w:rsidRDefault="00362F65">
      <w:pPr>
        <w:numPr>
          <w:ilvl w:val="1"/>
          <w:numId w:val="7"/>
        </w:numPr>
        <w:pBdr>
          <w:top w:val="nil"/>
          <w:left w:val="nil"/>
          <w:bottom w:val="nil"/>
          <w:right w:val="nil"/>
          <w:between w:val="nil"/>
        </w:pBdr>
      </w:pPr>
      <w:r>
        <w:rPr>
          <w:color w:val="000000"/>
        </w:rPr>
        <w:t>Changes to any Milestones, Milestone Dates, Milestone Payments or Delay Payments shall only be made via the Variation Procedure.</w:t>
      </w:r>
    </w:p>
    <w:p w14:paraId="16B6F326" w14:textId="77777777" w:rsidR="003146D4" w:rsidRDefault="00362F65">
      <w:pPr>
        <w:numPr>
          <w:ilvl w:val="1"/>
          <w:numId w:val="7"/>
        </w:numPr>
        <w:pBdr>
          <w:top w:val="nil"/>
          <w:left w:val="nil"/>
          <w:bottom w:val="nil"/>
          <w:right w:val="nil"/>
          <w:between w:val="nil"/>
        </w:pBdr>
      </w:pPr>
      <w:r>
        <w:rPr>
          <w:color w:val="000000"/>
        </w:rPr>
        <w:t>Where the Supplier is responsible for the failure to achieve a Milestone by the date specified in the Approved Implementation Plan this shall constitute a material Default.</w:t>
      </w:r>
    </w:p>
    <w:p w14:paraId="16B6F327" w14:textId="77777777" w:rsidR="003146D4" w:rsidRDefault="00362F65">
      <w:pPr>
        <w:pStyle w:val="Heading3"/>
        <w:numPr>
          <w:ilvl w:val="0"/>
          <w:numId w:val="7"/>
        </w:numPr>
      </w:pPr>
      <w:r>
        <w:t>Delays</w:t>
      </w:r>
    </w:p>
    <w:p w14:paraId="16B6F328" w14:textId="77777777" w:rsidR="003146D4" w:rsidRDefault="00362F65">
      <w:pPr>
        <w:numPr>
          <w:ilvl w:val="1"/>
          <w:numId w:val="7"/>
        </w:numPr>
        <w:pBdr>
          <w:top w:val="nil"/>
          <w:left w:val="nil"/>
          <w:bottom w:val="nil"/>
          <w:right w:val="nil"/>
          <w:between w:val="nil"/>
        </w:pBdr>
      </w:pPr>
      <w:r>
        <w:rPr>
          <w:color w:val="000000"/>
        </w:rPr>
        <w:t>If the Supplier becomes aware that there is, or is likely to be, a Delay it shall;</w:t>
      </w:r>
    </w:p>
    <w:p w14:paraId="16B6F329" w14:textId="77777777" w:rsidR="003146D4" w:rsidRDefault="00362F65">
      <w:pPr>
        <w:numPr>
          <w:ilvl w:val="0"/>
          <w:numId w:val="8"/>
        </w:numPr>
        <w:pBdr>
          <w:top w:val="nil"/>
          <w:left w:val="nil"/>
          <w:bottom w:val="nil"/>
          <w:right w:val="nil"/>
          <w:between w:val="nil"/>
        </w:pBdr>
      </w:pPr>
      <w:r>
        <w:rPr>
          <w:color w:val="000000"/>
        </w:rPr>
        <w:t xml:space="preserve">Notify the Buyer in </w:t>
      </w:r>
      <w:proofErr w:type="gramStart"/>
      <w:r>
        <w:rPr>
          <w:color w:val="000000"/>
        </w:rPr>
        <w:t>writing  within</w:t>
      </w:r>
      <w:proofErr w:type="gramEnd"/>
      <w:r>
        <w:rPr>
          <w:color w:val="000000"/>
        </w:rPr>
        <w:t xml:space="preserve"> 2 Working Days of becoming aware, explaining the likely impact of the Delay</w:t>
      </w:r>
    </w:p>
    <w:p w14:paraId="16B6F32A" w14:textId="77777777" w:rsidR="003146D4" w:rsidRDefault="00362F65">
      <w:pPr>
        <w:numPr>
          <w:ilvl w:val="0"/>
          <w:numId w:val="8"/>
        </w:numPr>
        <w:pBdr>
          <w:top w:val="nil"/>
          <w:left w:val="nil"/>
          <w:bottom w:val="nil"/>
          <w:right w:val="nil"/>
          <w:between w:val="nil"/>
        </w:pBdr>
      </w:pPr>
      <w:r>
        <w:rPr>
          <w:color w:val="000000"/>
        </w:rPr>
        <w:t>Use all reasonable endeavours to mitigate the effects of the Delay, including complying with the Buyer’s reasonable instructions</w:t>
      </w:r>
    </w:p>
    <w:p w14:paraId="16B6F32B" w14:textId="77777777" w:rsidR="003146D4" w:rsidRDefault="00362F65">
      <w:pPr>
        <w:pStyle w:val="Heading3"/>
        <w:numPr>
          <w:ilvl w:val="0"/>
          <w:numId w:val="7"/>
        </w:numPr>
        <w:rPr>
          <w:highlight w:val="white"/>
        </w:rPr>
      </w:pPr>
      <w:r>
        <w:rPr>
          <w:highlight w:val="white"/>
        </w:rPr>
        <w:lastRenderedPageBreak/>
        <w:t>Delay Payments</w:t>
      </w:r>
    </w:p>
    <w:p w14:paraId="16B6F32C" w14:textId="77777777" w:rsidR="003146D4" w:rsidRDefault="00362F65">
      <w:pPr>
        <w:numPr>
          <w:ilvl w:val="1"/>
          <w:numId w:val="7"/>
        </w:numPr>
        <w:pBdr>
          <w:top w:val="nil"/>
          <w:left w:val="nil"/>
          <w:bottom w:val="nil"/>
          <w:right w:val="nil"/>
          <w:between w:val="nil"/>
        </w:pBdr>
        <w:rPr>
          <w:color w:val="000000"/>
          <w:highlight w:val="white"/>
        </w:rPr>
      </w:pPr>
      <w:r>
        <w:rPr>
          <w:color w:val="000000"/>
          <w:highlight w:val="white"/>
        </w:rPr>
        <w:t>If Delay Payments have been included in the Implementation Plan and a Milestone has not been achieved by the relevant Milestone Date, the Supplier shall pay to the Buyer the Delay Payments set out in the Contract and the following provisions shall apply:</w:t>
      </w:r>
    </w:p>
    <w:p w14:paraId="16B6F32D" w14:textId="77777777" w:rsidR="003146D4" w:rsidRDefault="00362F65">
      <w:pPr>
        <w:numPr>
          <w:ilvl w:val="0"/>
          <w:numId w:val="8"/>
        </w:numPr>
        <w:pBdr>
          <w:top w:val="nil"/>
          <w:left w:val="nil"/>
          <w:bottom w:val="nil"/>
          <w:right w:val="nil"/>
          <w:between w:val="nil"/>
        </w:pBdr>
        <w:rPr>
          <w:color w:val="000000"/>
          <w:highlight w:val="white"/>
        </w:rPr>
      </w:pPr>
      <w:r>
        <w:rPr>
          <w:color w:val="000000"/>
          <w:highlight w:val="white"/>
        </w:rPr>
        <w:t>Delay Payments shall be the Buyer's exclusive financial remedy for the Supplier’s failure to achieve a Milestone by its Milestone Date except where:</w:t>
      </w:r>
    </w:p>
    <w:p w14:paraId="16B6F32E" w14:textId="77777777" w:rsidR="003146D4" w:rsidRDefault="00362F65">
      <w:pPr>
        <w:numPr>
          <w:ilvl w:val="0"/>
          <w:numId w:val="9"/>
        </w:numPr>
        <w:pBdr>
          <w:top w:val="nil"/>
          <w:left w:val="nil"/>
          <w:bottom w:val="nil"/>
          <w:right w:val="nil"/>
          <w:between w:val="nil"/>
        </w:pBdr>
        <w:rPr>
          <w:color w:val="000000"/>
          <w:highlight w:val="white"/>
        </w:rPr>
      </w:pPr>
      <w:r>
        <w:rPr>
          <w:color w:val="000000"/>
          <w:highlight w:val="white"/>
        </w:rPr>
        <w:t xml:space="preserve">the Buyer is otherwise entitled to or does terminate this Contract pursuant to Clause 10.4 (When CCS or the Buyer can end this contract); or </w:t>
      </w:r>
    </w:p>
    <w:p w14:paraId="16B6F32F" w14:textId="77777777" w:rsidR="003146D4" w:rsidRDefault="00362F65">
      <w:pPr>
        <w:numPr>
          <w:ilvl w:val="0"/>
          <w:numId w:val="9"/>
        </w:numPr>
        <w:pBdr>
          <w:top w:val="nil"/>
          <w:left w:val="nil"/>
          <w:bottom w:val="nil"/>
          <w:right w:val="nil"/>
          <w:between w:val="nil"/>
        </w:pBdr>
        <w:rPr>
          <w:color w:val="000000"/>
          <w:highlight w:val="white"/>
        </w:rPr>
      </w:pPr>
      <w:r>
        <w:rPr>
          <w:color w:val="000000"/>
          <w:highlight w:val="white"/>
        </w:rPr>
        <w:t>the delay exceeds the number of days (the "Delay Period Limit") specified in the Contract commencing on the relevant Milestone Date;</w:t>
      </w:r>
    </w:p>
    <w:p w14:paraId="16B6F330" w14:textId="77777777" w:rsidR="003146D4" w:rsidRDefault="00362F65">
      <w:pPr>
        <w:numPr>
          <w:ilvl w:val="0"/>
          <w:numId w:val="8"/>
        </w:numPr>
        <w:pBdr>
          <w:top w:val="nil"/>
          <w:left w:val="nil"/>
          <w:bottom w:val="nil"/>
          <w:right w:val="nil"/>
          <w:between w:val="nil"/>
        </w:pBdr>
        <w:rPr>
          <w:color w:val="000000"/>
          <w:highlight w:val="white"/>
        </w:rPr>
      </w:pPr>
      <w:r>
        <w:rPr>
          <w:color w:val="000000"/>
          <w:highlight w:val="white"/>
        </w:rPr>
        <w:t>the Delay Payments will accrue on a daily basis from the relevant Milestone Date until the date when the Milestone is achieved;</w:t>
      </w:r>
    </w:p>
    <w:p w14:paraId="16B6F331" w14:textId="77777777" w:rsidR="003146D4" w:rsidRDefault="00362F65">
      <w:pPr>
        <w:numPr>
          <w:ilvl w:val="0"/>
          <w:numId w:val="8"/>
        </w:numPr>
        <w:pBdr>
          <w:top w:val="nil"/>
          <w:left w:val="nil"/>
          <w:bottom w:val="nil"/>
          <w:right w:val="nil"/>
          <w:between w:val="nil"/>
        </w:pBdr>
        <w:rPr>
          <w:color w:val="000000"/>
          <w:highlight w:val="white"/>
        </w:rPr>
      </w:pPr>
      <w:r>
        <w:rPr>
          <w:color w:val="000000"/>
          <w:highlight w:val="white"/>
        </w:rPr>
        <w:t xml:space="preserve">no payment or other act or omission of the Buyer shall affect the Buyer’s right to recover the Delay Payments, or be deemed to be a waiver of the right of the Buyer to recover any such damages; </w:t>
      </w:r>
    </w:p>
    <w:p w14:paraId="16B6F332" w14:textId="77777777" w:rsidR="003146D4" w:rsidRDefault="00362F65">
      <w:pPr>
        <w:numPr>
          <w:ilvl w:val="1"/>
          <w:numId w:val="7"/>
        </w:numPr>
        <w:pBdr>
          <w:top w:val="nil"/>
          <w:left w:val="nil"/>
          <w:bottom w:val="nil"/>
          <w:right w:val="nil"/>
          <w:between w:val="nil"/>
        </w:pBdr>
        <w:rPr>
          <w:color w:val="000000"/>
          <w:highlight w:val="white"/>
        </w:rPr>
      </w:pPr>
      <w:r>
        <w:rPr>
          <w:color w:val="000000"/>
          <w:highlight w:val="white"/>
        </w:rPr>
        <w:t>Subject to agreement to agreed timetable and deliverables.</w:t>
      </w:r>
    </w:p>
    <w:p w14:paraId="16B6F333" w14:textId="77777777" w:rsidR="003146D4" w:rsidRDefault="00362F65">
      <w:pPr>
        <w:pStyle w:val="Heading2"/>
        <w:pageBreakBefore/>
      </w:pPr>
      <w:r>
        <w:lastRenderedPageBreak/>
        <w:t>Annex 1 Draft Implementation Plan</w:t>
      </w:r>
    </w:p>
    <w:tbl>
      <w:tblPr>
        <w:tblStyle w:val="TableGrid"/>
        <w:tblW w:w="5002" w:type="pct"/>
        <w:tblLook w:val="04A0" w:firstRow="1" w:lastRow="0" w:firstColumn="1" w:lastColumn="0" w:noHBand="0" w:noVBand="1"/>
      </w:tblPr>
      <w:tblGrid>
        <w:gridCol w:w="2672"/>
        <w:gridCol w:w="3947"/>
        <w:gridCol w:w="2401"/>
      </w:tblGrid>
      <w:tr w:rsidR="00CA4B26" w:rsidRPr="002C0A45" w14:paraId="2C512A2F" w14:textId="77777777" w:rsidTr="00CA4B26">
        <w:tc>
          <w:tcPr>
            <w:tcW w:w="1481" w:type="pct"/>
            <w:shd w:val="clear" w:color="auto" w:fill="B8CCE4" w:themeFill="accent1" w:themeFillTint="66"/>
            <w:vAlign w:val="center"/>
          </w:tcPr>
          <w:p w14:paraId="64667DB0" w14:textId="77777777" w:rsidR="00CA4B26" w:rsidRPr="00CA4B26" w:rsidRDefault="00CA4B26" w:rsidP="00CA4B26">
            <w:pPr>
              <w:pStyle w:val="Heading3"/>
              <w:overflowPunct/>
              <w:autoSpaceDE/>
              <w:autoSpaceDN/>
              <w:adjustRightInd/>
              <w:spacing w:before="0"/>
              <w:jc w:val="left"/>
              <w:textAlignment w:val="auto"/>
              <w:outlineLvl w:val="2"/>
              <w:rPr>
                <w:rFonts w:ascii="Arial" w:eastAsia="Arial" w:hAnsi="Arial" w:cs="Arial"/>
                <w:b w:val="0"/>
              </w:rPr>
            </w:pPr>
            <w:r w:rsidRPr="00CA4B26">
              <w:rPr>
                <w:rFonts w:ascii="Arial" w:eastAsia="Arial" w:hAnsi="Arial" w:cs="Arial"/>
                <w:b w:val="0"/>
              </w:rPr>
              <w:t>Milestone/Deliverable</w:t>
            </w:r>
          </w:p>
        </w:tc>
        <w:tc>
          <w:tcPr>
            <w:tcW w:w="2188" w:type="pct"/>
            <w:shd w:val="clear" w:color="auto" w:fill="B8CCE4" w:themeFill="accent1" w:themeFillTint="66"/>
            <w:vAlign w:val="center"/>
          </w:tcPr>
          <w:p w14:paraId="4AF0A579" w14:textId="77777777" w:rsidR="00CA4B26" w:rsidRPr="00CA4B26" w:rsidRDefault="00CA4B26" w:rsidP="00CA4B26">
            <w:pPr>
              <w:pStyle w:val="Heading3"/>
              <w:overflowPunct/>
              <w:autoSpaceDE/>
              <w:autoSpaceDN/>
              <w:adjustRightInd/>
              <w:spacing w:before="0"/>
              <w:jc w:val="left"/>
              <w:textAlignment w:val="auto"/>
              <w:outlineLvl w:val="2"/>
              <w:rPr>
                <w:rFonts w:ascii="Arial" w:eastAsia="Arial" w:hAnsi="Arial" w:cs="Arial"/>
                <w:b w:val="0"/>
              </w:rPr>
            </w:pPr>
            <w:r w:rsidRPr="00CA4B26">
              <w:rPr>
                <w:rFonts w:ascii="Arial" w:eastAsia="Arial" w:hAnsi="Arial" w:cs="Arial"/>
                <w:b w:val="0"/>
              </w:rPr>
              <w:t>Description</w:t>
            </w:r>
          </w:p>
        </w:tc>
        <w:tc>
          <w:tcPr>
            <w:tcW w:w="1331" w:type="pct"/>
            <w:shd w:val="clear" w:color="auto" w:fill="B8CCE4" w:themeFill="accent1" w:themeFillTint="66"/>
            <w:vAlign w:val="center"/>
          </w:tcPr>
          <w:p w14:paraId="0D08F950" w14:textId="77777777" w:rsidR="00CA4B26" w:rsidRPr="00CA4B26" w:rsidRDefault="00CA4B26" w:rsidP="00CA4B26">
            <w:pPr>
              <w:pStyle w:val="Heading3"/>
              <w:overflowPunct/>
              <w:autoSpaceDE/>
              <w:autoSpaceDN/>
              <w:adjustRightInd/>
              <w:spacing w:before="0"/>
              <w:jc w:val="left"/>
              <w:textAlignment w:val="auto"/>
              <w:outlineLvl w:val="2"/>
              <w:rPr>
                <w:rFonts w:ascii="Arial" w:eastAsia="Arial" w:hAnsi="Arial" w:cs="Arial"/>
                <w:b w:val="0"/>
              </w:rPr>
            </w:pPr>
            <w:r w:rsidRPr="00CA4B26">
              <w:rPr>
                <w:rFonts w:ascii="Arial" w:eastAsia="Arial" w:hAnsi="Arial" w:cs="Arial"/>
                <w:b w:val="0"/>
              </w:rPr>
              <w:t>Timeframe or Delivery Date</w:t>
            </w:r>
          </w:p>
        </w:tc>
      </w:tr>
      <w:tr w:rsidR="00F148D1" w:rsidRPr="0014737A" w14:paraId="12A301B5" w14:textId="77777777" w:rsidTr="00F148D1">
        <w:trPr>
          <w:trHeight w:val="8349"/>
        </w:trPr>
        <w:tc>
          <w:tcPr>
            <w:tcW w:w="5000" w:type="pct"/>
            <w:gridSpan w:val="3"/>
            <w:vAlign w:val="center"/>
          </w:tcPr>
          <w:p w14:paraId="75E2A363" w14:textId="669AB412" w:rsidR="00F148D1" w:rsidRPr="00CA4B26" w:rsidRDefault="00F148D1" w:rsidP="00CA4B26">
            <w:pPr>
              <w:pStyle w:val="Heading3"/>
              <w:spacing w:before="0"/>
              <w:jc w:val="left"/>
              <w:outlineLvl w:val="2"/>
              <w:rPr>
                <w:rFonts w:ascii="Arial" w:eastAsia="Arial" w:hAnsi="Arial" w:cs="Arial"/>
                <w:b w:val="0"/>
              </w:rPr>
            </w:pPr>
            <w:r w:rsidRPr="00C323AD">
              <w:rPr>
                <w:rFonts w:ascii="Arial" w:eastAsia="Arial" w:hAnsi="Arial" w:cs="Arial"/>
                <w:color w:val="FF0000"/>
              </w:rPr>
              <w:t>REDACTED TEXT under FOIA Section 43 Commercial Interests</w:t>
            </w:r>
            <w:bookmarkStart w:id="0" w:name="_GoBack"/>
            <w:bookmarkEnd w:id="0"/>
          </w:p>
        </w:tc>
      </w:tr>
    </w:tbl>
    <w:p w14:paraId="16B6F35C" w14:textId="77777777" w:rsidR="003146D4" w:rsidRDefault="00362F65">
      <w:pPr>
        <w:pStyle w:val="Heading2"/>
        <w:pageBreakBefore/>
      </w:pPr>
      <w:r>
        <w:lastRenderedPageBreak/>
        <w:t>Part B – Testing</w:t>
      </w:r>
    </w:p>
    <w:p w14:paraId="16B6F35D" w14:textId="77777777" w:rsidR="003146D4" w:rsidRDefault="00362F65">
      <w:pPr>
        <w:pBdr>
          <w:top w:val="nil"/>
          <w:left w:val="nil"/>
          <w:bottom w:val="nil"/>
          <w:right w:val="nil"/>
          <w:between w:val="nil"/>
        </w:pBdr>
        <w:ind w:left="720"/>
        <w:rPr>
          <w:color w:val="000000"/>
        </w:rPr>
      </w:pPr>
      <w:r>
        <w:rPr>
          <w:color w:val="000000"/>
        </w:rPr>
        <w:t>In this Part B to Call-Off Schedule 13, the following words shall have the following meanings and they shall supplement Joint Schedule 1 (Definitions):</w:t>
      </w:r>
    </w:p>
    <w:p w14:paraId="16B6F35E" w14:textId="77777777" w:rsidR="003146D4" w:rsidRDefault="00362F65">
      <w:pPr>
        <w:pBdr>
          <w:top w:val="nil"/>
          <w:left w:val="nil"/>
          <w:bottom w:val="nil"/>
          <w:right w:val="nil"/>
          <w:between w:val="nil"/>
        </w:pBdr>
        <w:ind w:left="720"/>
        <w:rPr>
          <w:color w:val="000000"/>
        </w:rPr>
      </w:pPr>
      <w:r>
        <w:rPr>
          <w:b/>
          <w:color w:val="000000"/>
        </w:rPr>
        <w:t>"Test Plan"</w:t>
      </w:r>
      <w:r>
        <w:rPr>
          <w:color w:val="000000"/>
        </w:rPr>
        <w:t xml:space="preserve"> a plan for the Testing of the Deliverables to demonstrate compliance with Contract requirements; </w:t>
      </w:r>
    </w:p>
    <w:p w14:paraId="16B6F35F" w14:textId="77777777" w:rsidR="003146D4" w:rsidRDefault="00362F65">
      <w:pPr>
        <w:pBdr>
          <w:top w:val="nil"/>
          <w:left w:val="nil"/>
          <w:bottom w:val="nil"/>
          <w:right w:val="nil"/>
          <w:between w:val="nil"/>
        </w:pBdr>
        <w:ind w:left="720"/>
        <w:rPr>
          <w:color w:val="000000"/>
        </w:rPr>
      </w:pPr>
      <w:r>
        <w:rPr>
          <w:b/>
          <w:color w:val="000000"/>
        </w:rPr>
        <w:t>“Test Report”</w:t>
      </w:r>
      <w:r>
        <w:rPr>
          <w:color w:val="000000"/>
        </w:rPr>
        <w:t xml:space="preserve"> a test report produced by the Supplier in accordance with Paragraph 3.3 of this Part B to Call-Off Schedule 13;</w:t>
      </w:r>
    </w:p>
    <w:p w14:paraId="16B6F360" w14:textId="77777777" w:rsidR="003146D4" w:rsidRDefault="00362F65">
      <w:pPr>
        <w:numPr>
          <w:ilvl w:val="1"/>
          <w:numId w:val="1"/>
        </w:numPr>
        <w:pBdr>
          <w:top w:val="nil"/>
          <w:left w:val="nil"/>
          <w:bottom w:val="nil"/>
          <w:right w:val="nil"/>
          <w:between w:val="nil"/>
        </w:pBdr>
      </w:pPr>
      <w:r>
        <w:rPr>
          <w:color w:val="000000"/>
        </w:rPr>
        <w:t>All Tests will be carried out in accordance with the Test Plan.</w:t>
      </w:r>
    </w:p>
    <w:p w14:paraId="16B6F361" w14:textId="77777777" w:rsidR="003146D4" w:rsidRDefault="00362F65">
      <w:pPr>
        <w:numPr>
          <w:ilvl w:val="1"/>
          <w:numId w:val="1"/>
        </w:numPr>
        <w:pBdr>
          <w:top w:val="nil"/>
          <w:left w:val="nil"/>
          <w:bottom w:val="nil"/>
          <w:right w:val="nil"/>
          <w:between w:val="nil"/>
        </w:pBdr>
      </w:pPr>
      <w:r>
        <w:rPr>
          <w:color w:val="000000"/>
        </w:rPr>
        <w:t>The Supplier shall submit each Deliverable for the relevant Testing no later than the date specified in the Contract for the Test Period to begin.</w:t>
      </w:r>
    </w:p>
    <w:p w14:paraId="16B6F362" w14:textId="77777777" w:rsidR="003146D4" w:rsidRDefault="00362F65">
      <w:pPr>
        <w:numPr>
          <w:ilvl w:val="1"/>
          <w:numId w:val="4"/>
        </w:numPr>
        <w:pBdr>
          <w:top w:val="nil"/>
          <w:left w:val="nil"/>
          <w:bottom w:val="nil"/>
          <w:right w:val="nil"/>
          <w:between w:val="nil"/>
        </w:pBdr>
      </w:pPr>
      <w:bookmarkStart w:id="1" w:name="_gjdgxs" w:colFirst="0" w:colLast="0"/>
      <w:bookmarkEnd w:id="1"/>
      <w:r>
        <w:rPr>
          <w:color w:val="000000"/>
        </w:rPr>
        <w:t xml:space="preserve">The Supplier shall submit a draft Test Plan for Approval no later than 30 (subject to agreement by both </w:t>
      </w:r>
      <w:proofErr w:type="gramStart"/>
      <w:r>
        <w:rPr>
          <w:color w:val="000000"/>
        </w:rPr>
        <w:t>parties)days</w:t>
      </w:r>
      <w:proofErr w:type="gramEnd"/>
      <w:r>
        <w:rPr>
          <w:color w:val="000000"/>
        </w:rPr>
        <w:t xml:space="preserve"> after the Start Date.</w:t>
      </w:r>
    </w:p>
    <w:p w14:paraId="16B6F363" w14:textId="77777777" w:rsidR="003146D4" w:rsidRDefault="00362F65">
      <w:pPr>
        <w:numPr>
          <w:ilvl w:val="1"/>
          <w:numId w:val="4"/>
        </w:numPr>
        <w:pBdr>
          <w:top w:val="nil"/>
          <w:left w:val="nil"/>
          <w:bottom w:val="nil"/>
          <w:right w:val="nil"/>
          <w:between w:val="nil"/>
        </w:pBdr>
      </w:pPr>
      <w:r>
        <w:rPr>
          <w:color w:val="000000"/>
        </w:rPr>
        <w:t>The Test Plan will include:</w:t>
      </w:r>
    </w:p>
    <w:p w14:paraId="16B6F364" w14:textId="77777777" w:rsidR="003146D4" w:rsidRDefault="00362F65">
      <w:pPr>
        <w:numPr>
          <w:ilvl w:val="1"/>
          <w:numId w:val="2"/>
        </w:numPr>
        <w:pBdr>
          <w:top w:val="nil"/>
          <w:left w:val="nil"/>
          <w:bottom w:val="nil"/>
          <w:right w:val="nil"/>
          <w:between w:val="nil"/>
        </w:pBdr>
      </w:pPr>
      <w:r>
        <w:rPr>
          <w:color w:val="000000"/>
        </w:rPr>
        <w:t>An overview of how Testing will be carried out</w:t>
      </w:r>
    </w:p>
    <w:p w14:paraId="16B6F365" w14:textId="77777777" w:rsidR="003146D4" w:rsidRDefault="00362F65">
      <w:pPr>
        <w:numPr>
          <w:ilvl w:val="1"/>
          <w:numId w:val="2"/>
        </w:numPr>
        <w:pBdr>
          <w:top w:val="nil"/>
          <w:left w:val="nil"/>
          <w:bottom w:val="nil"/>
          <w:right w:val="nil"/>
          <w:between w:val="nil"/>
        </w:pBdr>
      </w:pPr>
      <w:r>
        <w:rPr>
          <w:color w:val="000000"/>
        </w:rPr>
        <w:t>Specific details of each Test to be carried out to demonstrate that the Buyer’s requirements are satisfied</w:t>
      </w:r>
    </w:p>
    <w:p w14:paraId="16B6F366" w14:textId="77777777" w:rsidR="003146D4" w:rsidRDefault="00362F65">
      <w:pPr>
        <w:numPr>
          <w:ilvl w:val="1"/>
          <w:numId w:val="2"/>
        </w:numPr>
        <w:pBdr>
          <w:top w:val="nil"/>
          <w:left w:val="nil"/>
          <w:bottom w:val="nil"/>
          <w:right w:val="nil"/>
          <w:between w:val="nil"/>
        </w:pBdr>
      </w:pPr>
      <w:r>
        <w:rPr>
          <w:color w:val="000000"/>
        </w:rPr>
        <w:t>The Test Success Criteria for all Tests</w:t>
      </w:r>
    </w:p>
    <w:p w14:paraId="16B6F367" w14:textId="77777777" w:rsidR="003146D4" w:rsidRDefault="00362F65">
      <w:pPr>
        <w:numPr>
          <w:ilvl w:val="1"/>
          <w:numId w:val="2"/>
        </w:numPr>
        <w:pBdr>
          <w:top w:val="nil"/>
          <w:left w:val="nil"/>
          <w:bottom w:val="nil"/>
          <w:right w:val="nil"/>
          <w:between w:val="nil"/>
        </w:pBdr>
      </w:pPr>
      <w:r>
        <w:rPr>
          <w:color w:val="000000"/>
        </w:rPr>
        <w:t>A timetable for Testing over the Test Period, this to be compliant with any Implementation Plan</w:t>
      </w:r>
    </w:p>
    <w:p w14:paraId="16B6F368" w14:textId="77777777" w:rsidR="003146D4" w:rsidRDefault="00362F65">
      <w:pPr>
        <w:numPr>
          <w:ilvl w:val="1"/>
          <w:numId w:val="2"/>
        </w:numPr>
        <w:pBdr>
          <w:top w:val="nil"/>
          <w:left w:val="nil"/>
          <w:bottom w:val="nil"/>
          <w:right w:val="nil"/>
          <w:between w:val="nil"/>
        </w:pBdr>
      </w:pPr>
      <w:r>
        <w:rPr>
          <w:color w:val="000000"/>
        </w:rPr>
        <w:t>The process for recording the conduct and results of Testing</w:t>
      </w:r>
    </w:p>
    <w:p w14:paraId="16B6F369" w14:textId="77777777" w:rsidR="003146D4" w:rsidRDefault="00362F65">
      <w:pPr>
        <w:numPr>
          <w:ilvl w:val="1"/>
          <w:numId w:val="2"/>
        </w:numPr>
        <w:pBdr>
          <w:top w:val="nil"/>
          <w:left w:val="nil"/>
          <w:bottom w:val="nil"/>
          <w:right w:val="nil"/>
          <w:between w:val="nil"/>
        </w:pBdr>
      </w:pPr>
      <w:r>
        <w:rPr>
          <w:color w:val="000000"/>
        </w:rPr>
        <w:t>The responsibilities of the Parties</w:t>
      </w:r>
    </w:p>
    <w:p w14:paraId="16B6F36A" w14:textId="77777777" w:rsidR="003146D4" w:rsidRDefault="00362F65">
      <w:pPr>
        <w:numPr>
          <w:ilvl w:val="1"/>
          <w:numId w:val="2"/>
        </w:numPr>
        <w:pBdr>
          <w:top w:val="nil"/>
          <w:left w:val="nil"/>
          <w:bottom w:val="nil"/>
          <w:right w:val="nil"/>
          <w:between w:val="nil"/>
        </w:pBdr>
      </w:pPr>
      <w:r>
        <w:rPr>
          <w:color w:val="000000"/>
        </w:rPr>
        <w:t xml:space="preserve">A categorisation scheme for test issues </w:t>
      </w:r>
      <w:proofErr w:type="spellStart"/>
      <w:r>
        <w:rPr>
          <w:color w:val="000000"/>
        </w:rPr>
        <w:t>eg</w:t>
      </w:r>
      <w:proofErr w:type="spellEnd"/>
      <w:r>
        <w:rPr>
          <w:color w:val="000000"/>
        </w:rPr>
        <w:t xml:space="preserve"> critical/serious/minor</w:t>
      </w:r>
    </w:p>
    <w:p w14:paraId="16B6F36B" w14:textId="77777777" w:rsidR="003146D4" w:rsidRDefault="00362F65">
      <w:pPr>
        <w:numPr>
          <w:ilvl w:val="1"/>
          <w:numId w:val="4"/>
        </w:numPr>
        <w:pBdr>
          <w:top w:val="nil"/>
          <w:left w:val="nil"/>
          <w:bottom w:val="nil"/>
          <w:right w:val="nil"/>
          <w:between w:val="nil"/>
        </w:pBdr>
      </w:pPr>
      <w:r>
        <w:rPr>
          <w:color w:val="000000"/>
        </w:rPr>
        <w:t>The Buyer shall not unreasonably withhold Approval of the Test Plan provided that the Supplier shall implement the Buyer’s reasonable requirements in the plan.</w:t>
      </w:r>
    </w:p>
    <w:p w14:paraId="16B6F36C" w14:textId="77777777" w:rsidR="003146D4" w:rsidRDefault="00362F65">
      <w:pPr>
        <w:numPr>
          <w:ilvl w:val="1"/>
          <w:numId w:val="5"/>
        </w:numPr>
        <w:pBdr>
          <w:top w:val="nil"/>
          <w:left w:val="nil"/>
          <w:bottom w:val="nil"/>
          <w:right w:val="nil"/>
          <w:between w:val="nil"/>
        </w:pBdr>
      </w:pPr>
      <w:r>
        <w:rPr>
          <w:color w:val="000000"/>
        </w:rPr>
        <w:t>Unless specified in the Test Plan the Supplier shall be responsible for carrying out the Testing detailed in the plan.</w:t>
      </w:r>
    </w:p>
    <w:p w14:paraId="16B6F36D" w14:textId="77777777" w:rsidR="003146D4" w:rsidRDefault="00362F65">
      <w:pPr>
        <w:numPr>
          <w:ilvl w:val="1"/>
          <w:numId w:val="5"/>
        </w:numPr>
        <w:pBdr>
          <w:top w:val="nil"/>
          <w:left w:val="nil"/>
          <w:bottom w:val="nil"/>
          <w:right w:val="nil"/>
          <w:between w:val="nil"/>
        </w:pBdr>
      </w:pPr>
      <w:r>
        <w:rPr>
          <w:color w:val="000000"/>
        </w:rPr>
        <w:t>The Buyer may require that a Buyer representative witnesses the conduct of the Tests.</w:t>
      </w:r>
    </w:p>
    <w:p w14:paraId="16B6F36E" w14:textId="77777777" w:rsidR="003146D4" w:rsidRDefault="00362F65">
      <w:pPr>
        <w:numPr>
          <w:ilvl w:val="1"/>
          <w:numId w:val="5"/>
        </w:numPr>
        <w:pBdr>
          <w:top w:val="nil"/>
          <w:left w:val="nil"/>
          <w:bottom w:val="nil"/>
          <w:right w:val="nil"/>
          <w:between w:val="nil"/>
        </w:pBdr>
      </w:pPr>
      <w:r>
        <w:rPr>
          <w:color w:val="000000"/>
        </w:rPr>
        <w:t>No later than 30 days (subject to agreement by both parties) after the completion of the scheduled Test Period the Supplier shall provide the Buyer with a Test Report setting out:</w:t>
      </w:r>
    </w:p>
    <w:p w14:paraId="16B6F36F" w14:textId="77777777" w:rsidR="003146D4" w:rsidRDefault="00362F65">
      <w:pPr>
        <w:numPr>
          <w:ilvl w:val="1"/>
          <w:numId w:val="3"/>
        </w:numPr>
        <w:pBdr>
          <w:top w:val="nil"/>
          <w:left w:val="nil"/>
          <w:bottom w:val="nil"/>
          <w:right w:val="nil"/>
          <w:between w:val="nil"/>
        </w:pBdr>
      </w:pPr>
      <w:r>
        <w:rPr>
          <w:color w:val="000000"/>
        </w:rPr>
        <w:t>An overview of Testing carried out</w:t>
      </w:r>
    </w:p>
    <w:p w14:paraId="16B6F370" w14:textId="77777777" w:rsidR="003146D4" w:rsidRDefault="00362F65">
      <w:pPr>
        <w:numPr>
          <w:ilvl w:val="1"/>
          <w:numId w:val="3"/>
        </w:numPr>
        <w:pBdr>
          <w:top w:val="nil"/>
          <w:left w:val="nil"/>
          <w:bottom w:val="nil"/>
          <w:right w:val="nil"/>
          <w:between w:val="nil"/>
        </w:pBdr>
      </w:pPr>
      <w:r>
        <w:rPr>
          <w:color w:val="000000"/>
        </w:rPr>
        <w:t>Details of each Test carried out together with the result, indicating if the success criteria were satisfied</w:t>
      </w:r>
    </w:p>
    <w:p w14:paraId="16B6F371" w14:textId="77777777" w:rsidR="003146D4" w:rsidRDefault="00362F65">
      <w:pPr>
        <w:numPr>
          <w:ilvl w:val="1"/>
          <w:numId w:val="3"/>
        </w:numPr>
        <w:pBdr>
          <w:top w:val="nil"/>
          <w:left w:val="nil"/>
          <w:bottom w:val="nil"/>
          <w:right w:val="nil"/>
          <w:between w:val="nil"/>
        </w:pBdr>
      </w:pPr>
      <w:r>
        <w:rPr>
          <w:color w:val="000000"/>
        </w:rPr>
        <w:t>Details of any scheduled Tests that were not carried out</w:t>
      </w:r>
    </w:p>
    <w:p w14:paraId="16B6F372" w14:textId="77777777" w:rsidR="003146D4" w:rsidRDefault="00362F65">
      <w:pPr>
        <w:numPr>
          <w:ilvl w:val="1"/>
          <w:numId w:val="3"/>
        </w:numPr>
        <w:pBdr>
          <w:top w:val="nil"/>
          <w:left w:val="nil"/>
          <w:bottom w:val="nil"/>
          <w:right w:val="nil"/>
          <w:between w:val="nil"/>
        </w:pBdr>
      </w:pPr>
      <w:r>
        <w:rPr>
          <w:color w:val="000000"/>
        </w:rPr>
        <w:t>A list of all outstanding Test issues</w:t>
      </w:r>
    </w:p>
    <w:p w14:paraId="16B6F373" w14:textId="77777777" w:rsidR="003146D4" w:rsidRDefault="00362F65">
      <w:pPr>
        <w:numPr>
          <w:ilvl w:val="1"/>
          <w:numId w:val="6"/>
        </w:numPr>
        <w:pBdr>
          <w:top w:val="nil"/>
          <w:left w:val="nil"/>
          <w:bottom w:val="nil"/>
          <w:right w:val="nil"/>
          <w:between w:val="nil"/>
        </w:pBdr>
      </w:pPr>
      <w:r>
        <w:rPr>
          <w:color w:val="000000"/>
        </w:rPr>
        <w:t>Where by the end of the scheduled Test Period the Testing process has demonstrated to the Buyer’s satisfaction that the Test Success Criteria have been met then the Buyer shall notify the Supplier in writing that the Testing process has been satisfactorily completed.</w:t>
      </w:r>
    </w:p>
    <w:p w14:paraId="16B6F374" w14:textId="77777777" w:rsidR="003146D4" w:rsidRDefault="00362F65">
      <w:pPr>
        <w:numPr>
          <w:ilvl w:val="1"/>
          <w:numId w:val="6"/>
        </w:numPr>
        <w:pBdr>
          <w:top w:val="nil"/>
          <w:left w:val="nil"/>
          <w:bottom w:val="nil"/>
          <w:right w:val="nil"/>
          <w:between w:val="nil"/>
        </w:pBdr>
      </w:pPr>
      <w:r>
        <w:rPr>
          <w:color w:val="000000"/>
        </w:rPr>
        <w:lastRenderedPageBreak/>
        <w:t xml:space="preserve">Where as a result of a Supplier default the </w:t>
      </w:r>
      <w:proofErr w:type="gramStart"/>
      <w:r>
        <w:rPr>
          <w:color w:val="000000"/>
        </w:rPr>
        <w:t>Testing</w:t>
      </w:r>
      <w:proofErr w:type="gramEnd"/>
      <w:r>
        <w:rPr>
          <w:color w:val="000000"/>
        </w:rPr>
        <w:t xml:space="preserve"> process has not by the end of the scheduled Test Period demonstrated to the Buyer’s satisfaction that the Test Success Criteria have been met then the Buyer may:</w:t>
      </w:r>
    </w:p>
    <w:p w14:paraId="16B6F375" w14:textId="77777777" w:rsidR="003146D4" w:rsidRDefault="00362F65">
      <w:pPr>
        <w:numPr>
          <w:ilvl w:val="1"/>
          <w:numId w:val="3"/>
        </w:numPr>
        <w:pBdr>
          <w:top w:val="nil"/>
          <w:left w:val="nil"/>
          <w:bottom w:val="nil"/>
          <w:right w:val="nil"/>
          <w:between w:val="nil"/>
        </w:pBdr>
      </w:pPr>
      <w:r>
        <w:rPr>
          <w:color w:val="000000"/>
        </w:rPr>
        <w:t>Direct the Supplier to repeat any unsuccessful Test or undertake any scheduled Test not thus far undertaken to give the Supplier an opportunity to demonstrate that the outstanding issues detailed in the Test Report have been resolved; or</w:t>
      </w:r>
    </w:p>
    <w:p w14:paraId="16B6F376" w14:textId="77777777" w:rsidR="003146D4" w:rsidRDefault="00362F65">
      <w:pPr>
        <w:numPr>
          <w:ilvl w:val="1"/>
          <w:numId w:val="3"/>
        </w:numPr>
        <w:pBdr>
          <w:top w:val="nil"/>
          <w:left w:val="nil"/>
          <w:bottom w:val="nil"/>
          <w:right w:val="nil"/>
          <w:between w:val="nil"/>
        </w:pBdr>
      </w:pPr>
      <w:r>
        <w:rPr>
          <w:color w:val="000000"/>
        </w:rPr>
        <w:t>Notify the Supplier that testing has been satisfactorily completed subject to rectification of outstanding issues within a period specified by the Buyer. Failure to rectify the relevant issues within the period specified shall be a material Default; or</w:t>
      </w:r>
    </w:p>
    <w:p w14:paraId="16B6F377" w14:textId="77777777" w:rsidR="003146D4" w:rsidRDefault="00362F65">
      <w:pPr>
        <w:numPr>
          <w:ilvl w:val="1"/>
          <w:numId w:val="3"/>
        </w:numPr>
        <w:pBdr>
          <w:top w:val="nil"/>
          <w:left w:val="nil"/>
          <w:bottom w:val="nil"/>
          <w:right w:val="nil"/>
          <w:between w:val="nil"/>
        </w:pBdr>
      </w:pPr>
      <w:r>
        <w:rPr>
          <w:color w:val="000000"/>
        </w:rPr>
        <w:t>to reject the relevant Deliverables and to invoke Clause 3.2.12; or</w:t>
      </w:r>
    </w:p>
    <w:p w14:paraId="16B6F378" w14:textId="77777777" w:rsidR="003146D4" w:rsidRDefault="00362F65">
      <w:pPr>
        <w:numPr>
          <w:ilvl w:val="1"/>
          <w:numId w:val="3"/>
        </w:numPr>
        <w:pBdr>
          <w:top w:val="nil"/>
          <w:left w:val="nil"/>
          <w:bottom w:val="nil"/>
          <w:right w:val="nil"/>
          <w:between w:val="nil"/>
        </w:pBdr>
      </w:pPr>
      <w:r>
        <w:rPr>
          <w:color w:val="000000"/>
        </w:rPr>
        <w:t>to reject the relevant Deliverables treating this as a material default and invoking the Buyer’s termination right under Clause 10.4.1</w:t>
      </w:r>
    </w:p>
    <w:sectPr w:rsidR="003146D4">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84955" w14:textId="77777777" w:rsidR="009C544A" w:rsidRDefault="009C544A">
      <w:pPr>
        <w:spacing w:after="0"/>
      </w:pPr>
      <w:r>
        <w:separator/>
      </w:r>
    </w:p>
  </w:endnote>
  <w:endnote w:type="continuationSeparator" w:id="0">
    <w:p w14:paraId="4B1B1354" w14:textId="77777777" w:rsidR="009C544A" w:rsidRDefault="009C54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6F37A" w14:textId="77777777" w:rsidR="003146D4" w:rsidRDefault="00362F65">
    <w:pPr>
      <w:tabs>
        <w:tab w:val="center" w:pos="4513"/>
        <w:tab w:val="right" w:pos="9026"/>
      </w:tabs>
      <w:spacing w:after="0" w:line="276" w:lineRule="auto"/>
      <w:rPr>
        <w:sz w:val="20"/>
        <w:szCs w:val="20"/>
      </w:rPr>
    </w:pPr>
    <w:r>
      <w:rPr>
        <w:sz w:val="20"/>
        <w:szCs w:val="20"/>
      </w:rPr>
      <w:t>Framework Ref: RM6068</w:t>
    </w:r>
    <w:r>
      <w:rPr>
        <w:sz w:val="20"/>
        <w:szCs w:val="20"/>
      </w:rPr>
      <w:tab/>
      <w:t xml:space="preserve">                                           </w:t>
    </w:r>
  </w:p>
  <w:p w14:paraId="16B6F37B" w14:textId="77777777" w:rsidR="003146D4" w:rsidRDefault="00362F65">
    <w:pPr>
      <w:rPr>
        <w:sz w:val="20"/>
        <w:szCs w:val="20"/>
      </w:rPr>
    </w:pPr>
    <w:r>
      <w:rPr>
        <w:sz w:val="20"/>
        <w:szCs w:val="20"/>
      </w:rPr>
      <w:t>Project Version: v1.0</w:t>
    </w:r>
  </w:p>
  <w:p w14:paraId="16B6F37C" w14:textId="552F9268" w:rsidR="003146D4" w:rsidRDefault="00362F65">
    <w:pPr>
      <w:jc w:val="right"/>
    </w:pPr>
    <w:r>
      <w:fldChar w:fldCharType="begin"/>
    </w:r>
    <w:r>
      <w:instrText>PAGE</w:instrText>
    </w:r>
    <w:r>
      <w:fldChar w:fldCharType="separate"/>
    </w:r>
    <w:r w:rsidR="00894E3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755D5" w14:textId="77777777" w:rsidR="009C544A" w:rsidRDefault="009C544A">
      <w:pPr>
        <w:spacing w:after="0"/>
      </w:pPr>
      <w:r>
        <w:separator/>
      </w:r>
    </w:p>
  </w:footnote>
  <w:footnote w:type="continuationSeparator" w:id="0">
    <w:p w14:paraId="466EA645" w14:textId="77777777" w:rsidR="009C544A" w:rsidRDefault="009C54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6F379" w14:textId="77777777" w:rsidR="003146D4" w:rsidRDefault="00362F65">
    <w:r>
      <w:t>Call-Off Schedule 13: (Implementation Plan and 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55CA"/>
    <w:multiLevelType w:val="multilevel"/>
    <w:tmpl w:val="C07283C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8716DE8"/>
    <w:multiLevelType w:val="multilevel"/>
    <w:tmpl w:val="4D481D2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30224B59"/>
    <w:multiLevelType w:val="multilevel"/>
    <w:tmpl w:val="92506AD2"/>
    <w:lvl w:ilvl="0">
      <w:start w:val="1"/>
      <w:numFmt w:val="lowerLetter"/>
      <w:lvlText w:val="%1)"/>
      <w:lvlJc w:val="left"/>
      <w:pPr>
        <w:ind w:left="1440" w:hanging="72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3" w15:restartNumberingAfterBreak="0">
    <w:nsid w:val="41BD2D42"/>
    <w:multiLevelType w:val="multilevel"/>
    <w:tmpl w:val="D1E4B942"/>
    <w:lvl w:ilvl="0">
      <w:start w:val="3"/>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45C02C7C"/>
    <w:multiLevelType w:val="multilevel"/>
    <w:tmpl w:val="91B697C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46F97A3E"/>
    <w:multiLevelType w:val="multilevel"/>
    <w:tmpl w:val="DC682FE2"/>
    <w:lvl w:ilvl="0">
      <w:numFmt w:val="bullet"/>
      <w:lvlText w:val="-"/>
      <w:lvlJc w:val="left"/>
      <w:pPr>
        <w:ind w:left="720" w:hanging="720"/>
      </w:pPr>
      <w:rPr>
        <w:rFonts w:ascii="Calibri" w:eastAsia="Calibri" w:hAnsi="Calibri" w:cs="Calibri"/>
      </w:rPr>
    </w:lvl>
    <w:lvl w:ilvl="1">
      <w:start w:val="1"/>
      <w:numFmt w:val="decimal"/>
      <w:lvlText w:val="-.%2"/>
      <w:lvlJc w:val="left"/>
      <w:pPr>
        <w:ind w:left="720" w:hanging="720"/>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6" w15:restartNumberingAfterBreak="0">
    <w:nsid w:val="5F0936C8"/>
    <w:multiLevelType w:val="multilevel"/>
    <w:tmpl w:val="9B2C96F4"/>
    <w:lvl w:ilvl="0">
      <w:start w:val="2"/>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60B82CD9"/>
    <w:multiLevelType w:val="multilevel"/>
    <w:tmpl w:val="76449E8E"/>
    <w:lvl w:ilvl="0">
      <w:start w:val="1"/>
      <w:numFmt w:val="decimal"/>
      <w:lvlText w:val="%1"/>
      <w:lvlJc w:val="left"/>
      <w:pPr>
        <w:ind w:left="720" w:hanging="720"/>
      </w:pPr>
    </w:lvl>
    <w:lvl w:ilvl="1">
      <w:numFmt w:val="bullet"/>
      <w:lvlText w:val="-"/>
      <w:lvlJc w:val="left"/>
      <w:pPr>
        <w:ind w:left="720" w:hanging="720"/>
      </w:pPr>
      <w:rPr>
        <w:rFonts w:ascii="Calibri" w:eastAsia="Calibri" w:hAnsi="Calibri" w:cs="Calibri"/>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440" w:hanging="1440"/>
      </w:pPr>
    </w:lvl>
  </w:abstractNum>
  <w:abstractNum w:abstractNumId="8" w15:restartNumberingAfterBreak="0">
    <w:nsid w:val="77055CDD"/>
    <w:multiLevelType w:val="multilevel"/>
    <w:tmpl w:val="85EAE048"/>
    <w:lvl w:ilvl="0">
      <w:start w:val="1"/>
      <w:numFmt w:val="decimal"/>
      <w:lvlText w:val="%1"/>
      <w:lvlJc w:val="left"/>
      <w:pPr>
        <w:ind w:left="720" w:hanging="720"/>
      </w:pPr>
    </w:lvl>
    <w:lvl w:ilvl="1">
      <w:numFmt w:val="bullet"/>
      <w:lvlText w:val="-"/>
      <w:lvlJc w:val="left"/>
      <w:pPr>
        <w:ind w:left="720" w:hanging="720"/>
      </w:pPr>
      <w:rPr>
        <w:rFonts w:ascii="Calibri" w:eastAsia="Calibri" w:hAnsi="Calibri" w:cs="Calibri"/>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440" w:hanging="1440"/>
      </w:pPr>
    </w:lvl>
  </w:abstractNum>
  <w:num w:numId="1">
    <w:abstractNumId w:val="0"/>
  </w:num>
  <w:num w:numId="2">
    <w:abstractNumId w:val="8"/>
  </w:num>
  <w:num w:numId="3">
    <w:abstractNumId w:val="7"/>
  </w:num>
  <w:num w:numId="4">
    <w:abstractNumId w:val="1"/>
  </w:num>
  <w:num w:numId="5">
    <w:abstractNumId w:val="6"/>
  </w:num>
  <w:num w:numId="6">
    <w:abstractNumId w:val="3"/>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D4"/>
    <w:rsid w:val="003146D4"/>
    <w:rsid w:val="00362F65"/>
    <w:rsid w:val="004375E0"/>
    <w:rsid w:val="005E0032"/>
    <w:rsid w:val="00821721"/>
    <w:rsid w:val="00894E3A"/>
    <w:rsid w:val="009C544A"/>
    <w:rsid w:val="00CA4B26"/>
    <w:rsid w:val="00F14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F30E"/>
  <w15:docId w15:val="{C61E6B83-6A75-4EB3-A728-A8F74E48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outlineLvl w:val="0"/>
    </w:pPr>
    <w:rPr>
      <w:b/>
      <w:color w:val="000000"/>
      <w:sz w:val="36"/>
      <w:szCs w:val="36"/>
    </w:rPr>
  </w:style>
  <w:style w:type="paragraph" w:styleId="Heading2">
    <w:name w:val="heading 2"/>
    <w:basedOn w:val="Normal"/>
    <w:next w:val="Normal"/>
    <w:uiPriority w:val="9"/>
    <w:unhideWhenUsed/>
    <w:qFormat/>
    <w:pPr>
      <w:keepNext/>
      <w:keepLines/>
      <w:widowControl w:val="0"/>
      <w:spacing w:before="240" w:line="360" w:lineRule="auto"/>
      <w:outlineLvl w:val="1"/>
    </w:pPr>
    <w:rPr>
      <w:b/>
      <w:sz w:val="28"/>
      <w:szCs w:val="28"/>
    </w:rPr>
  </w:style>
  <w:style w:type="paragraph" w:styleId="Heading3">
    <w:name w:val="heading 3"/>
    <w:basedOn w:val="Normal"/>
    <w:next w:val="Normal"/>
    <w:uiPriority w:val="9"/>
    <w:unhideWhenUsed/>
    <w:qFormat/>
    <w:pPr>
      <w:keepNext/>
      <w:keepLines/>
      <w:spacing w:before="40" w:line="360" w:lineRule="auto"/>
      <w:outlineLvl w:val="2"/>
    </w:pPr>
    <w:rPr>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b/>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w:eastAsia="Calibri" w:hAnsi="Calibri" w:cs="Calibri"/>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w:eastAsia="Calibri" w:hAnsi="Calibri" w:cs="Calibri"/>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jc w:val="both"/>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jc w:val="both"/>
    </w:pPr>
    <w:rPr>
      <w:rFonts w:ascii="Times New Roman" w:eastAsia="Times New Roman" w:hAnsi="Times New Roman" w:cs="Times New Roman"/>
      <w:sz w:val="20"/>
      <w:szCs w:val="20"/>
    </w:rPr>
    <w:tblPr>
      <w:tblStyleRowBandSize w:val="1"/>
      <w:tblStyleColBandSize w:val="1"/>
    </w:tblPr>
  </w:style>
  <w:style w:type="table" w:styleId="TableGrid">
    <w:name w:val="Table Grid"/>
    <w:basedOn w:val="TableNormal"/>
    <w:uiPriority w:val="59"/>
    <w:rsid w:val="00894E3A"/>
    <w:pPr>
      <w:overflowPunct w:val="0"/>
      <w:autoSpaceDE w:val="0"/>
      <w:autoSpaceDN w:val="0"/>
      <w:adjustRightInd w:val="0"/>
      <w:spacing w:after="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2C677E93C8049B6E016BD47D5925B" ma:contentTypeVersion="15" ma:contentTypeDescription="Create a new document." ma:contentTypeScope="" ma:versionID="85a6e7e52244772926438c6149a18bf2">
  <xsd:schema xmlns:xsd="http://www.w3.org/2001/XMLSchema" xmlns:xs="http://www.w3.org/2001/XMLSchema" xmlns:p="http://schemas.microsoft.com/office/2006/metadata/properties" xmlns:ns2="43032faa-1223-4f08-b75b-87b590697782" xmlns:ns3="31410782-3c1d-4f6e-8cd7-5e4648463fad" targetNamespace="http://schemas.microsoft.com/office/2006/metadata/properties" ma:root="true" ma:fieldsID="41e808b71f7b393f382432bdccd2fb9a" ns2:_="" ns3:_="">
    <xsd:import namespace="43032faa-1223-4f08-b75b-87b590697782"/>
    <xsd:import namespace="31410782-3c1d-4f6e-8cd7-5e4648463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Description" minOccurs="0"/>
                <xsd:element ref="ns2:Description0"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32faa-1223-4f08-b75b-87b59069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escription" ma:index="18" nillable="true" ma:displayName="Description" ma:description="Details of the document" ma:format="Dropdown" ma:internalName="Description">
      <xsd:simpleType>
        <xsd:restriction base="dms:Text">
          <xsd:maxLength value="255"/>
        </xsd:restriction>
      </xsd:simpleType>
    </xsd:element>
    <xsd:element name="Description0" ma:index="19" nillable="true" ma:displayName="Description" ma:format="Dropdown" ma:internalName="Description0">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410782-3c1d-4f6e-8cd7-5e4648463f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23B9D-9242-4E5D-B7D6-10E81C4C6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32faa-1223-4f08-b75b-87b590697782"/>
    <ds:schemaRef ds:uri="31410782-3c1d-4f6e-8cd7-5e4648463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83BE0-7F46-4A53-BDC7-933CE3B5B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920</Words>
  <Characters>5248</Characters>
  <Application>Microsoft Office Word</Application>
  <DocSecurity>0</DocSecurity>
  <Lines>43</Lines>
  <Paragraphs>12</Paragraphs>
  <ScaleCrop>false</ScaleCrop>
  <Company>LBHF</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Cureton</cp:lastModifiedBy>
  <cp:revision>7</cp:revision>
  <dcterms:created xsi:type="dcterms:W3CDTF">2022-12-14T16:16:00Z</dcterms:created>
  <dcterms:modified xsi:type="dcterms:W3CDTF">2023-04-28T14:51:00Z</dcterms:modified>
</cp:coreProperties>
</file>